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2 — audited and repaired;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341.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functions carry an explicit rule; 229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r>
        <w:rPr>
          <w:highlight w:val="yellow"/>
        </w:rPr>
        <w:t xml:space="preserve">The Fact Unit of this section is further organized, without alteration of any field above, as nine layers: a core semantic identity that never changes; structural adjacency; temporal stability read from the three timestamps and the supersession chain; edition-differential markers; multi-language alignment anchored to the semantic fingerprint; media provenance with cross-modality corroboration and introduced content marked; an observation-and-evidence layer in which the confidence value’s two parameters accumulate evidence for and against the assertion under a Baconian feedback loop of action, observation, measurement, adjustment and iteration — each observation incrementing the evidence pair by its source-reliability weight, diversity gating generalization, and revision being precision-weighted so a settled assertion resists by arithmetic; in-record rights and safety; and context-keyed deterministic output. The loop’s adjustment reaches only the layers it owns and never the semantic identity. (Added September 2, 2026, from Bible §3.6–§3.7, Pass 114; unnumbered pending renumbering by counsel.)</w:t>
      </w:r>
    </w:p>
    <w:p>
      <w:r>
        <w:rPr>
          <w:highlight w:val="yellow"/>
        </w:rPr>
        <w:t xml:space="preserve">Seven additional field families further enrich the record, each additive and each a deterministic function of record content and the observation stream: a decomposition of residual uncertainty into an epistemic component, reducible by further observation, and an aleatory component, the irreducible variability of the observed world, carried with explicit source-reliability, measurement-precision and consensus-breadth sub-parameters and supplying the feedback loop’s stopping condition; an explicit assertion polarity marking the record affirmative or negative, under which records agreeing on the same assertion core with opposite polarity are contradictory by field comparison and a known negative is distinguished from the absence of any record; a native n-ary assertion structure carrying one assertion with multiple typed argument slots — subject, value, unit, instrument, method, condition, observer — under one identifier, one fingerprint computed over the complete argument structure, and one evidence pair; an applicability-scope field stating the conditions — temporal interval, jurisdiction, edition, parameter range, population — under which the assertion holds, assertions under disjoint scopes being recognized as non-conflicting; an immutable adjustment-history layer journaling every feedback-loop pass so that a record’s confidence is deterministically replayable from first observation to present state; a cryptographic integrity chain hashing each record’s immutable core and carrying the superseded record’s hash on every supersession link, with no distributed ledger, token or ownership identity node; and a canonical compact binary encoding, lossless and bidirectional, under which identifier and fingerprint are identical in either form. (Added September 2, 2026, from Bible §3.8, Pass 115; unnumbered pending renumbering by counsel.)</w:t>
      </w:r>
    </w:p>
    <w:p>
      <w:r>
        <w:rPr>
          <w:highlight w:val="yellow"/>
        </w:rPr>
        <w:t xml:space="preserve">The compact form of the record additionally serves as its canonical at-rest and wire form, fused to the record rather than to any store: required fields at fixed offsets and optional fields tagged, with the identifier and semantic fingerprint identical to the full form, so the encoded record is self-describing without an external schema. A host database, content repository, or reader platform holds the encoded record as an opaque value it is never required to parse, index, or interpret, its only obligations being to accept and return the bytes unchanged, which is what preserves the system’s operation over any database while imposing no proprietary format, schema, or query capability upon it; queries over records are expressed internally and, where external material is drawn from such a store, translated at an adapter into that store’s native language, the store never receiving the internal query form. Because the record is held as an opaque encoded value, its integrity chain, its in-record safety classification and access-control list, and, where elected, its zero-knowledge encryption travel with it across the storage boundary, so any store will hold the record and no store can read, reorder, or leak its meaning. (Added September 6, 2026, from Bible §3.9, Pass 116; the encoding and query interface are fused to the record and not to any host store; no mandatory external transport or query standard is reintroduced; unnumbered pending renumbering by counsel.)</w:t>
      </w:r>
    </w:p>
    <w:p>
      <w:r>
        <w:rPr>
          <w:highlight w:val="yellow"/>
        </w:rPr>
        <w:t xml:space="preserve">The knowledge record of this section is written in a formal, language-independent assertion language — the Fact Unit Language — whose vocabulary is the governed predicate catalogue, whose grammar is the record schema stated above, and whose identity function is the language-independent semantic fingerprint, under which two records asserting the same proposition in different natural languages are the same statement; a candidate not conforming to the language is refused at admission, and retrieval, contradiction detection, and regeneration into a requested natural language each operate upon this assertion language rather than upon natural-language text. (Added September 6, 2026, from Bible §3.10, Pass 117, and recited as claim 342.)</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279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279 functions, 279 carry an explicit computational rule and 229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t xml:space="preserve">Fact Unit Language (claim 342)</w:t>
      </w:r>
    </w:p>
    <w:p>
      <w:r>
        <w:t xml:space="preserve">342. The method of claim 1, wherein each said knowledge record is expressed in a formal, language-independent assertion language comprising a canonical subject identifier, a canonical predicate identifier drawn from a governed catalogue in which each predicate carries an immutable identifier assigned at registration, and an object comprising an entity reference or a typed scalar carrying a unit and a dimension; wherein a candidate record not conforming to said assertion language is refused at admission rather than admitted incomplete; and wherein a language-independent semantic fingerprint computed over the canonicalised assertion is identical for two records asserting a same proposition expressed in different natural languages, such that retrieval, contradiction detection, and regeneration into a requested natural language each operate upon said assertion language rather than upon any natural-language text.</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279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