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pStyle w:val="Heading2"/>
      </w:pPr>
      <w:r>
        <w:t xml:space="preserve">3.6 The Post-Baconian Layered Definition</w:t>
      </w:r>
    </w:p>
    <w:p>
      <w:r>
        <w:t xml:space="preserve">This section does not replace the schema of §3.1; it includes it whole and organizes it. Every field of the schema remains in force exactly as specified, and every field appears below inside the layer it belongs to. What this section adds is the organizing structure and the Baconian enrichment: the Fact Unit read as nine layers, so that the validation metadata the feedback loop of §3.7 accumulates — evidence, stability, alignment, provenance, and rights — is visible as architecture rather than scattered as fields. The semantic identity never changes; everything the loop adds surrounds that identity without touching it.</w:t>
      </w:r>
    </w:p>
    <w:p>
      <w:r>
        <w:t xml:space="preserve">Layer 1, Core Semantic Identity, is the irreducible assertion and the only part of the record that never changes: the FUID,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 a revision produces a new, linked version — which is what lets every other layer accumulate without the identity ever drifting. The record holds an assertion, not a concept; the concept models an assertion contributes to are formed and held in the World-View Model.</w:t>
      </w:r>
    </w:p>
    <w:p>
      <w:r>
        <w:t xml:space="preserve">Layer 2, Structural Adjacency, is the record’s connections: typed, weighted edges to other records and hyperedge memberships binding sets of records, in the semantic, temporal, editorial, media, and language edge classes with their registered traversal costs, strengthened on co-activation under the Hebbian rule — deterministic and auditable, never fitted by gradient descent.</w:t>
      </w:r>
    </w:p>
    <w:p>
      <w:r>
        <w:t xml:space="preserve">Layer 3, Temporal Stability, is read rather than asserted: the three timestamps distinguish when the assertion held, when it was ingested, and when its source was created, and the supersession chain links each version to the one it replaces under a correction or restatement relation. An assertion that persists unrevised across attestations, editions, and consolidation cycles is stable by demonstration.</w:t>
      </w:r>
    </w:p>
    <w:p>
      <w:r>
        <w:t xml:space="preserve">Layer 4, Edition Differential, captures how the assertion behaves across editions of its work — present in every edition, present in some, modified, expanded, compressed, or transformed — through edition version chains, so an edition comparison is a traversal of markers rather than a text diff, and alignment across editions converges only below the divergence threshold.</w:t>
      </w:r>
    </w:p>
    <w:p>
      <w:r>
        <w:t xml:space="preserve">Layer 5, Multi-Language Alignment, is carried by identity rather than translation memory: the semantic fingerprint makes realizations in any language the same record, parallel realizations align record-by-record, a wording-operative span is reproduced verbatim with a separately marked gloss, and an idiom resolves only to a registered equivalent.</w:t>
      </w:r>
    </w:p>
    <w:p>
      <w:r>
        <w:t xml:space="preserve">Layer 6, Media Provenance, holds the multimodal attachments as evidence contributions in their own source classes, with cross-modality corroboration elevated where observations co-occur within a window narrow enough to indicate a common cause, and with any transformed asset carrying the provenance of its source and any introduced value marked as introduced and inadmissible as grounding.</w:t>
      </w:r>
    </w:p>
    <w:p>
      <w:r>
        <w:t xml:space="preserve">Layer 7, Observation and Evidence, is the Baconian core. The confidence value is maintained as a first parameter accumulating evidence supporting the assertion and a second accumulating evidence contradicting it, the reported confidence being the ratio of the first to their sum, their sum constituting the evidential weight from which a credible interval and a propagation precision are computed. The observation count is that weight; observation diversity is the effective number of contributing source classes computed from the attribution of contributed weight; contradiction markers are first-class, a conflict entering the persistent contradiction index and a contradiction too weak to revise being recorded rather than discarded; revision history is the version chain itself; and every update is closed-form, order-independent, and free of sampling. The record therefore carries not only how firmly the assertion is held but how much is known about it: two records reporting identical confidence on different quantities or varieties of evidence are distinguishable, which a scalar could not express.</w:t>
      </w:r>
    </w:p>
    <w:p>
      <w:r>
        <w:t xml:space="preserve">Layer 8, Rights and Ownership, carries entitlement as a property of the assertion rather than a filter over a result: the safety classification and access-control list live within the record, territory, edition, and license scope govern reach, keys are scoped per tenant with hardware custody where configured, and where an operator elects it per title, an external, pre-existing blockchain-based ownership-verification service may be consulted for resale with the system as requesting party only. Ownership metadata informs entitlement; it does not enter the record as an identity node, and the system operates no token infrastructure.</w:t>
      </w:r>
    </w:p>
    <w:p>
      <w:r>
        <w:t xml:space="preserve">Layer 9, Deterministic Output, is 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through the signed provenance chain.</w:t>
      </w:r>
    </w:p>
    <w:p>
      <w:r>
        <w:t xml:space="preserve">Master definition. 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the neuromorphic mesh, above which the World-View Model builds its concept models of the world. (Drafting record, Pass 114, September 2, 2026: adopted upon the inventor’s approval. Source material describing the record as a concept-node, and adding token-based ownership identity nodes, was corrected on adoption: concepts belong to the World-View Model, and the declined blockchain ownership layer remains declined.)</w:t>
      </w:r>
    </w:p>
    <w:p>
      <w:pPr>
        <w:pStyle w:val="Heading2"/>
      </w:pPr>
      <w:r>
        <w:t xml:space="preserve">3.7 The Baconian Feedback Loop</w:t>
      </w:r>
    </w:p>
    <w:p>
      <w:r>
        <w:t xml:space="preserve">The Baconian feedback loop is a critical design feature of the cognitive mesh: the cycle of action, observation, measurement, adjustment, and iteration, inductive and evidence-driven, under which internal structures update only as independent observations accumulate and agree, and under which nothing ever alters a record’s semantic identity. Each stage is bound to a specified mechanism, so the loop is an architecture rather than an aspiration.</w:t>
      </w:r>
    </w:p>
    <w:p>
      <w:r>
        <w:t xml:space="preserve">Action and observation: the system acts — answers, ingests, executes a bounded program, directs registered capture equipment — and observations return through every ingestion modality and through outcome feedback, a delivered response being recorded with its cited records and their confidence at delivery, and a report bearing on it admitted as a knowledge record attributed to the reporting identity. Feedback is evidence, not correction: no report sets a confidence value, supersedes a record, or removes one.</w:t>
      </w:r>
    </w:p>
    <w:p>
      <w:r>
        <w:t xml:space="preserve">Measurement: each observation increments the evidence pair under the incrementing rule with fractional weighting — the supporting or contradicting parameter moves by the observation’s source-reliability weight — and a reporting identity constitutes a single source class, its hundredth report weighing no more than a report from a hundredth identity. Diversity is the effective number of contributing source classes, corroboration from a class already dominating the parameters is admitted at reduced weight, and a generalization requires a diversity floor as well as a count floor: varied rather than merely numerous instances, made arithmetic.</w:t>
      </w:r>
    </w:p>
    <w:p>
      <w:r>
        <w:t xml:space="preserve">Adjustment: revision is precision-weighted, the gain on a contradiction being the error’s precision divided by the sum of the error’s and the prior’s precisions, with a gain below the configured floor producing no revision and the withheld contradiction recorded. Adjustment reaches only the layers the loop owns — evidence parameters, adjacency weights, participation metadata, stability and differential markers — and never the semantic core; where evidence demands new content the loop produces a new linked version, and an inductive generalization is emitted as a proposal that only a named human may validate.</w:t>
      </w:r>
    </w:p>
    <w:p>
      <w:r>
        <w:t xml:space="preserve">Iteration and convergence: the cycle runs continuously across sessions, editions, languages, and modalities; long-term consolidation strengthens stable relationships on the gated election; and convergence terminates by energy descent. An assertion strengthens only as varied evidence converges upon it, weakens in proportion to the precision of what contradicts it, and can never be quietly rewritten — the anti-drift, truth-maintenance discipline of the platform.</w:t>
      </w:r>
    </w:p>
    <w:p>
      <w:pPr>
        <w:pStyle w:val="Heading2"/>
      </w:pPr>
      <w:r>
        <w:t xml:space="preserve">3.8 The Enhanced Record: Uncertainty Decomposition, Polarity, Arity, Scope, History, Integrity, and Encoding</w:t>
      </w:r>
    </w:p>
    <w:p>
      <w:r>
        <w:t xml:space="preserve">This section extends the record defined by §3.1 and organized by §3.6 with seven additional field families, adopted as a single enhancement pass. Nothing here replaces or narrows any existing field, layer, or behaviour: every field of the §3.1 schema and every layer of §3.6 remains in force exactly as specified, the Baconian feedback loop of §3.7 remains the record’s engine of convergence, and each family below is an additive enrichment of the assertion record itself. Concepts continue to belong to the World-View Model; the fields of this section describe the assertion record only. The master definition of §3.6 is accordingly read as enriched by the seven families of this section: uncertainty decomposed, polarity explicit, arity native, scope stated, history journaled, integrity hash-chained, and encoding canonical.</w:t>
      </w:r>
    </w:p>
    <w:p>
      <w:pPr>
        <w:pStyle w:val="Heading3"/>
      </w:pPr>
      <w:r>
        <w:t xml:space="preserve">3.8.1 Uncertainty Decomposition</w:t>
      </w:r>
    </w:p>
    <w:p>
      <w:r>
        <w:t xml:space="preserve">The evidence pair of Layer 7 is extended with a deterministic classification of residual uncertainty into an epistemic component, reducible in principle by further observation, and an aleatory component, the irreducible variability of the observed world itself. The classification is computed, not asserted: where successive observations from distinct source classes continue to narrow the credible interval, residual uncertainty is classified epistemic; where observations accumulate without narrowing it — the interval stabilizing around persistent dispersion — the residue is classified aleatory. Alongside the classification the record carries decomposed sub-parameters already implicit in the update machinery, made explicit and queryable: the fractional source-reliability weighting in effect, the measurement precision of the contributing observations, and the breadth of consensus measured as effective source classes. The decomposition gives the Baconian loop a principled stopping condition: iteration continues while residual uncertainty is predominantly epistemic and further observation is expected to narrow the interval, and stands down, without discarding any evidence, when the residue is aleatory and further sampling can only re-measure the world’s own variance.</w:t>
      </w:r>
    </w:p>
    <w:p>
      <w:pPr>
        <w:pStyle w:val="Heading3"/>
      </w:pPr>
      <w:r>
        <w:t xml:space="preserve">3.8.2 Assertion Polarity</w:t>
      </w:r>
    </w:p>
    <w:p>
      <w:r>
        <w:t xml:space="preserve">Every Fact Unit carries an explicit polarity field marking the assertion as affirmative or negative, so that a negative finding — that a relation does not hold, that an event did not occur — is a first-class record rather than an inference left to interpretation of assertion content. Polarity participates in the semantic fingerprint, and contradiction detection thereby gains a structural fast path: two records whose fingerprints agree on the same assertion core but differ in polarity are a contradiction by field comparison, before any semantic analysis runs. Polarity also sharpens the Without-Information Rule: the absence of any record, which obliges refusal under the Prime Directive’s without-information behaviour, is now formally distinct from the presence of a negated assertion, which is an answer — the system can say that a thing is known not to be so, rather than merely that nothing is known.</w:t>
      </w:r>
    </w:p>
    <w:p>
      <w:pPr>
        <w:pStyle w:val="Heading3"/>
      </w:pPr>
      <w:r>
        <w:t xml:space="preserve">3.8.3 Native N-ary Assertion Structure</w:t>
      </w:r>
    </w:p>
    <w:p>
      <w:r>
        <w:t xml:space="preserve">A single Fact Unit may carry one assertion with multiple typed argument slots — subject, value, unit, instrument, method, condition, observer, and further roles as the catalogue of its domain defines — while remaining one atomic assertion with one FUID, one fingerprint, and one evidence pair. A measurement made with a named instrument under stated conditions is one fact, and the record holds it as one fact, rather than shattering it into a constellation of binary statements joined by synthetic nodes as reification-based representations must. The semantic fingerprint is computed over the complete argument structure, so two realizations of the same n-ary assertion in different languages or notations resolve to the same record, and the typed, weighted adjacency of Layer 2 continues to bind the record to its neighbours exactly as before.</w:t>
      </w:r>
    </w:p>
    <w:p>
      <w:pPr>
        <w:pStyle w:val="Heading3"/>
      </w:pPr>
      <w:r>
        <w:t xml:space="preserve">3.8.4 Applicability Scope</w:t>
      </w:r>
    </w:p>
    <w:p>
      <w:r>
        <w:t xml:space="preserve">The record carries an explicit applicability-scope field stating the conditions under which the assertion holds: a temporal interval, a jurisdiction, an edition, an environmental or parameter range, a population, or a conjunction of these. Scope is the record-side complement of the context lock: the lock fixes the eight dimensions under which a query is answered, and the scope field states, in the record itself, the region of those dimensions within which the assertion is warranted, so validity is stored rather than re-derived at query time. Scope participates in retrieval matching, and it disciplines contradiction detection: two records asserting differently under disjoint scopes are not in conflict, and the system reports under which conditions each holds rather than reporting a contradiction that is not there.</w:t>
      </w:r>
    </w:p>
    <w:p>
      <w:pPr>
        <w:pStyle w:val="Heading3"/>
      </w:pPr>
      <w:r>
        <w:t xml:space="preserve">3.8.5 Baconian Adjustment History</w:t>
      </w:r>
    </w:p>
    <w:p>
      <w:r>
        <w:t xml:space="preserve">Each pass of the feedback loop of §3.7 appends an immutable entry to an adjustment-history layer within the record’s metadata: the observation that arrived, its source class, the fractional reliability weighting applied under the incrementing rule, and the resulting movement of the evidence pair and credible interval. The history layer is metadata in the strict sense of §3.7 — the semantic identity of Layer 1 is never touched — and it makes the record self-auditing: the current confidence of any Fact Unit can be replayed, entry by entry, from its first observation to its present state, and the replay is deterministic, reproducing the stored values exactly. The record thereby carries not only its conclusion but its own revision trajectory, and an audit of any answer can descend from the answer to the records to the observations that made them.</w:t>
      </w:r>
    </w:p>
    <w:p>
      <w:pPr>
        <w:pStyle w:val="Heading3"/>
      </w:pPr>
      <w:r>
        <w:t xml:space="preserve">3.8.6 Cryptographic Integrity Chain</w:t>
      </w:r>
    </w:p>
    <w:p>
      <w:r>
        <w:t xml:space="preserve">Every record carries a cryptographic hash computed over its immutable core, and every supersession link includes the hash of the record it supersedes, so that each version chain is tamper-evident end to end by standard hashing alone: any alteration of a superseded record breaks the chain at the point of alteration and is detected by recomputation. This is integrity machinery internal to the Fact Graph, and nothing more: there is no distributed ledger, no token, and no ownership identity node — the declined blockchain ownership layer remains declined — and rights and entitlement continue to be carried exactly as Layer 8 specifies. What the chain adds is proof: the provenance and supersession structure the record has always carried becomes independently verifiable by any party holding the records.</w:t>
      </w:r>
    </w:p>
    <w:p>
      <w:pPr>
        <w:pStyle w:val="Heading3"/>
      </w:pPr>
      <w:r>
        <w:t xml:space="preserve">3.8.7 Canonical Compact Encoding</w:t>
      </w:r>
    </w:p>
    <w:p>
      <w:r>
        <w:t xml:space="preserve">The Fact Unit has a defined canonical binary serialization in which the required fields of §3.1 occupy fixed positions and optional fields are carried as tagged extensions. The encoding is lossless and bidirectional — a record round-trips between its full and compact forms without change, and the semantic fingerprint and FUID are identical in either form — so the compact form is the same record, not a summary of it. The encoding is what makes the micro-embedded deployments concrete: an offline reader or handset carries its Fact Units in canonical form at a fraction of the footprint of the source media, and the semantic compression of audio, video, and volumetric media rests on a specified record-level mechanism rather than a projection.</w:t>
      </w:r>
    </w:p>
    <w:p>
      <w:pPr>
        <w:pStyle w:val="Heading3"/>
      </w:pPr>
      <w:r>
        <w:t xml:space="preserve">3.8.8 Architectural Integration</w:t>
      </w:r>
    </w:p>
    <w:p>
      <w:r>
        <w:t xml:space="preserve">The enhanced fields are consumed across the architecture rather than sitting inert in the record. Precision-weighted error propagation under §41.6.4 reads the uncertainty decomposition, the propagation gain drawing on the explicit measurement-precision sub-parameter, and the Baconian loop consults the epistemic–aleatory classification as its stopping condition while writing the adjustment history of §3.8.5 on every pass. Contradiction detection under §41.4.6 reads polarity and applicability scope, surfacing structural contradictions by field comparison and dissolving apparent conflicts whose scopes are disjoint. Competitive Candidate Resolution under §41.5.3 carries polarity and scope on every candidate, so competing candidates of opposite polarity or disjoint scope are distinguished at the candidate level before resolution. The ingestion pipeline computes fingerprints over the complete n-ary argument structure at admission; the supersession machinery maintains the integrity chain as versions are created; and the deployment layer serializes records in canonical compact form for edge and offline operation. Every field of this section is a deterministic function of record content and the observation stream, so the determinism guarantee — identical conditions under an identical context key producing identical results — is preserved without qualification. (Drafting record, Pass 115, September 2, 2026: added upon the inventor’s direction to update the Fact Unit definition and the architectural features and functions associated with it. All seven field families are additive; no field of §3.1, no layer of §3.6, and no behaviour of §3.7 is removed or altered.)</w:t>
      </w:r>
    </w:p>
    <w:p>
      <w:pPr>
        <w:pStyle w:val="Heading2"/>
      </w:pPr>
      <w:r>
        <w:t xml:space="preserve">3.9 Record-Fused Encoding and the Database-Neutral Boundary</w:t>
      </w:r>
    </w:p>
    <w:p>
      <w:r>
        <w:t xml:space="preserve">This section fuses the canonical compact encoding of §3.8.7 to the Fact Unit as the record’s own form, and states the boundary that keeps the system storable in any database. It adds no field to the schema of §3.1 and removes none; it specifies how the record already defined is encoded, stored, queried, and moved. Nothing here reintroduces a separate transport or storage standard external to the record: the encoding and the query interface operate on Fact Units within the system’s own boundary, and the previously-declined framing of a mandatory external fact-transport format and external fact-query language, which would have required a host store to understand the record, remains declined. Concepts continue to belong to the World-View Model, and the determinism guarantee is preserved without qualification.</w:t>
      </w:r>
    </w:p>
    <w:p>
      <w:pPr>
        <w:pStyle w:val="Heading3"/>
      </w:pPr>
      <w:r>
        <w:t xml:space="preserve">3.9.1 The Record-Fused Encoding</w:t>
      </w:r>
    </w:p>
    <w:p>
      <w:r>
        <w:t xml:space="preserve">The compact encoding of §3.8.7 is the Fact Unit’s own canonical at-rest and wire form. A record is not translated into a foreign storage schema and back; it is carried as itself — required fields at fixed offsets, optional fields tagged, the FUID and semantic fingerprint identical to the full form — so that the encoded record is self-describing and self-identifying without an external schema. The encoding is fused to the record rather than to any store: it is a property of the Fact Unit, computed and consumed within the system, and it is the same record whether resident in memory, written to disk, or in flight between deployments.</w:t>
      </w:r>
    </w:p>
    <w:p>
      <w:pPr>
        <w:pStyle w:val="Heading3"/>
      </w:pPr>
      <w:r>
        <w:t xml:space="preserve">3.9.2 The Opaque-Blob Storage Contract</w:t>
      </w:r>
    </w:p>
    <w:p>
      <w:r>
        <w:t xml:space="preserve">A host database, content repository, or key-value store holds an encoded Fact Unit as an opaque value — a blob in a column, a file, an object, or a key’s payload — and is never required to parse it, index its interior, or understand its fields. The store’s sole obligations are to accept bytes and return them unchanged. This is the invariant that preserves the system’s database-neutral property: because the store is asked only to hold and return bytes, any database, repository, or e-reader platform qualifies, and no proprietary format, schema migration, or query-engine capability is imposed on it. The record’s own identifiers — the FUID as a stable key, the fingerprint as a content address — are exposed to the store as plain opaque keys where an index is wanted, so retrieval by identity is available without the store reading the record’s meaning.</w:t>
      </w:r>
    </w:p>
    <w:p>
      <w:pPr>
        <w:pStyle w:val="Heading3"/>
      </w:pPr>
      <w:r>
        <w:t xml:space="preserve">3.9.3 Internal Fact Query and Edge Translation</w:t>
      </w:r>
    </w:p>
    <w:p>
      <w:r>
        <w:t xml:space="preserve">Queries over Fact Units are expressed within the system in terms of the record — its identifiers, its fingerprint, its typed adjacency, its confidence and its applicability scope — and are resolved against the Fact Graph by the system’s own retrieval. Where raw material must be drawn from an external store, an adapter translates the system’s request into that store’s native language — a relational query, an object lookup, a key fetch — and the external store never receives the system’s internal fact-query form. This is the external-connection pattern already specified applied to storage: a declared capability, an adapter at the boundary, and no assumption that the outside system speaks the record’s language. An external store is thereby a source and a repository, never the reasoning engine, which is the position that makes it replaceable and the determinism and groundedness guarantees independent of it.</w:t>
      </w:r>
    </w:p>
    <w:p>
      <w:pPr>
        <w:pStyle w:val="Heading3"/>
      </w:pPr>
      <w:r>
        <w:t xml:space="preserve">3.9.4 Confidentiality and Integrity Across the Boundary</w:t>
      </w:r>
    </w:p>
    <w:p>
      <w:r>
        <w:t xml:space="preserve">Because the host store holds the record as an opaque blob, the properties the record carries in §3.1 and §3.8 travel with it across the boundary. The integrity hash chain of §3.8.6 makes any alteration of a stored record detectable on read, so a store that corrupts or reorders a record cannot do so undetectably. The in-record safety classification and access-control list of §3.1 remain within the encoded record, so entitlement is a property the record carries into the store rather than a filter the store is trusted to apply; and where a deployment elects the zero-knowledge and key-custody provisions, an encoded record written to an external store is unreadable by that store, which holds bytes it cannot interpret. The database-neutral property is thereby not merely preserved but strengthened: any store will hold the record, and no store can read, reorder, or leak its meaning.</w:t>
      </w:r>
    </w:p>
    <w:p>
      <w:pPr>
        <w:pStyle w:val="Heading3"/>
      </w:pPr>
      <w:r>
        <w:t xml:space="preserve">3.9.5 The Fuse-to-the-Record Invariant</w:t>
      </w:r>
    </w:p>
    <w:p>
      <w:r>
        <w:t xml:space="preserve">The encoding and the query interface are fused to the Fact Unit and never to the storage or query interface of a host system. Stated as a design invariant: no host store is ever required to understand the record’s format or to speak the record’s query language in order to store or return it. The invariant is what distinguishes this fusion from the declined external transport-and-query standard — fused to the record, the system gains a compact, identity-bearing, integrity-sealed form and an internal query language while remaining storable in and retrievable from any database; fused instead to the store, the system would gain the same encoding but would require every database to adopt its format, converting an open architecture into a proprietary one. The former is specified here; the latter remains declined. (Drafting record, Pass 116, September 6, 2026: added upon the inventor’s direction to implement a Fact Unit fused with the record. The encoding and query interface are additive extensions of §3.8.7 operating within the system boundary; no field of §3.1, no layer of §3.6, and no behaviour of §3.7 is removed or altered. The record remains an assertion record and concepts remain in the World-View Model; the previously-removed mandatory external fact-transport format and external fact-query language, which would require a host store to understand the record, remain removed; and the database-neutral property is preserved and, per §3.9.4, strengthened.)</w:t>
      </w:r>
    </w:p>
    <w:p>
      <w:pPr>
        <w:pStyle w:val="Heading2"/>
      </w:pPr>
      <w:r>
        <w:t xml:space="preserve">3.10 The Fact Unit Language</w:t>
      </w:r>
    </w:p>
    <w:p>
      <w:r>
        <w:t xml:space="preserve">The Fact Unit Language is the formal, language-independent assertion notation in which every Fact Unit is written and which every mechanism of the system reads. It adds no field to the schema of §3.1 and introduces no store or transport external to the record; it names, and specifies as a language, the notation the record already is. A statement in the Fact Unit Language comprises the canonical subject, predicate, and object identifiers drawn from the governed catalogues of the Ontology Mesh, a typed object value carrying its unit and dimension where the object is a scalar, the temporal anchor, and the record’s evidence, provenance, safety, and entitlement fields. The governed predicate catalogue is its vocabulary; the record schema of §3.1 is its grammar; and the language-independent semantic fingerprint carried by every record is its identity function, under which two statements asserting the same proposition in any two natural languages are the same statement.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 candidate that does not conform to the language is refused at admission rather than admitted incomplete.</w:t>
      </w:r>
    </w:p>
    <w:p>
      <w:r>
        <w:t xml:space="preserve">The Fact Unit Language is claimed as an element-light method claim reciting the record as a language rather than as a field list, so that a competitor offering the same benefits by a differently-fielded record still operates upon the same assertion language. (Drafting record, Pass 117, September 6, 2026: adopted upon the inventor’s direction. The Fact Unit Language names and specifies the notation the record of §3.1 already is; it adds no field, no store, and no external transport or query standard — the previously-removed external fact-transport format and external fact-query language remain removed — and concepts remain in the World-View Model. It is carried into the provisional application as claim 342 and into the composite registry as a feature; no field of §3.1, no layer of §3.6, and no behaviour of §3.7 is removed or altered, and the determinism guarantee is preserved without qualification.)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r>
        <w:t xml:space="preserve">With the enhanced record of §3.8, contradiction detection gains two structural inputs ahead of the prediction-error machinery of this section: explicit assertion polarity, under which records agreeing on the same assertion core with opposite polarity are contradictory by field comparison, and applicability scope, under which records asserting differently within disjoint scopes are recognized as non-conflicting and reported by condition rather than as error. (Added Pass 115, September 2, 2026.)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r>
        <w:t xml:space="preserve">Under the enhanced record of §3.8, every candidate entering resolution carries its assertion polarity and applicability scope, so candidates of opposite polarity or disjoint scope are distinguished structurally at the candidate level, and resolution operates only over candidates genuinely competing for the same assertion under the same conditions. (Added Pass 115, September 2, 2026.)</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r>
        <w:t xml:space="preserve">The uncertainty decomposition of §3.8.1 supplies this mechanism’s inputs in explicit form: the measurement-precision sub-parameter is the precision this section already stores and uses, the epistemic–aleatory classification determines whether a persistent error warrants continued precision-weighted revision or reflects irreducible dispersion, and every gain application is journaled in the adjustment-history layer of §3.8.5, making each revision replayable. (Added Pass 115, September 2, 2026.)</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2"/>
      </w:pPr>
      <w:r>
        <w:t xml:space="preserve">53.10 Skill Inventory Layer</w:t>
      </w:r>
    </w:p>
    <w:p>
      <w:r>
        <w:t xml:space="preserve">The Skill Inventory Layer stores procedural knowledge: how to perform a task, manipulate an object, or execute a multi-step operation, held as provenance-tracked procedural concept models distinct from declarative Fact Units. A procedural concept is formed the way any concept is formed — from repeated observation across the ordinary ingestion modalities, including direct sensory experience and ingested video, consolidating on a count — and is retrievable, citable, and bounded by the requester’s entitlement like any other record.</w:t>
      </w:r>
    </w:p>
    <w:p>
      <w:r>
        <w:t xml:space="preserve">A procedural concept informs simulation under the Scenario Graph System and command compilation under the equipment-control sections; it does not itself emit a command, every emission remaining subject to the constraint evaluation and authorization classes specified for equipment control. (Added upon the inventor’s approval, August 29, 2026, Pass 113; this section supplies the specification for the Skill Inventory Layer term used in the Core Technology Overview’s companion documents.)</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pPr>
      <w:r>
        <w:t xml:space="preserve">109.9 Contextual Value Models — where cultural, social, and ergonomic values are stored</w:t>
      </w:r>
    </w:p>
    <w:p>
      <w:r>
        <w:t xml:space="preserve">This section states where the cultural norms, social values, ergonomic preferences, and context that the modulations of this chapter apply are stored, because a reader is entitled to know that they are not stored as Fact Units and not stored as World-View Model concepts. A cultural norm, a social value, and an ergonomic preference are not assertions about the world and are not models of how the world behaves; they are declared parameters of how an already-admissible result is expressed to a particular audience. They are held in Contextual Value Models: registered, versioned, provenance-carrying configuration records that the ergonomic, cultural, and social layers of this chapter read, and that no other layer may write from its own observation.</w:t>
      </w:r>
    </w:p>
    <w:p>
      <w:r>
        <w:t xml:space="preserve">A Contextual Value Model is declared, never inferred. It is set by the requester for themselves, by an operator for a deployment, or by an author for a work, and it carries the identity that declared it and the time it was declared. It is never derived from a name, a network address, a query language, a device locale, a purchase history, or any behavioural signal, so a person is never assigned a cultural, social, or ergonomic profile by inference from who the system guesses they are. Where no model is registered for a locale or an audience, the relevant layer renders plainly rather than substituting an unregistered value, exactly as §109.5 already requires of the cultural layer.</w:t>
      </w:r>
    </w:p>
    <w:p>
      <w:r>
        <w:t xml:space="preserve">A Contextual Value Model modulates expression and nothing else. Consistent with the invariant of this chapter, it never widens or narrows a scope description, never admits or excludes a record, never alters a confidence value, and never extends the permissible vocabulary; two requesters whose scope descriptions admit identical records receive answers grounded in identical records however differently their Contextual Value Models modulate the expression. A Contextual Value Model is therefore not a grounding source: it is not citable, not traversable, and contributes to no confidence value, and a change to a Contextual Value Model changes how an answer reads and never what the answer is grounded in.</w:t>
      </w:r>
    </w:p>
    <w:p>
      <w:r>
        <w:t xml:space="preserve">Context in the sense of the determinism guarantee is stored separately again, as the enumerated locked dimensions of the context lock, and is carried with an answer as the context key rather than in a Contextual Value Model; the two are complementary and are not to be conflated, the context key fixing when two executions must agree and the Contextual Value Model governing only how a result is voiced. The placement is stated as a boundary. A fact about a culture — that a custom is observed in a place, that a term carries a connotation in a language — is a Fact Unit like any other, ingested, evidenced, and citable. A model of how such a custom relates to others is a World-View Model concept. A Contextual Value Model is neither: it is the declared preference under which the system expresses a grounded answer to a chosen audience, and holding it apart from the record and from the concept is what keeps a reader’s or an operator’s values from ever becoming, by storage alone, an assertion the system treats as true. (Drafting record, Pass 118, September 6, 2026: added upon the inventor’s direction to specify where cultural norms, social values, ergonomics, and context are stored. Contextual Value Models are registered configuration consumed by the interpretive layer of this chapter; they are additive, add no field to §3.1 and alter no behaviour of §3.6 or §3.7, and are distinct from Fact Units and from World-View Model concepts; the determinism guarantee is preserved without qualification.)</w:t>
      </w:r>
    </w:p>
    <w:p>
      <w:pPr>
        <w:pStyle w:val="Heading2"/>
        <w:spacing w:after="100" w:before="220" w:line="288" w:lineRule="auto"/>
      </w:pPr>
      <w:r>
        <w:t xml:space="preserve">109.10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adiMa5x7nBPc4RUF69WX9</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