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caps w:val="false"/>
          <w:color w:val="5F5952"/>
          <w:sz w:val="19"/>
          <w:szCs w:val="19"/>
        </w:rPr>
        <w:t xml:space="preserve">Detailed Description</w:t>
      </w:r>
    </w:p>
    <w:p>
      <w:pPr>
        <w:pStyle w:val="Heading1"/>
        <w:spacing w:after="150" w:before="320"/>
      </w:pPr>
      <w:r>
        <w:rPr>
          <w:b/>
          <w:bCs/>
          <w:color w:val="1A1714"/>
          <w:sz w:val="36"/>
          <w:szCs w:val="36"/>
        </w:rPr>
        <w:t xml:space="preserve">Core Technology Overview</w:t>
      </w:r>
    </w:p>
    <w:p>
      <w:pPr>
        <w:spacing w:after="120"/>
      </w:pPr>
      <w:r>
        <w:rPr>
          <w:caps w:val="false"/>
          <w:color w:val="5F5952"/>
          <w:sz w:val="19"/>
          <w:szCs w:val="19"/>
        </w:rPr>
        <w:t xml:space="preserve">278 features · 338 claims · Confidential</w:t>
      </w:r>
    </w:p>
    <w:p>
      <w:pPr>
        <w:spacing w:after="170" w:line="300"/>
      </w:pPr>
      <w:r>
        <w:rPr>
          <w:color w:val="1A1714"/>
          <w:sz w:val="22"/>
          <w:szCs w:val="22"/>
        </w:rPr>
        <w:t xml:space="preserve">This document describes the core technologies of the QueryBook system as presently specified. Section citations throughout refer to the specification.</w:t>
      </w:r>
    </w:p>
    <w:p>
      <w:pPr>
        <w:pStyle w:val="Heading1"/>
        <w:spacing w:after="150" w:before="320"/>
      </w:pPr>
      <w:r>
        <w:rPr>
          <w:b/>
          <w:bCs/>
          <w:color w:val="1A1714"/>
          <w:sz w:val="28"/>
          <w:szCs w:val="28"/>
        </w:rPr>
        <w:t xml:space="preserve">1.  The Fact Unit</w:t>
      </w:r>
    </w:p>
    <w:p>
      <w:pPr>
        <w:spacing w:after="170" w:line="300"/>
      </w:pPr>
      <w:r>
        <w:rPr>
          <w:color w:val="1A1714"/>
          <w:sz w:val="22"/>
          <w:szCs w:val="22"/>
        </w:rPr>
        <w:t xml:space="preserve">The fundamental data primitive of the QueryBook system is the Fact Unit: a discrete, atomic, provenance-tracked knowledge record, identified by a Fact Unit Identifier (FUID) deterministically derived from the record's content, source, and ingestion timestamp. Each Fact Unit carries a confidence score, a safety classification, a language-independent semantic fingerprint, an embedding representation, temporal anchoring, and a reference into a provenance chain, and is immutable once created — a revision produces a new, linked version rather than modifying the existing record.</w:t>
      </w:r>
    </w:p>
    <w:p>
      <w:pPr>
        <w:spacing w:after="170" w:line="300"/>
      </w:pPr>
      <w:r>
        <w:rPr>
          <w:color w:val="1A1714"/>
          <w:sz w:val="22"/>
          <w:szCs w:val="22"/>
        </w:rPr>
        <w:t xml:space="preserve">The confidence a Fact Unit carries is not a scalar. It is maintained as a first parameter accumulating evidence supporting the assertion and a second accumulating evidence contradicting it, the reported confidence being the ratio of the first to their sum, and their sum constituting the evidential weight from which a credible interval and a propagation precision are computed. The contributed weight is further attributed across registered source classes, from which a diversity measure is computed. Two records reporting an identical confidence and resting on different quantities or varieties of evidence are therefore distinguishable, which a scalar could not express. Specified at §41.6.2 and §41.6.5.</w:t>
      </w:r>
    </w:p>
    <w:p>
      <w:pPr>
        <w:pStyle w:val="Heading1"/>
        <w:spacing w:after="150" w:before="320"/>
      </w:pPr>
      <w:r>
        <w:rPr>
          <w:b/>
          <w:bCs/>
          <w:color w:val="1A1714"/>
          <w:sz w:val="28"/>
          <w:szCs w:val="28"/>
        </w:rPr>
        <w:t xml:space="preserve">2.  What QueryBook Is and Is Not</w:t>
      </w:r>
    </w:p>
    <w:p>
      <w:pPr>
        <w:spacing w:after="170" w:line="300"/>
      </w:pPr>
      <w:r>
        <w:rPr>
          <w:color w:val="1A1714"/>
          <w:sz w:val="22"/>
          <w:szCs w:val="22"/>
        </w:rPr>
        <w:t xml:space="preserve">QueryBook is not a LLM, Agent, RAG system, ChatBot or a basic Q&amp;A system based on a LLM.</w:t>
      </w:r>
    </w:p>
    <w:p>
      <w:pPr>
        <w:spacing w:after="170" w:line="300"/>
      </w:pPr>
      <w:r>
        <w:rPr>
          <w:color w:val="1A1714"/>
          <w:sz w:val="22"/>
          <w:szCs w:val="22"/>
        </w:rPr>
        <w:t xml:space="preserve">QueryBook is a fact-grounded knowledge system, embodied primarily as a question-answering system and secondarily as a multi-mode interactive platform. Every system output is derived from Fact Units — discrete, typed, atomic knowledge records, each carrying a confidence score, a safety classification, and a cryptographically verifiable provenance chain — rather than generated as unconstrained text.</w:t>
      </w:r>
    </w:p>
    <w:p>
      <w:pPr>
        <w:spacing w:after="170" w:line="300"/>
      </w:pPr>
      <w:r>
        <w:rPr>
          <w:color w:val="1A1714"/>
          <w:sz w:val="22"/>
          <w:szCs w:val="22"/>
        </w:rPr>
        <w:t xml:space="preserve">The system further comprises a Neuromorphic Cognitive Layer implementing retrieval-stabilizing convergence dynamics, temporal sequence prediction, and anticipatory pre-activation, unified with a broader Predictive Cognitive Architecture (PCA) that organizes eight independently-arising prediction mechanisms — including those of the Neuromorphic Cognitive Layer itself — together with four additional mechanisms that complete a structural correspondence to an established two-part neuroscience framework, Predictive Coding and the Thousand Brains Theory of Intelligence, and three amplifications extending the resulting architecture's predictive reach across sessions and over time. This architecture predicts at the level of semantic meaning rather than linguistic surface form, distinguishing it structurally from token-prediction-based language models.</w:t>
      </w:r>
    </w:p>
    <w:p>
      <w:pPr>
        <w:spacing w:after="170" w:line="300"/>
      </w:pPr>
      <w:r>
        <w:rPr>
          <w:color w:val="1A1714"/>
          <w:sz w:val="22"/>
          <w:szCs w:val="22"/>
        </w:rPr>
        <w:t xml:space="preserve">The system provides three distinct, non-overlapping correctness guarantees: deterministic execution for a bounded, non-Turing-complete program representation compiled from natural-language instructions; structural groundedness of generated natural-language output, in which the permissible output vocabulary is constrained to terms traceable to specific underlying Fact Units; and reproducibility between executions, asserted where and only where a context key, computed over an enumerated set of locked context dimensions, is identical. The locked dimensions are device class, entitlement set, locale, expressive register, audience level, temporal posture, traversal cost table and convergence regime. Two executions differing in a locked dimension yield differing keys and a difference between them is not a defect; two differing only in an unlocked dimension yield an identical key and a difference is a defect. Specified at §124.2. An optional formal-verification subsystem applies machine-checked proof to precisely specifiable properties of the bounded program representation, presenting the resulting proof as evidence to a human reviewer who retains sole authority to approve any resulting change; a fixed, permanently-excluded set of subsystems is structurally unreachable by any proposal regardless of the evidence offered in its support.</w:t>
      </w:r>
    </w:p>
    <w:p>
      <w:pPr>
        <w:spacing w:after="170" w:line="300"/>
      </w:pPr>
      <w:r>
        <w:rPr>
          <w:color w:val="1A1714"/>
          <w:sz w:val="22"/>
          <w:szCs w:val="22"/>
        </w:rPr>
        <w:t xml:space="preserve">The system further comprises an immersive three-dimensional presentation subsystem, an author- and instructor-attributed content-authoring model, a consent-gated live voice signal analysis capability, and a generalized external-connector architecture through which a separately-owned, separately-patented external fact-retrieval resource may optionally be connected without becoming a dependency of the core system.</w:t>
      </w:r>
    </w:p>
    <w:p>
      <w:pPr>
        <w:spacing w:after="170" w:line="300"/>
      </w:pPr>
      <w:r>
        <w:rPr>
          <w:color w:val="1A1714"/>
          <w:sz w:val="22"/>
          <w:szCs w:val="22"/>
        </w:rPr>
        <w:t xml:space="preserve">A large language model converts input into token sequences and generates output through statistical next-token prediction; it has no native mechanism to distinguish a well-supported answer from a plausible-sounding one, because both are produced by the identical generative process. QueryBook converts input into Fact Units, and generation is constrained to vocabulary traceable to those records — an ungrounded assertion is structurally unavailable to the generation process, not merely statistically discouraged.</w:t>
      </w:r>
    </w:p>
    <w:p>
      <w:pPr>
        <w:spacing w:after="170" w:line="300"/>
      </w:pPr>
      <w:r>
        <w:rPr>
          <w:color w:val="1A1714"/>
          <w:sz w:val="22"/>
          <w:szCs w:val="22"/>
        </w:rPr>
        <w:t xml:space="preserve">This distinction is implemented through a dual-architecture cognitive layer separating a Semantic Brain (work-specific, language-anchored, reversible, handling deterministic fact-anchored reasoning) from a World Brain (domain-general, language-agnostic, irreversible after a defined consolidation event, handling broader conceptual and world-state modeling) — a predictive-coding hierarchy a language model's single-matrix architecture does not have. The hierarchy is not confined to those two levels: predictive levels are registered, a prediction error is attributed to the lowest level whose model accounts for it, an escalation gate governs propagation to a higher level, and an error attributable to no registered level is retained rather than discarded. Specified at Chapter 122.</w:t>
      </w:r>
    </w:p>
    <w:p>
      <w:pPr>
        <w:pStyle w:val="Heading2"/>
        <w:spacing w:after="150" w:before="320"/>
      </w:pPr>
      <w:r>
        <w:rPr>
          <w:b/>
          <w:bCs/>
          <w:color w:val="1A1714"/>
          <w:sz w:val="24"/>
          <w:szCs w:val="24"/>
        </w:rPr>
        <w:t xml:space="preserve">2.1  Comparative Advantages Over Agent Frameworks, RAG Pipelines, and Chatbot Systems</w:t>
      </w:r>
    </w:p>
    <w:p>
      <w:pPr>
        <w:spacing w:after="170" w:line="300"/>
      </w:pPr>
      <w:r>
        <w:rPr>
          <w:color w:val="1A1714"/>
          <w:sz w:val="22"/>
          <w:szCs w:val="22"/>
        </w:rPr>
        <w:t xml:space="preserve">(a) Traceability: every response is bound to a specific, cryptographically-verifiable set of contributing Fact Units, rather than a citation naming a source without a verifiable binding to it.</w:t>
      </w:r>
    </w:p>
    <w:p>
      <w:pPr>
        <w:spacing w:after="170" w:line="300"/>
      </w:pPr>
      <w:r>
        <w:rPr>
          <w:color w:val="1A1714"/>
          <w:sz w:val="22"/>
          <w:szCs w:val="22"/>
        </w:rPr>
        <w:t xml:space="preserve">(b) Structural (not statistical) groundedness: an ungrounded output is unavailable to the generation process, as described above — a categorically different guarantee than reducing an undesired output's statistical likelihood.</w:t>
      </w:r>
    </w:p>
    <w:p>
      <w:pPr>
        <w:spacing w:after="170" w:line="300"/>
      </w:pPr>
      <w:r>
        <w:rPr>
          <w:color w:val="1A1714"/>
          <w:sz w:val="22"/>
          <w:szCs w:val="22"/>
        </w:rPr>
        <w:t xml:space="preserve">(c) Governed self-improvement: the system's own improvement process requires a named, accountable human's approval at a non-bypassable gate, with a fixed set of subsystems permanently excluded from any proposal — a governance property most agent frameworks and RAG pipelines do not specify at the architectural level.</w:t>
      </w:r>
    </w:p>
    <w:p>
      <w:pPr>
        <w:spacing w:after="170" w:line="300"/>
      </w:pPr>
      <w:r>
        <w:rPr>
          <w:color w:val="1A1714"/>
          <w:sz w:val="22"/>
          <w:szCs w:val="22"/>
        </w:rPr>
        <w:t xml:space="preserve">(d) Deployment flexibility: the same architecture operates across five topologies — multi-tenant hosted, single-tenant local, single-device, hybrid, in which substrate and access domains sit in customer infrastructure with media assets in operator infrastructure, and edge, a frequency-selected cache near a reader concentration that holds no authority and escalates where entitlement requires — rather than requiring continuous access to a hosted inference endpoint. Specified at §107.1.</w:t>
      </w:r>
    </w:p>
    <w:p>
      <w:pPr>
        <w:spacing w:after="170" w:line="300"/>
      </w:pPr>
      <w:r>
        <w:rPr>
          <w:color w:val="1A1714"/>
          <w:sz w:val="22"/>
          <w:szCs w:val="22"/>
        </w:rPr>
        <w:t xml:space="preserve">(e) Directed, non-adopted external integration: connections to external systems — including other agent platforms — dispatch specific, declared actions only, without the connecting system acquiring the external platform's own broader authority, addressed further in Section 14 below.</w:t>
      </w:r>
    </w:p>
    <w:p>
      <w:pPr>
        <w:spacing w:after="170" w:line="300"/>
      </w:pPr>
      <w:r>
        <w:rPr>
          <w:color w:val="1A1714"/>
          <w:sz w:val="22"/>
          <w:szCs w:val="22"/>
        </w:rPr>
        <w:t xml:space="preserve">(f) Measured self-assessment: the behavioural probes specified for evaluating an external system are applicable to this system, and the trial architecture measures determinism, refusal integrity and coverage against enumerated trial spaces, reporting the uncovered residue rather than summarising it. Specified at Chapter 117.</w:t>
      </w:r>
    </w:p>
    <w:p>
      <w:pPr>
        <w:spacing w:after="170" w:line="300"/>
      </w:pPr>
      <w:r>
        <w:rPr>
          <w:color w:val="1A1714"/>
          <w:sz w:val="22"/>
          <w:szCs w:val="22"/>
        </w:rPr>
        <w:t xml:space="preserve">This comparison is made at the level of architectural properties actually specified in this application. It does not include specific, unverified performance or cost claims — for example, relative compute cost or hardware requirements — consistent with this application's practice of citing only claims traceable to specified mechanisms.</w:t>
      </w:r>
    </w:p>
    <w:p>
      <w:pPr>
        <w:pStyle w:val="Heading1"/>
        <w:spacing w:after="150" w:before="320"/>
      </w:pPr>
      <w:r>
        <w:rPr>
          <w:b/>
          <w:bCs/>
          <w:color w:val="1A1714"/>
          <w:sz w:val="28"/>
          <w:szCs w:val="28"/>
        </w:rPr>
        <w:t xml:space="preserve">QueryBook Core Technologies</w:t>
      </w:r>
    </w:p>
    <w:p>
      <w:pPr>
        <w:pStyle w:val="Heading1"/>
        <w:spacing w:after="150" w:before="320"/>
      </w:pPr>
      <w:r>
        <w:rPr>
          <w:b/>
          <w:bCs/>
          <w:color w:val="1A1714"/>
          <w:sz w:val="28"/>
          <w:szCs w:val="28"/>
        </w:rPr>
        <w:t xml:space="preserve">3.  Neuromorphic Cognitive Layer (NCL) and Retrieval Stabilization</w:t>
      </w:r>
    </w:p>
    <w:p>
      <w:pPr>
        <w:spacing w:after="170" w:line="300"/>
      </w:pPr>
      <w:r>
        <w:rPr>
          <w:color w:val="1A1714"/>
          <w:sz w:val="22"/>
          <w:szCs w:val="22"/>
        </w:rPr>
        <w:t xml:space="preserve">A Neuromorphic Cognitive Layer implements retrieval stabilization through a continuous-valued associative memory network that iteratively updates an initial candidate Fact Unit activation set according to a defined convergence rule until the set reaches a stable state, resolving ambiguous queries to their best-supported interpretation as a single, deterministic convergence process. The same Neuromorphic Cognitive Layer additionally implements the Temporal Memory Module and the pre-activation sense of the Associative Recall Engine described in Section 21 below as components of the Predictive Cognitive Architecture — these are not separate systems loosely inspired by neuromorphic principles, but structural components specified within the Neuromorphic Cognitive Layer itself, unified with the broader predictive architecture in Section 21.</w:t>
      </w:r>
    </w:p>
    <w:p>
      <w:pPr>
        <w:spacing w:after="170" w:line="290"/>
        <w:ind w:left="360"/>
      </w:pPr>
      <w:r>
        <w:rPr>
          <w:b/>
          <w:bCs/>
          <w:color w:val="2F5347"/>
          <w:sz w:val="19"/>
          <w:szCs w:val="19"/>
        </w:rPr>
        <w:t xml:space="preserve">NEUROMORPHIC CORRESPONDENCE.  </w:t>
      </w:r>
      <w:r>
        <w:rPr>
          <w:color w:val="1A1714"/>
          <w:sz w:val="21"/>
          <w:szCs w:val="21"/>
        </w:rPr>
        <w:t xml:space="preserve">The convergence network is an attractor network in the sense of Hopfield (1982, PNAS 79:2554–2558), and the capacity ceiling named at §7.6.4 is the storage limit established for Hebbian-prescribed weights by Amit, Gutfreund and Sompolinsky (1985, Physical Review Letters 55:1530–1533), at which retrieval states disappear discontinuously — a first-order phase transition rather than a gradual degradation. The set of initial configurations converging upon a given equilibrium is that equilibrium's attractor basin; under the spectral contraction of §116.2 the whole configuration space forms a single basin, which is what makes the converged state unique. Weight updating follows a Hebbian rule, incrementing the weight between two records upon their co-activation, and is deterministic and auditable rather than fitted by gradient descent — a distinction stated because the term is otherwise apt to be read as implying training.</w:t>
      </w:r>
    </w:p>
    <w:p>
      <w:pPr>
        <w:spacing w:after="170" w:line="300"/>
      </w:pPr>
      <w:r>
        <w:rPr>
          <w:color w:val="1A1714"/>
          <w:sz w:val="22"/>
          <w:szCs w:val="22"/>
        </w:rPr>
        <w:t xml:space="preserve">Four properties govern the convergence. The update decreases monotonically an energy over the configuration, so termination follows from the descent rather than from an iteration bound. The capacity at which retrieval states cease to exist is named as a first-order phase boundary, with a conservative operating ceiling below it. A network may elect a spectral-norm contraction under which the equilibrium is unique independently of the starting configuration, and an output discloses which convergence regime produced it. And the same convergence is applied at hyperedge granularity, completing a partially-observed hyperedge weighted by each constituent's confidence and accumulated evidence. Specified at §7.6.4, §53.7, §116.1 and §116.2.</w:t>
      </w:r>
    </w:p>
    <w:p>
      <w:pPr>
        <w:spacing w:after="170" w:line="300"/>
      </w:pPr>
      <w:r>
        <w:rPr>
          <w:color w:val="1A1714"/>
          <w:sz w:val="22"/>
          <w:szCs w:val="22"/>
        </w:rPr>
        <w:t xml:space="preserve">The convergence additionally admits an analog realization. The threshold update is a weighted sum followed by a sign, which a crossbar of variable-conductance elements performs physically by Ohm's and Kirchhoff's laws in a single settling; for a network of 8,192 units one digital update performs 67,108,864 multiply-accumulate operations where one settling performs a single physical operation. An analog realization is permitted only under the unique-equilibrium regime, because two arrays whose conductances differ by fabrication tolerance settle to a common equilibrium only where the equilibrium is unique. In simulation over 64 units holding six patterns, two matrices differing by five per cent conductance variation settled differently on 30.5 per cent of inputs under the capacity bound and on 0.5 per cent under a contraction. Specified at §7.7.</w:t>
      </w:r>
    </w:p>
    <w:p>
      <w:pPr>
        <w:pStyle w:val="Heading1"/>
        <w:spacing w:after="150" w:before="320"/>
      </w:pPr>
      <w:r>
        <w:rPr>
          <w:b/>
          <w:bCs/>
          <w:color w:val="1A1714"/>
          <w:sz w:val="28"/>
          <w:szCs w:val="28"/>
        </w:rPr>
        <w:t xml:space="preserve">4.  Cross-Domain Consistency</w:t>
      </w:r>
    </w:p>
    <w:p>
      <w:pPr>
        <w:spacing w:after="170" w:line="300"/>
      </w:pPr>
      <w:r>
        <w:rPr>
          <w:color w:val="1A1714"/>
          <w:sz w:val="22"/>
          <w:szCs w:val="22"/>
        </w:rPr>
        <w:t xml:space="preserve">A rule engine evaluates a probabilistically-weighted, temporally-scoped rule set incrementally as new Fact Units are ingested, maintaining a persistent, queryable index of currently-active contradictions, supporting multi-hop reasoning.</w:t>
      </w:r>
    </w:p>
    <w:p>
      <w:pPr>
        <w:spacing w:after="170" w:line="300"/>
      </w:pPr>
      <w:r>
        <w:rPr>
          <w:color w:val="1A1714"/>
          <w:sz w:val="22"/>
          <w:szCs w:val="22"/>
        </w:rPr>
        <w:t xml:space="preserve">A coherence classification operates over six dimensions — semantic, temporal, spatial, editorial, media and evidential — with the governing value taken as the least of the six rather than their mean, because a mean permits five strong dimensions to conceal the one weak dimension that constitutes the finding. Classification names the dimension that produced it, and distinguishes two states from the three graded ones: incomplete, where a dimension cannot be computed for want of data, and contradictory, where two records assert incompatible content. A coherence value informs and never gates. Specified at §124.1.</w:t>
      </w:r>
    </w:p>
    <w:p>
      <w:pPr>
        <w:pStyle w:val="Heading1"/>
        <w:spacing w:after="150" w:before="320"/>
      </w:pPr>
      <w:r>
        <w:rPr>
          <w:b/>
          <w:bCs/>
          <w:color w:val="1A1714"/>
          <w:sz w:val="28"/>
          <w:szCs w:val="28"/>
        </w:rPr>
        <w:t xml:space="preserve">5.  Confidence Calibration</w:t>
      </w:r>
    </w:p>
    <w:p>
      <w:pPr>
        <w:spacing w:after="170" w:line="300"/>
      </w:pPr>
      <w:r>
        <w:rPr>
          <w:color w:val="1A1714"/>
          <w:sz w:val="22"/>
          <w:szCs w:val="22"/>
        </w:rPr>
        <w:t xml:space="preserve">Each Fact Unit's confidence score is produced by a calibration process integrating extraction confidence, source reliability, a modality-specific coefficient, and temporal decay. A Fact Unit independently corroborated by more than one ingestion modality receives a calibrated confidence bonus.</w:t>
      </w:r>
    </w:p>
    <w:p>
      <w:pPr>
        <w:spacing w:after="170" w:line="290"/>
        <w:ind w:left="360"/>
      </w:pPr>
      <w:r>
        <w:rPr>
          <w:b/>
          <w:bCs/>
          <w:color w:val="2F5347"/>
          <w:sz w:val="19"/>
          <w:szCs w:val="19"/>
        </w:rPr>
        <w:t xml:space="preserve">NEUROMORPHIC CORRESPONDENCE.  </w:t>
      </w:r>
      <w:r>
        <w:rPr>
          <w:color w:val="1A1714"/>
          <w:sz w:val="21"/>
          <w:szCs w:val="21"/>
        </w:rPr>
        <w:t xml:space="preserve">The cross-modality elevation corresponds to intersensory redundancy as established by Bahrick and Lickliter (2000, Developmental Psychology 36:190–201): a property presented concurrently to two or more senses is detected earlier and more reliably than the same property presented to one. The scaling by temporal synchrony is drawn from the same finding — what makes two modal observations independent evidence rather than one event observed twice is that they co-occur within a window narrow enough to indicate a common cause.</w:t>
      </w:r>
    </w:p>
    <w:p>
      <w:pPr>
        <w:spacing w:after="170" w:line="300"/>
      </w:pPr>
      <w:r>
        <w:rPr>
          <w:color w:val="1A1714"/>
          <w:sz w:val="22"/>
          <w:szCs w:val="22"/>
        </w:rPr>
        <w:t xml:space="preserve">Calibration operates upon the evidence pair of Section 1 rather than upon a scalar. Temporal decay acts upon the parameters toward the prior, preserving the reported mean while widening the credible interval, rather than reducing the reported confidence directly. The cross-modality bonus is generalized: corroboration is weighted by source-class diversity, so that repeated corroboration within one class contributes less than corroboration across several, and a corroboration offered from a class already dominating the parameter is admitted at reduced weight. Specified at §41.6.2 and §41.6.5.</w:t>
      </w:r>
    </w:p>
    <w:p>
      <w:pPr>
        <w:pStyle w:val="Heading1"/>
        <w:spacing w:after="150" w:before="320"/>
      </w:pPr>
      <w:r>
        <w:rPr>
          <w:b/>
          <w:bCs/>
          <w:color w:val="1A1714"/>
          <w:sz w:val="28"/>
          <w:szCs w:val="28"/>
        </w:rPr>
        <w:t xml:space="preserve">6.  Deterministic Provenance</w:t>
      </w:r>
    </w:p>
    <w:p>
      <w:pPr>
        <w:spacing w:after="170" w:line="300"/>
      </w:pPr>
      <w:r>
        <w:rPr>
          <w:color w:val="1A1714"/>
          <w:sz w:val="22"/>
          <w:szCs w:val="22"/>
        </w:rPr>
        <w:t xml:space="preserve">Every Fact Unit's derivation is recorded in a provenance ledger implemented as a Merkle directed acyclic graph, in which each node carries a keyed cryptographic checksum sufficient to detect any operation that bypassed a required safety evaluation, enabling independent, third-party verification of any cited response.</w:t>
      </w:r>
    </w:p>
    <w:p>
      <w:pPr>
        <w:spacing w:after="170" w:line="300"/>
      </w:pPr>
      <w:r>
        <w:rPr>
          <w:color w:val="1A1714"/>
          <w:sz w:val="22"/>
          <w:szCs w:val="22"/>
        </w:rPr>
        <w:t xml:space="preserve">Each node is additionally signed under a key of the deployment, so that the chain is verifiable by a party holding the corresponding verification key without access to the system that produced it. Verification establishes that a recorded operation and its recorded safety evaluation are as written; it establishes nothing about the correctness of the operation, and the distinction is stated so that an audit is not read as more than it is. Specified at §107.5.</w:t>
      </w:r>
    </w:p>
    <w:p>
      <w:pPr>
        <w:pStyle w:val="Heading1"/>
        <w:spacing w:after="150" w:before="320"/>
      </w:pPr>
      <w:r>
        <w:rPr>
          <w:b/>
          <w:bCs/>
          <w:color w:val="1A1714"/>
          <w:sz w:val="28"/>
          <w:szCs w:val="28"/>
        </w:rPr>
        <w:t xml:space="preserve">7.  Multimodal Ingestion</w:t>
      </w:r>
    </w:p>
    <w:p>
      <w:pPr>
        <w:spacing w:after="170" w:line="300"/>
      </w:pPr>
      <w:r>
        <w:rPr>
          <w:color w:val="1A1714"/>
          <w:sz w:val="22"/>
          <w:szCs w:val="22"/>
        </w:rPr>
        <w:t xml:space="preserve">Content is ingested across eight defined modalities through independent, per-modality extraction processors converging on the common Fact Unit schema, with a defined fallback — best-effort resolution by structural similarity, or an explicit, stated halt — for content that does not cleanly resolve to any of the eight. The system is designed specifically to extend a static text, document, or media asset into a live, interactive question-answering capability, and is not limited to single-source ingestion: multiple documents may be ingested into a common Fact Graph, queried, compared, and cross-referenced against one another, with contradiction and temporal-inconsistency detection (Section 4 above) operating across ingested sources rather than being confined to any single one.</w:t>
      </w:r>
    </w:p>
    <w:p>
      <w:pPr>
        <w:spacing w:after="170" w:line="300"/>
      </w:pPr>
      <w:r>
        <w:rPr>
          <w:color w:val="1A1714"/>
          <w:sz w:val="22"/>
          <w:szCs w:val="22"/>
        </w:rPr>
        <w:t xml:space="preserve">Two further ingestion pathways operate alongside the eight modalities. A computational substrate external to the system — a neuromorphic processor, a memristive array, a multi-electrode array — may be registered as a source and its output registered as a modality with its own independently-failing extractor; such output is admitted as a measurement of the substrate's behaviour and bears upon any other subject only through an interpretation registered in advance. Specified at §4.10. And an external machine-learning engine may be prompted and its reply ingested, which is Section 41 below.</w:t>
      </w:r>
    </w:p>
    <w:p>
      <w:pPr>
        <w:pStyle w:val="Heading2"/>
        <w:spacing w:after="150" w:before="320"/>
      </w:pPr>
      <w:r>
        <w:rPr>
          <w:b/>
          <w:bCs/>
          <w:color w:val="1A1714"/>
          <w:sz w:val="24"/>
          <w:szCs w:val="24"/>
        </w:rPr>
        <w:t xml:space="preserve">7.1  Multi-Language and Translation Capability</w:t>
      </w:r>
    </w:p>
    <w:p>
      <w:pPr>
        <w:spacing w:after="170" w:line="300"/>
      </w:pPr>
      <w:r>
        <w:rPr>
          <w:color w:val="1A1714"/>
          <w:sz w:val="22"/>
          <w:szCs w:val="22"/>
        </w:rPr>
        <w:t xml:space="preserve">Because a Fact Unit's identity is anchored to a language-independent semantic fingerprint rather than to the specific language of its source text, the same underlying Fact Graph supports query and response generation in multiple languages without separate, per-language re-ingestion. A dedicated multilingual regeneration capability generates natural-language output directly from the language-independent Narrative Graph and its underlying Fact Units for a requested target language, applying the identical structural-groundedness constraint of Section 6 regardless of output language — a translated response is subject to the same traceability requirement as a response in the content's original language, rather than being generated by translating already-generated text after the fact.</w:t>
      </w:r>
    </w:p>
    <w:p>
      <w:pPr>
        <w:spacing w:after="170" w:line="300"/>
      </w:pPr>
      <w:r>
        <w:rPr>
          <w:color w:val="1A1714"/>
          <w:sz w:val="22"/>
          <w:szCs w:val="22"/>
        </w:rPr>
        <w:t xml:space="preserve">Three refinements qualify that regeneration. A wording-operative span — a quotation, a statutory phrase, a claim term, a prescribed instruction — is reproduced verbatim in its source language with a separately-marked non-operative gloss, because regenerating a span that carries force alters the force. An idiom is resolved by detecting divergence between its compositional and attested readings and substituting only a registered equivalent, a surface-similarity selection being refused. And two or more language realizations may be presented simultaneously, aligned by knowledge record rather than by position, so a citation taken in either resolves to the same record. Specified at §16.7, §16.8 and §107.4.</w:t>
      </w:r>
    </w:p>
    <w:p>
      <w:pPr>
        <w:pStyle w:val="Heading1"/>
        <w:spacing w:after="150" w:before="320"/>
      </w:pPr>
      <w:r>
        <w:rPr>
          <w:b/>
          <w:bCs/>
          <w:color w:val="1A1714"/>
          <w:sz w:val="28"/>
          <w:szCs w:val="28"/>
        </w:rPr>
        <w:t xml:space="preserve">8.  License-Scoped Query Restriction</w:t>
      </w:r>
    </w:p>
    <w:p>
      <w:pPr>
        <w:spacing w:after="170" w:line="300"/>
      </w:pPr>
      <w:r>
        <w:rPr>
          <w:color w:val="1A1714"/>
          <w:sz w:val="22"/>
          <w:szCs w:val="22"/>
        </w:rPr>
        <w:t xml:space="preserve">Every query is evaluated against the requesting identity's actual licensed content scope before execution, enforced at the query-execution layer itself rather than as a post-hoc filter.</w:t>
      </w:r>
    </w:p>
    <w:p>
      <w:pPr>
        <w:spacing w:after="170" w:line="300"/>
      </w:pPr>
      <w:r>
        <w:rPr>
          <w:color w:val="1A1714"/>
          <w:sz w:val="22"/>
          <w:szCs w:val="22"/>
        </w:rPr>
        <w:t xml:space="preserve">The scope description constructed before traversal is bounded by four further conditions where they apply: an analysis record is excluded from a scope description constructed for a query not directed to it; a reader's progress marker excludes a record whose narrative position exceeds it where spoiler protection is elected; an attestation cutoff excludes a record attested later than the cutoff where the scope is constructed for a retrospective forecast run; and the intersection of participants' entitlements bounds a shared session. In every case the excluded record is not traversable rather than removed from a result. Specified at §96.10, §105.7, §103.3 and §105.4.</w:t>
      </w:r>
    </w:p>
    <w:p>
      <w:pPr>
        <w:pStyle w:val="Heading1"/>
        <w:spacing w:after="150" w:before="320"/>
      </w:pPr>
      <w:r>
        <w:rPr>
          <w:b/>
          <w:bCs/>
          <w:color w:val="1A1714"/>
          <w:sz w:val="28"/>
          <w:szCs w:val="28"/>
        </w:rPr>
        <w:t xml:space="preserve">9.  Live Interaction Voice Signal Analysis</w:t>
      </w:r>
    </w:p>
    <w:p>
      <w:pPr>
        <w:spacing w:after="170" w:line="300"/>
      </w:pPr>
      <w:r>
        <w:rPr>
          <w:color w:val="1A1714"/>
          <w:sz w:val="22"/>
          <w:szCs w:val="22"/>
        </w:rPr>
        <w:t xml:space="preserve">Where a live, present user explicitly and revocably opts in, prosodic and acoustic features of that user's voice during an active session may be analyzed using the same extraction technique already specified for ingested audio content, applied to a live stream instead. This capability is strictly opt-in, disabled by default, and immediately halted upon revocation; it feeds an existing clarification-request mechanism as an additional, optional input and, where directly queried, is presented as an inference carrying an explicit confidence score rather than an assertion of the user's actual internal state.</w:t>
      </w:r>
    </w:p>
    <w:p>
      <w:pPr>
        <w:spacing w:after="170" w:line="300"/>
      </w:pPr>
      <w:r>
        <w:rPr>
          <w:color w:val="1A1714"/>
          <w:sz w:val="22"/>
          <w:szCs w:val="22"/>
        </w:rPr>
        <w:t xml:space="preserve">A distinct voice capability operates separately and is not to be conflated with this one: voice navigation accepts spoken command and query input under its own session-scoped revocable consent, routes the transcription through intent classification separating query intent from operational intent, requests clarification below the confidence threshold rather than selecting an interpretation, discards audio after transcription, derives no voiceprint or biometric identifier, and requires a second-modality confirmation for any state-changing instruction. Navigation consumes the words; the analysis of this section consumes the signal; enabling either does not enable the other. Specified at §105.6.</w:t>
      </w:r>
    </w:p>
    <w:p>
      <w:pPr>
        <w:pStyle w:val="Heading1"/>
        <w:spacing w:after="150" w:before="320"/>
      </w:pPr>
      <w:r>
        <w:rPr>
          <w:b/>
          <w:bCs/>
          <w:color w:val="1A1714"/>
          <w:sz w:val="28"/>
          <w:szCs w:val="28"/>
        </w:rPr>
        <w:t xml:space="preserve">10.  The Prime Directive</w:t>
      </w:r>
    </w:p>
    <w:p>
      <w:pPr>
        <w:spacing w:after="170" w:line="300"/>
      </w:pPr>
      <w:r>
        <w:rPr>
          <w:color w:val="1A1714"/>
          <w:sz w:val="22"/>
          <w:szCs w:val="22"/>
        </w:rPr>
        <w:t xml:space="preserve">A foundational constraint, the Prime Directive, governs every subsystem described in this application uniformly: the system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No subsystem is exempt from this constraint, and no subsystem may be configured to bypass it. A companion rule, the Without-Information Rule, specifically prohibits withholding information a requester is entitled to receive as a means of avoiding a harm determination — the system may not resolve a difficult case by silently omitting the answer.</w:t>
      </w:r>
    </w:p>
    <w:p>
      <w:pPr>
        <w:spacing w:after="170" w:line="300"/>
      </w:pPr>
      <w:r>
        <w:rPr>
          <w:color w:val="1A1714"/>
          <w:sz w:val="22"/>
          <w:szCs w:val="22"/>
        </w:rPr>
        <w:t xml:space="preserve">The Prime Directive is specified as Domain 0, a vertical domain penetrating every horizontal domain, and owns four mechanisms in addition to the constraint itself: the safety enforcement plane, the transfer matrix governing every permitted movement between domains, the path-separation invariant, and the scheduling priority ordering. Each is a member of the permanently-excluded subsystem set, and the placement is not administrative: the transfer matrix contains the entry denying the platform-governance domain a transfer to Domain 0, and were the matrix owned by that domain, the exclusion protecting the Prime Directive would be administered by the party it excludes. Specified at Chapter 106.</w:t>
      </w:r>
    </w:p>
    <w:p>
      <w:pPr>
        <w:pStyle w:val="Heading1"/>
        <w:spacing w:after="150" w:before="320"/>
      </w:pPr>
      <w:r>
        <w:rPr>
          <w:b/>
          <w:bCs/>
          <w:color w:val="1A1714"/>
          <w:sz w:val="28"/>
          <w:szCs w:val="28"/>
        </w:rPr>
        <w:t xml:space="preserve">11.  World-View Model (WVM)</w:t>
      </w:r>
    </w:p>
    <w:p>
      <w:pPr>
        <w:spacing w:after="170" w:line="300"/>
      </w:pPr>
      <w:r>
        <w:rPr>
          <w:color w:val="1A1714"/>
          <w:sz w:val="22"/>
          <w:szCs w:val="22"/>
        </w:rPr>
        <w:t xml:space="preserve">A World-View Model implements the system's semantic spine, spanning ontology, causality, and time across the platform, natively and without dependency on any external or independently-operable technology. The WVM implements an ontological hierarchy, a causal graph, a temporal model, a semantic consistency engine validating non-contradiction, causal coherence, temporal alignment, and ontological validity across the knowledge graph, and versioning of the world model itself as it evolves with new ingested content. The WVM is distinct from, and complementary to, physical and embodied world modeling used for sensor and device contexts specifically — the WVM is the general semantic spine; physical-context modeling is a separate, narrower layer serving embodied applications.</w:t>
      </w:r>
    </w:p>
    <w:p>
      <w:pPr>
        <w:spacing w:after="170" w:line="300"/>
      </w:pPr>
      <w:r>
        <w:rPr>
          <w:color w:val="1A1714"/>
          <w:sz w:val="22"/>
          <w:szCs w:val="22"/>
        </w:rPr>
        <w:t xml:space="preserve">Three mechanisms of the WVM are specified in detail. Attribute inheritance along IS-A chains computes confidence as the product of the traversed edges at traversal time rather than writing it back; an exception override suppresses an inherited value for a subordinate and its subordinates by specificity ordering, leaving the superordinate unmodified; and where two conflicting attributes are inherited at identical depth the system performs no resolution at all, recording the conflict and reporting both values with their originating concepts, because an arbitrary tie-break produces an answer that is reproducible without being grounded. Inverse traversal proceeds only through a declared inverse predicate, no second edge being stored. Specified at §54.6.</w:t>
      </w:r>
    </w:p>
    <w:p>
      <w:pPr>
        <w:spacing w:after="170" w:line="290"/>
        <w:ind w:left="360"/>
      </w:pPr>
      <w:r>
        <w:rPr>
          <w:b/>
          <w:bCs/>
          <w:color w:val="2F5347"/>
          <w:sz w:val="19"/>
          <w:szCs w:val="19"/>
        </w:rPr>
        <w:t xml:space="preserve">NEUROMORPHIC CORRESPONDENCE.  </w:t>
      </w:r>
      <w:r>
        <w:rPr>
          <w:color w:val="1A1714"/>
          <w:sz w:val="21"/>
          <w:szCs w:val="21"/>
        </w:rPr>
        <w:t xml:space="preserve">Two further correspondences are carried by mechanisms of this layer. Spatial indexing over a hexagonal tiling corresponds to the firing structure of entorhinal grid cells reported by Hafting et al. (2005, Nature 436:801–806), the hexagonal arrangement being adopted because it tiles a plane with uniform neighbour distance rather than because a grid cell resembles an index. And the retention of a single object identity across a full occlusion within a session corresponds to object permanence as described by Piaget (1954): the object is not re-created as a second node upon reappearing, because it was never treated as having ceased to exist.</w:t>
      </w:r>
    </w:p>
    <w:p>
      <w:pPr>
        <w:spacing w:after="170" w:line="300"/>
      </w:pPr>
      <w:r>
        <w:rPr>
          <w:color w:val="1A1714"/>
          <w:sz w:val="22"/>
          <w:szCs w:val="22"/>
        </w:rPr>
        <w:t xml:space="preserve">The physical-context layer referred to above carries a stated mechanism. A governing physical constraint is registered with a closed-form residual expression, a tolerance, SI units, a mandatory applicability predicate and its provenance; a scene completion is evaluated against every applicable constraint before plausibility scoring, and a completion whose residual exceeds tolerance is absent from the ranked output at any score. A gap is preferred to an impossible completion. An ingested observation is not refused by this mechanism, being routed instead to the contradiction index. Specified at §53.9.</w:t>
      </w:r>
    </w:p>
    <w:p>
      <w:pPr>
        <w:pStyle w:val="Heading1"/>
        <w:spacing w:after="150" w:before="320"/>
      </w:pPr>
      <w:r>
        <w:rPr>
          <w:b/>
          <w:bCs/>
          <w:color w:val="1A1714"/>
          <w:sz w:val="28"/>
          <w:szCs w:val="28"/>
        </w:rPr>
        <w:t xml:space="preserve">12.  Fact Unit Example</w:t>
      </w:r>
    </w:p>
    <w:p>
      <w:pPr>
        <w:spacing w:after="170" w:line="300"/>
      </w:pPr>
      <w:r>
        <w:rPr>
          <w:color w:val="1A1714"/>
          <w:sz w:val="22"/>
          <w:szCs w:val="22"/>
        </w:rPr>
        <w:t xml:space="preserve">The following illustrates the Fact Unit architecture of Section 1 applied to a concrete assertion. Given source content stating that a named entity is located within a named containing region, the ingestion pipeline resolves the subject and object references to canonical, language-neutral identifiers within the Ontology Mesh, resolves the asserted relationship to a canonical predicate identifier, and constructs a Fact Unit binding the three: a deterministically-derived FUID; the resolved semantic assertion; a confidence score reflecting extraction agreement and source reliability; a safety classification; a temporal anchor reflecting when the assertion was true and when it was ingested; and a provenance reference identifying the specific source passage. A subsequent query requesting the location of the same named entity resolves through the identical canonical identifiers, retrieves the constructed Fact Unit deterministically — not through approximate text matching — and regenerates a natural-language answer citing the specific Fact Unit and its source passage. Where source content is later revised, a new, linked Fact Unit version is created rather than the original being modified, with both versions independently queryable through the version chain.</w:t>
      </w:r>
    </w:p>
    <w:p>
      <w:pPr>
        <w:pStyle w:val="Heading1"/>
        <w:spacing w:after="150" w:before="320"/>
      </w:pPr>
      <w:r>
        <w:rPr>
          <w:b/>
          <w:bCs/>
          <w:color w:val="1A1714"/>
          <w:sz w:val="28"/>
          <w:szCs w:val="28"/>
        </w:rPr>
        <w:t xml:space="preserve">13.  Encryption and Access Control</w:t>
      </w:r>
    </w:p>
    <w:p>
      <w:pPr>
        <w:spacing w:after="170" w:line="300"/>
      </w:pPr>
      <w:r>
        <w:rPr>
          <w:color w:val="1A1714"/>
          <w:sz w:val="22"/>
          <w:szCs w:val="22"/>
        </w:rPr>
        <w:t xml:space="preserve">An opt-in, passphrase-derived encryption mechanism protects an individual user's own session and interaction history such that the platform itself cannot decrypt that history without the user's own passphrase — a zero-knowledge property in the standard security sense. Where this mechanism is active, account erasure is implemented cryptographically: destroying the associated private key record renders the encrypted history permanently unreadable without requiring individual enumeration and deletion of every underlying record. Access to platform capabilities generally is governed by a role-based portal architecture scoped to a small set of defined roles, each mapped to a defined capability set, with a separate mechanism for granting a time-scoped, context-specific capability to an identity for a bounded purpose without creating a new role or broadening that identity's general access.</w:t>
      </w:r>
    </w:p>
    <w:p>
      <w:pPr>
        <w:spacing w:after="170" w:line="300"/>
      </w:pPr>
      <w:r>
        <w:rPr>
          <w:color w:val="1A1714"/>
          <w:sz w:val="22"/>
          <w:szCs w:val="22"/>
        </w:rPr>
        <w:t xml:space="preserve">Key custody is specified alongside it: an encryption key is scoped to a tenant or a deployment such that a key of one tenant decrypts no content of another, and key material is held within a hardware or equivalent custody boundary where a deployment configures one, in which case the system holds a handle rather than the key and every use is a call across that boundary. The zero-knowledge election of this section is unchanged and is not weakened by the presence of a hardware module: where it is in effect, no operator-held key exists under any configuration. Specified at §107.5.</w:t>
      </w:r>
    </w:p>
    <w:p>
      <w:pPr>
        <w:pStyle w:val="Heading1"/>
        <w:spacing w:after="150" w:before="320"/>
      </w:pPr>
      <w:r>
        <w:rPr>
          <w:b/>
          <w:bCs/>
          <w:color w:val="1A1714"/>
          <w:sz w:val="28"/>
          <w:szCs w:val="28"/>
        </w:rPr>
        <w:t xml:space="preserve">14.  External System Integration — Directed Delegation</w:t>
      </w:r>
    </w:p>
    <w:p>
      <w:pPr>
        <w:spacing w:after="170" w:line="300"/>
      </w:pPr>
      <w:r>
        <w:rPr>
          <w:color w:val="1A1714"/>
          <w:sz w:val="22"/>
          <w:szCs w:val="22"/>
        </w:rPr>
        <w:t xml:space="preserve">Where the system connects to an external agent platform or device — for example, a robotics or IoT platform — it does so through the generalized connector architecture of Section 8, dispatching only specific, declared actions the external platform's registered capability declaration authorizes, and acquiring no native or general control over that external platform beyond those declared actions. Where an operator additionally elects to register an external blockchain-based ownership-verification service for a specific published title's resale — an optional, per-title, publisher-initiated choice — the system acts as the requesting party to that external, pre-existing verification service; the system does not itself operate blockchain infrastructure, and no title uses this mechanism by default.</w:t>
      </w:r>
    </w:p>
    <w:p>
      <w:pPr>
        <w:spacing w:after="170" w:line="300"/>
      </w:pPr>
      <w:r>
        <w:rPr>
          <w:color w:val="1A1714"/>
          <w:sz w:val="22"/>
          <w:szCs w:val="22"/>
        </w:rPr>
        <w:t xml:space="preserve">The proposition that connection confers no dependency is structural rather than asserted, in three respects verifiable against the application itself: no claim recites an external fact-query system as an element; no transfer-matrix entry permits a domain to require an external resource in order to complete an operation, the external-integration domain's failure being contained to its own capability; and the determinism guarantee is established by the constrained-vocabulary generation and the bounded stable-state capacity rather than by any property of an external system. Specified at §107.7. Direct command emission to physical equipment is specified for one bounded class, which qualifies the position this section otherwise takes; it is described at Sections 33 and 34 below.</w:t>
      </w:r>
    </w:p>
    <w:p>
      <w:pPr>
        <w:pStyle w:val="Heading1"/>
        <w:spacing w:after="150" w:before="320"/>
      </w:pPr>
      <w:r>
        <w:rPr>
          <w:b/>
          <w:bCs/>
          <w:color w:val="1A1714"/>
          <w:sz w:val="28"/>
          <w:szCs w:val="28"/>
        </w:rPr>
        <w:t xml:space="preserve">15.  Moderation Appeals</w:t>
      </w:r>
    </w:p>
    <w:p>
      <w:pPr>
        <w:spacing w:after="170" w:line="300"/>
      </w:pPr>
      <w:r>
        <w:rPr>
          <w:color w:val="1A1714"/>
          <w:sz w:val="22"/>
          <w:szCs w:val="22"/>
        </w:rPr>
        <w:t xml:space="preserve">Where content is moderated, an affected identity may submit a formal appeal referencing the original moderation action's provenance record. A narrative explanation of the original decision is generated from the same grounded generation pipeline as any other system output, routed to a human reviewer distinct from the original moderator, whose uphold, reverse, or modify decision is logged with the reviewer's identity and stated reasoning. The original decision remains in effect during the review period.</w:t>
      </w:r>
    </w:p>
    <w:p>
      <w:pPr>
        <w:pStyle w:val="Heading1"/>
        <w:spacing w:after="150" w:before="320"/>
      </w:pPr>
      <w:r>
        <w:rPr>
          <w:b/>
          <w:bCs/>
          <w:color w:val="1A1714"/>
          <w:sz w:val="28"/>
          <w:szCs w:val="28"/>
        </w:rPr>
        <w:t xml:space="preserve">16.  Data Export and Portability</w:t>
      </w:r>
    </w:p>
    <w:p>
      <w:pPr>
        <w:spacing w:after="170" w:line="300"/>
      </w:pPr>
      <w:r>
        <w:rPr>
          <w:color w:val="1A1714"/>
          <w:sz w:val="22"/>
          <w:szCs w:val="22"/>
        </w:rPr>
        <w:t xml:space="preserve">A requesting identity may export the Fact Units, annotations, and interaction history they hold rights to, serialized to an open, non-proprietary format with provenance metadata preserved, without the export restricting that identity's continued access to the underlying system. The export scope is governed by the same license-scoped access-control mechanism described in Section 8.</w:t>
      </w:r>
    </w:p>
    <w:p>
      <w:pPr>
        <w:pStyle w:val="Heading1"/>
        <w:spacing w:after="150" w:before="320"/>
      </w:pPr>
      <w:r>
        <w:rPr>
          <w:b/>
          <w:bCs/>
          <w:color w:val="1A1714"/>
          <w:sz w:val="28"/>
          <w:szCs w:val="28"/>
        </w:rPr>
        <w:t xml:space="preserve">17.  Accessibility Suite</w:t>
      </w:r>
    </w:p>
    <w:p>
      <w:pPr>
        <w:spacing w:after="170" w:line="300"/>
      </w:pPr>
      <w:r>
        <w:rPr>
          <w:color w:val="1A1714"/>
          <w:sz w:val="22"/>
          <w:szCs w:val="22"/>
        </w:rPr>
        <w:t xml:space="preserve">Where content is produced for delivery to a reader, a corresponding accessible equivalent — alternative text for visual content, scene descriptions for immersive presentations, captions for audio, and structurally simplified variants for cognitive accessibility — is generated from the same source Fact Units as the primary content, with production treated as incomplete until the accessible equivalent exists alongside it.</w:t>
      </w:r>
    </w:p>
    <w:p>
      <w:pPr>
        <w:pStyle w:val="Heading1"/>
        <w:spacing w:after="150" w:before="320"/>
      </w:pPr>
      <w:r>
        <w:rPr>
          <w:b/>
          <w:bCs/>
          <w:color w:val="1A1714"/>
          <w:sz w:val="28"/>
          <w:szCs w:val="28"/>
        </w:rPr>
        <w:t xml:space="preserve">18.  Offline and Synchronized Operation</w:t>
      </w:r>
    </w:p>
    <w:p>
      <w:pPr>
        <w:spacing w:after="170" w:line="300"/>
      </w:pPr>
      <w:r>
        <w:rPr>
          <w:color w:val="1A1714"/>
          <w:sz w:val="22"/>
          <w:szCs w:val="22"/>
        </w:rPr>
        <w:t xml:space="preserve">The system supports a plurality of synchronization modes — including real-time, deferred, batch, and fully disconnected operation — selected according to available connectivity, with query execution, provenance verification, and access-control enforcement all continuing to function during disconnected operation using a locally-held Fact Graph. Upon reconnection, divergent local and remote states are reconciled through a deterministic, version-vector-based merge process rather than an ad hoc or manual procedure.</w:t>
      </w:r>
    </w:p>
    <w:p>
      <w:pPr>
        <w:pStyle w:val="Heading1"/>
        <w:spacing w:after="150" w:before="320"/>
      </w:pPr>
      <w:r>
        <w:rPr>
          <w:b/>
          <w:bCs/>
          <w:color w:val="1A1714"/>
          <w:sz w:val="28"/>
          <w:szCs w:val="28"/>
        </w:rPr>
        <w:t xml:space="preserve">19.  Contextual Commerce Layer</w:t>
      </w:r>
    </w:p>
    <w:p>
      <w:pPr>
        <w:spacing w:after="170" w:line="300"/>
      </w:pPr>
      <w:r>
        <w:rPr>
          <w:color w:val="1A1714"/>
          <w:sz w:val="22"/>
          <w:szCs w:val="22"/>
        </w:rPr>
        <w:t xml:space="preserve">An optional, operator-configured layer surfaces commercial content — author- or publisher-linked products, third-party affiliate or advertising-network content, or both, at the operator's choice — based on the concept identifier a query resolves to, structurally separated from the grounded answer itself. The grounded answer's Fact Unit retrieval, ranking, and confidence-score computation are completed and finalized before this layer is invoked; the layer receives only the resolved concept identifier as read-only input and has no write path back into retrieval, ranking, or generation. This structural ordering — not a configurable policy setting — is what prevents commercial content from being able to influence the grounded answer under any operator configuration. Commercial content is rendered in a distinct, source-labeled region of the response, never interleaved into the grounded answer's own sentences or citations. Every commercial-content display event is logged and operator-queryable, recording the triggering concept identifier, the specific content displayed, its source, and a timestamp.</w:t>
      </w:r>
    </w:p>
    <w:p>
      <w:pPr>
        <w:spacing w:after="170" w:line="300"/>
      </w:pPr>
      <w:r>
        <w:rPr>
          <w:color w:val="1A1714"/>
          <w:sz w:val="22"/>
          <w:szCs w:val="22"/>
        </w:rPr>
        <w:t xml:space="preserve">Processing consumed by this layer is measured as its own bounded, prioritized unit of compute accounting, scheduled strictly below every safety-relevant accounting category, such that a slow or unresponsive third-party commerce source degrades only the commercial content region of a response, silently, without delaying or degrading the grounded answer. Where more than one candidate commercial item matches a query's resolved concept identifier, a selection weighting — combining match relevance, an operator-configurable source-priority factor, and, for third-party sources, a supplied bid or revenue-share value — determines which candidate is displayed, operating exclusively on candidates already gathered after the grounded answer's own completion, with the specific numeric weights configurable per deployment while the non-interference guarantee itself remains fixed.</w:t>
      </w:r>
    </w:p>
    <w:p>
      <w:pPr>
        <w:spacing w:after="170" w:line="300"/>
      </w:pPr>
      <w:r>
        <w:rPr>
          <w:color w:val="1A1714"/>
          <w:sz w:val="22"/>
          <w:szCs w:val="22"/>
        </w:rPr>
        <w:t xml:space="preserve">The input to commercial selection is the resolved concept identifier together with the identifiers of concepts adjacent to it within a single edge, each supplied read-only. Adjacency is bounded three ways: one hop with no traversal from an adjacent concept; restricted to adjacency-bearing edge types, excluding causal, temporal and contradiction edges; and confined to the requester's scope description, an adjacent concept outside it being excluded without the exclusion being signalled. An adjacent concept participates in the relevance factor alone and never in eligibility, and relevance computed through adjacency is attenuated relative to direct relevance. The ordering and isolation guarantees of this section are unaffected. Specified at §113.8.</w:t>
      </w:r>
    </w:p>
    <w:p>
      <w:pPr>
        <w:spacing w:after="170" w:line="300"/>
      </w:pPr>
      <w:r>
        <w:rPr>
          <w:color w:val="1A1714"/>
          <w:sz w:val="22"/>
          <w:szCs w:val="22"/>
        </w:rPr>
        <w:t xml:space="preserve">Eligibility, placement and transaction are each specified. Eligibility is determined from four already-established facts about the request — registered rights, recorded territory, delivered edition, device class — and from no other input; an inferred ergonomic signal, an inferred cognitive-load indicator and an inferred affective state are unavailable to commercial selection. A commercial item occupies a registered placement class, never interleaved with propositions, bounded by a density ceiling. Every item carries a provenance record with the presenting party's verified identity, and is not a knowledge record: not citable, not traversable, contributing to no confidence value. Commerce objects carry a price per territory, an object with no registered price for a territory not being offered there; and a transaction that cannot be reconciled against an entitlement change is refused rather than recorded pending. Specified at Chapter 113.</w:t>
      </w:r>
    </w:p>
    <w:p>
      <w:pPr>
        <w:pStyle w:val="Heading1"/>
        <w:spacing w:after="150" w:before="320"/>
      </w:pPr>
      <w:r>
        <w:rPr>
          <w:b/>
          <w:bCs/>
          <w:color w:val="1A1714"/>
          <w:sz w:val="28"/>
          <w:szCs w:val="28"/>
        </w:rPr>
        <w:t xml:space="preserve">20.  Ontology Mesh</w:t>
      </w:r>
    </w:p>
    <w:p>
      <w:pPr>
        <w:spacing w:after="170" w:line="300"/>
      </w:pPr>
      <w:r>
        <w:rPr>
          <w:color w:val="1A1714"/>
          <w:sz w:val="22"/>
          <w:szCs w:val="22"/>
        </w:rPr>
        <w:t xml:space="preserve">Predicates referenced by the knowledge record of Section 1, and by the Ontology Layer of the World-View Model (Section 11), are resolved against an Ontology Mesh governing concept and predicate identity across the knowledge graph.</w:t>
      </w:r>
    </w:p>
    <w:p>
      <w:pPr>
        <w:pStyle w:val="Heading2"/>
        <w:spacing w:after="150" w:before="320"/>
      </w:pPr>
      <w:r>
        <w:rPr>
          <w:b/>
          <w:bCs/>
          <w:color w:val="1A1714"/>
          <w:sz w:val="24"/>
          <w:szCs w:val="24"/>
        </w:rPr>
        <w:t xml:space="preserve">20.1  Poly-Hierarchical Concept Structure</w:t>
      </w:r>
    </w:p>
    <w:p>
      <w:pPr>
        <w:spacing w:after="170" w:line="300"/>
      </w:pPr>
      <w:r>
        <w:rPr>
          <w:color w:val="1A1714"/>
          <w:sz w:val="22"/>
          <w:szCs w:val="22"/>
        </w:rPr>
        <w:t xml:space="preserve">A concept in the Ontology Mesh may participate in multiple independent taxonomic hierarchies simultaneously — for example, a single concept may be classified as a subtype within a scientific-domain hierarchy and, separately and concurrently, as a subtype within a legal or regulatory hierarchy — rather than being confined to one fixed classification tree. This enables cross-domain reasoning a single-hierarchy classification system cannot support.</w:t>
      </w:r>
    </w:p>
    <w:p>
      <w:pPr>
        <w:pStyle w:val="Heading2"/>
        <w:spacing w:after="150" w:before="320"/>
      </w:pPr>
      <w:r>
        <w:rPr>
          <w:b/>
          <w:bCs/>
          <w:color w:val="1A1714"/>
          <w:sz w:val="24"/>
          <w:szCs w:val="24"/>
        </w:rPr>
        <w:t xml:space="preserve">20.2  Selective Open-World and Closed-World Reasoning</w:t>
      </w:r>
    </w:p>
    <w:p>
      <w:pPr>
        <w:spacing w:after="170" w:line="300"/>
      </w:pPr>
      <w:r>
        <w:rPr>
          <w:color w:val="1A1714"/>
          <w:sz w:val="22"/>
          <w:szCs w:val="22"/>
        </w:rPr>
        <w:t xml:space="preserve">The Ontology Mesh operates under an open-world assumption by default — the absence of a given fact from the knowledge graph is not itself treated as evidence that the fact is false — while specific, individually-designated sub-domains may be declared closed-world where completeness can be guaranteed and is required, such as a regulated interaction or compliance catalog. This selective mixture, rather than a single global assumption applied uniformly, is itself a deliberate architectural choice: a uniformly open-world system cannot support completeness-dependent safety checks, and a uniformly closed-world system produces false negatives across the large majority of general knowledge domains where completeness cannot be guaranteed.</w:t>
      </w:r>
    </w:p>
    <w:p>
      <w:pPr>
        <w:pStyle w:val="Heading2"/>
        <w:spacing w:after="150" w:before="320"/>
      </w:pPr>
      <w:r>
        <w:rPr>
          <w:b/>
          <w:bCs/>
          <w:color w:val="1A1714"/>
          <w:sz w:val="24"/>
          <w:szCs w:val="24"/>
        </w:rPr>
        <w:t xml:space="preserve">20.3  Layered Concept Architecture</w:t>
      </w:r>
    </w:p>
    <w:p>
      <w:pPr>
        <w:spacing w:after="170" w:line="300"/>
      </w:pPr>
      <w:r>
        <w:rPr>
          <w:color w:val="1A1714"/>
          <w:sz w:val="22"/>
          <w:szCs w:val="22"/>
        </w:rPr>
        <w:t xml:space="preserve">A fixed, version-locked upper ontology defines a small set of universal top-level categories — including, without limitation, categories for independently-existing entities, occurrences at a time or over an interval, conditions holding over an interval, typed connections between entities, attributes an entity may possess, and temporal position or ordering — to which every domain-specific concept is ultimately mapped, regardless of originating domain. Federated domain ontologies extend this fixed upper layer with domain-specific concept types and predicates, each governed by a designated steward and registered against the upper layer before activation, rather than each domain maintaining an independent, unrelated classification scheme. Every domain ontology's concepts remain traceable to the same fixed top-level categories, enabling structured cross-domain reasoning — for example, relating a regulatory concept from one federated domain to a scientific concept from another — that would not be possible if each domain's classification existed in isolation.</w:t>
      </w:r>
    </w:p>
    <w:p>
      <w:pPr>
        <w:pStyle w:val="Heading2"/>
        <w:spacing w:after="150" w:before="320"/>
      </w:pPr>
      <w:r>
        <w:rPr>
          <w:b/>
          <w:bCs/>
          <w:color w:val="1A1714"/>
          <w:sz w:val="24"/>
          <w:szCs w:val="24"/>
        </w:rPr>
        <w:t xml:space="preserve">20.4  Governed Predicate Catalog</w:t>
      </w:r>
    </w:p>
    <w:p>
      <w:pPr>
        <w:spacing w:after="170" w:line="300"/>
      </w:pPr>
      <w:r>
        <w:rPr>
          <w:color w:val="1A1714"/>
          <w:sz w:val="22"/>
          <w:szCs w:val="22"/>
        </w:rPr>
        <w:t xml:space="preserve">Every predicate usable in a knowledge-record assertion is drawn from a governed catalog in which each predicate carries an immutable identifier assigned at registration, rather than being introduced ad hoc at ingestion time by whatever extraction process produced a given assertion. This governance discipline is what makes the poly-hierarchical and cross-domain reasoning of Sections 20.1–20.3 practically enforceable: without a governed, immutably-identified predicate set, the same real-world relationship could be extracted under inconsistent labels by different ingestion events, silently fragmenting what should be a single, queryable relationship into several unrelated ones.</w:t>
      </w:r>
    </w:p>
    <w:p>
      <w:pPr>
        <w:pStyle w:val="Heading2"/>
        <w:spacing w:after="150" w:before="320"/>
      </w:pPr>
      <w:r>
        <w:rPr>
          <w:b/>
          <w:bCs/>
          <w:color w:val="1A1714"/>
          <w:sz w:val="24"/>
          <w:szCs w:val="24"/>
        </w:rPr>
        <w:t xml:space="preserve">20.5  Backward-Compatible Versioning</w:t>
      </w:r>
    </w:p>
    <w:p>
      <w:pPr>
        <w:spacing w:after="170" w:line="300"/>
      </w:pPr>
      <w:r>
        <w:rPr>
          <w:color w:val="1A1714"/>
          <w:sz w:val="22"/>
          <w:szCs w:val="22"/>
        </w:rPr>
        <w:t xml:space="preserve">Changes to the ontology are versioned, with changes that would narrow or remove an existing concept or predicate's validity prohibited outside a major version change requiring full impact analysis. Every previously-created knowledge record remains valid under the ontology version in effect when it was created, and is separately eligible for re-validation against a newer version — an ontology update does not retroactively invalidate or silently reinterpret existing knowledge records.</w:t>
      </w:r>
    </w:p>
    <w:p>
      <w:pPr>
        <w:spacing w:after="170" w:line="300"/>
      </w:pPr>
      <w:r>
        <w:rPr>
          <w:color w:val="1A1714"/>
          <w:sz w:val="22"/>
          <w:szCs w:val="22"/>
        </w:rPr>
        <w:t xml:space="preserve">A governed event type catalogue operates on the same discipline: an immutable identifier assigned at registration, a poly-hierarchical placement within the mesh, a semantic definition stating both coverage and exclusions, a machine definition enumerating required, optional and forbidden fields, versioning permitting narrowing only, and deprecation rather than deletion. An environment vector is content-addressed by a condition hash and carries its own confidence, provenance and attestation time, attached through an annotation set so that no schema field is added, with correction by supersession propagating to every referencing record. Specified at Chapter 104.</w:t>
      </w:r>
    </w:p>
    <w:p>
      <w:pPr>
        <w:pStyle w:val="Heading1"/>
        <w:spacing w:after="150" w:before="320"/>
      </w:pPr>
      <w:r>
        <w:rPr>
          <w:b/>
          <w:bCs/>
          <w:color w:val="1A1714"/>
          <w:sz w:val="28"/>
          <w:szCs w:val="28"/>
        </w:rPr>
        <w:t xml:space="preserve">21.  Predictive Cognitive Architecture (PCA)</w:t>
      </w:r>
    </w:p>
    <w:p>
      <w:pPr>
        <w:spacing w:after="170" w:line="300"/>
      </w:pPr>
      <w:r>
        <w:rPr>
          <w:color w:val="1A1714"/>
          <w:sz w:val="22"/>
          <w:szCs w:val="22"/>
        </w:rPr>
        <w:t xml:space="preserve">QueryBook comprises a unified Predictive Cognitive Architecture organizing prediction mechanisms that arise independently across the system's other subsystems into a single, structurally-isomorphic correspondence to an established two-part neuroscience framework: Predictive Coding, and the Thousand Brains Theory of Intelligence developed by Jeff Hawkins. This correspondence is stated as a specific architectural claim, not a general inspirational analogy: the mechanisms described below are structurally isomorphic to the referenced framework at the level of meaning representation, not merely evocative of it.</w:t>
      </w:r>
    </w:p>
    <w:p>
      <w:pPr>
        <w:pStyle w:val="Heading2"/>
        <w:spacing w:after="150" w:before="320"/>
      </w:pPr>
      <w:r>
        <w:rPr>
          <w:b/>
          <w:bCs/>
          <w:color w:val="1A1714"/>
          <w:sz w:val="24"/>
          <w:szCs w:val="24"/>
        </w:rPr>
        <w:t xml:space="preserve">21.1  The Foundational Distinction</w:t>
      </w:r>
    </w:p>
    <w:p>
      <w:pPr>
        <w:spacing w:after="170" w:line="300"/>
      </w:pPr>
      <w:r>
        <w:rPr>
          <w:color w:val="1A1714"/>
          <w:sz w:val="22"/>
          <w:szCs w:val="22"/>
        </w:rPr>
        <w:t xml:space="preserve">Predictive Coding holds that the neocortex continuously generates top-down predictions of sensory data and processes only the prediction error — the mismatch between expectation and reality — propagating that error upward through the cortical hierarchy to update the generative model. The Thousand Brains Theory extends this by proposing that the neocortex's cortical columns each function as an independent, complete modeling system, building invariant models of objects and concepts through a reference-frame mechanism, with perception achieved through democratic voting across many independently-operating column models rather than a single centralized model. A large language model predicts the next token in a language sequence — a surface-linguistic, statistical operation. QueryBook's Predictive Cognitive Architecture predicts the next relevant semantic structure — the next Fact Unit a reader or process will need — a sub-linguistic operation over structured assertions about reality, independent of the language in which those assertions were originally expressed. This distinction is the basis for the structural (not merely analogical) correspondence claimed in this section.</w:t>
      </w:r>
    </w:p>
    <w:p>
      <w:pPr>
        <w:spacing w:after="170" w:line="290"/>
        <w:ind w:left="360"/>
      </w:pPr>
      <w:r>
        <w:rPr>
          <w:b/>
          <w:bCs/>
          <w:color w:val="2F5347"/>
          <w:sz w:val="19"/>
          <w:szCs w:val="19"/>
        </w:rPr>
        <w:t xml:space="preserve">NEUROMORPHIC CORRESPONDENCE.  </w:t>
      </w:r>
      <w:r>
        <w:rPr>
          <w:color w:val="1A1714"/>
          <w:sz w:val="21"/>
          <w:szCs w:val="21"/>
        </w:rPr>
        <w:t xml:space="preserve">Every correspondence noted in this document is admitted under a stated methodology and carries the primary publication establishing the finding it invokes. A correspondence is admitted only where the primary publication is verified, the correspondence is identified in a mechanism that already exists rather than invented for it, a deterministic structural principle is extracted, and any trained or stochastic component of the source theory is excluded. A correspondence explains why a mechanism is well-founded; it does not justify the mechanism, no claim recites a correspondence as an element, and no mechanism in this system is adopted because it resembles a biological one. This is why the correspondences here are to convergence dynamics, attentional competition, consolidation, redundancy and spatial coding, and not to any mechanism whose operation terminates in a sampled outcome. Specified at Chapter 101.</w:t>
      </w:r>
    </w:p>
    <w:p>
      <w:pPr>
        <w:pStyle w:val="Heading2"/>
        <w:spacing w:after="150" w:before="320"/>
      </w:pPr>
      <w:r>
        <w:rPr>
          <w:b/>
          <w:bCs/>
          <w:color w:val="1A1714"/>
          <w:sz w:val="24"/>
          <w:szCs w:val="24"/>
        </w:rPr>
        <w:t xml:space="preserve">21.2  Comparative Architecture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rPr>
          <w:tblHeader/>
        </w:trPr>
        <w:tc>
          <w:tcPr>
            <w:tcW w:type="dxa" w:w="150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Dimension</w:t>
            </w:r>
          </w:p>
        </w:tc>
        <w:tc>
          <w:tcPr>
            <w:tcW w:type="dxa" w:w="250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Human Neocortex</w:t>
            </w:r>
          </w:p>
        </w:tc>
        <w:tc>
          <w:tcPr>
            <w:tcW w:type="dxa" w:w="250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Large Language Models</w:t>
            </w:r>
          </w:p>
        </w:tc>
        <w:tc>
          <w:tcPr>
            <w:tcW w:type="dxa" w:w="286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QueryBook PCA</w:t>
            </w:r>
          </w:p>
        </w:tc>
      </w:tr>
      <w:tr>
        <w:tc>
          <w:tcPr>
            <w:tcW w:type="dxa" w:w="1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Prediction target</w:t>
            </w:r>
          </w:p>
        </w:tc>
        <w:tc>
          <w:tcPr>
            <w:tcW w:type="dxa" w:w="2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Sensory reality — next physical state</w:t>
            </w:r>
          </w:p>
        </w:tc>
        <w:tc>
          <w:tcPr>
            <w:tcW w:type="dxa" w:w="2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Next token in a language sequence</w:t>
            </w:r>
          </w:p>
        </w:tc>
        <w:tc>
          <w:tcPr>
            <w:tcW w:type="dxa" w:w="28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Next relevant semantic structure — next needed Fact Unit</w:t>
            </w:r>
          </w:p>
        </w:tc>
      </w:tr>
      <w:tr>
        <w:tc>
          <w:tcPr>
            <w:tcW w:type="dxa" w:w="1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Prediction level</w:t>
            </w:r>
          </w:p>
        </w:tc>
        <w:tc>
          <w:tcPr>
            <w:tcW w:type="dxa" w:w="2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Sub-linguistic — structured world model</w:t>
            </w:r>
          </w:p>
        </w:tc>
        <w:tc>
          <w:tcPr>
            <w:tcW w:type="dxa" w:w="2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Surface-linguistic — token statistics</w:t>
            </w:r>
          </w:p>
        </w:tc>
        <w:tc>
          <w:tcPr>
            <w:tcW w:type="dxa" w:w="28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Sub-linguistic — structured assertions about reality</w:t>
            </w:r>
          </w:p>
        </w:tc>
      </w:tr>
      <w:tr>
        <w:tc>
          <w:tcPr>
            <w:tcW w:type="dxa" w:w="1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Error handling</w:t>
            </w:r>
          </w:p>
        </w:tc>
        <w:tc>
          <w:tcPr>
            <w:tcW w:type="dxa" w:w="2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Prediction error propagates up the hierarchy to revise the generative model</w:t>
            </w:r>
          </w:p>
        </w:tc>
        <w:tc>
          <w:tcPr>
            <w:tcW w:type="dxa" w:w="2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 structured error signal at inference time</w:t>
            </w:r>
          </w:p>
        </w:tc>
        <w:tc>
          <w:tcPr>
            <w:tcW w:type="dxa" w:w="28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Contradiction propagates through error propagation at a precision-weighted gain</w:t>
            </w:r>
          </w:p>
        </w:tc>
      </w:tr>
      <w:tr>
        <w:tc>
          <w:tcPr>
            <w:tcW w:type="dxa" w:w="1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Model formation</w:t>
            </w:r>
          </w:p>
        </w:tc>
        <w:tc>
          <w:tcPr>
            <w:tcW w:type="dxa" w:w="2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Invariant models built across many exposures</w:t>
            </w:r>
          </w:p>
        </w:tc>
        <w:tc>
          <w:tcPr>
            <w:tcW w:type="dxa" w:w="2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Weights fitted once by gradient descent</w:t>
            </w:r>
          </w:p>
        </w:tc>
        <w:tc>
          <w:tcPr>
            <w:tcW w:type="dxa" w:w="28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Concept nodes formed from repeated observation, gated by a consolidation count</w:t>
            </w:r>
          </w:p>
        </w:tc>
      </w:tr>
      <w:tr>
        <w:tc>
          <w:tcPr>
            <w:tcW w:type="dxa" w:w="1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Consensus</w:t>
            </w:r>
          </w:p>
        </w:tc>
        <w:tc>
          <w:tcPr>
            <w:tcW w:type="dxa" w:w="2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Voting across independently-modelling cortical columns</w:t>
            </w:r>
          </w:p>
        </w:tc>
        <w:tc>
          <w:tcPr>
            <w:tcW w:type="dxa" w:w="2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Single forward pass</w:t>
            </w:r>
          </w:p>
        </w:tc>
        <w:tc>
          <w:tcPr>
            <w:tcW w:type="dxa" w:w="28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Competitive resolution among candidate records under mutual suppression, converging to a stable configuration (§21.4.3)</w:t>
            </w:r>
          </w:p>
        </w:tc>
      </w:tr>
      <w:tr>
        <w:tc>
          <w:tcPr>
            <w:tcW w:type="dxa" w:w="1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Language dependence</w:t>
            </w:r>
          </w:p>
        </w:tc>
        <w:tc>
          <w:tcPr>
            <w:tcW w:type="dxa" w:w="2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Independent of language</w:t>
            </w:r>
          </w:p>
        </w:tc>
        <w:tc>
          <w:tcPr>
            <w:tcW w:type="dxa" w:w="2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Bound to the training language distribution</w:t>
            </w:r>
          </w:p>
        </w:tc>
        <w:tc>
          <w:tcPr>
            <w:tcW w:type="dxa" w:w="28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Independent of language by semantic fingerprint</w:t>
            </w:r>
          </w:p>
        </w:tc>
      </w:tr>
    </w:tbl>
    <w:p>
      <w:pPr>
        <w:spacing w:after="160"/>
      </w:pPr>
    </w:p>
    <w:p>
      <w:pPr>
        <w:pStyle w:val="Heading2"/>
        <w:spacing w:after="150" w:before="320"/>
      </w:pPr>
      <w:r>
        <w:rPr>
          <w:b/>
          <w:bCs/>
          <w:color w:val="1A1714"/>
          <w:sz w:val="24"/>
          <w:szCs w:val="24"/>
        </w:rPr>
        <w:t xml:space="preserve">21.3  The Eight Existing Mechanisms</w:t>
      </w:r>
    </w:p>
    <w:p>
      <w:pPr>
        <w:spacing w:after="170" w:line="300"/>
      </w:pPr>
      <w:r>
        <w:rPr>
          <w:color w:val="1A1714"/>
          <w:sz w:val="22"/>
          <w:szCs w:val="22"/>
        </w:rPr>
        <w:t xml:space="preserve">Two of the eight mechanisms below — the Temporal Memory Module and the pre-activation sense of the Associative Recall Engine — are components of the Neuromorphic Cognitive Layer introduced in Section 3 above, not newly-introduced systems. This section unifies them with six further mechanisms drawn from other subsystems into a single, coherent predictive architecture.</w:t>
      </w:r>
    </w:p>
    <w:p>
      <w:pPr>
        <w:pStyle w:val="Heading3"/>
        <w:spacing w:after="150" w:before="220"/>
      </w:pPr>
      <w:r>
        <w:rPr>
          <w:b/>
          <w:bCs/>
          <w:color w:val="1A1714"/>
          <w:sz w:val="22"/>
          <w:szCs w:val="22"/>
        </w:rPr>
        <w:t xml:space="preserve">21.3.1  Temporal Memory Module (TMM)</w:t>
      </w:r>
    </w:p>
    <w:p>
      <w:pPr>
        <w:spacing w:after="170" w:line="300"/>
      </w:pPr>
      <w:r>
        <w:rPr>
          <w:color w:val="1A1714"/>
          <w:sz w:val="22"/>
          <w:szCs w:val="22"/>
        </w:rPr>
        <w:t xml:space="preserve">Learns the sequence of Fact Units retrieved across a session and predicts which Fact Units are likely relevant to the next query before that query is submitted, pre-weighting predicted Fact Units in the Cognitive Context Window to reduce traversal cost when the prediction is confirmed.</w:t>
      </w:r>
    </w:p>
    <w:p>
      <w:pPr>
        <w:pStyle w:val="Heading3"/>
        <w:spacing w:after="150" w:before="220"/>
      </w:pPr>
      <w:r>
        <w:rPr>
          <w:b/>
          <w:bCs/>
          <w:color w:val="1A1714"/>
          <w:sz w:val="22"/>
          <w:szCs w:val="22"/>
        </w:rPr>
        <w:t xml:space="preserve">21.3.2  Associative Recall Engine (ARE) — Pre-Activation Sense</w:t>
      </w:r>
    </w:p>
    <w:p>
      <w:pPr>
        <w:spacing w:after="170" w:line="300"/>
      </w:pPr>
      <w:r>
        <w:rPr>
          <w:color w:val="1A1714"/>
          <w:sz w:val="22"/>
          <w:szCs w:val="22"/>
        </w:rPr>
        <w:t xml:space="preserve">Distinguished explicitly from the Adaptive Response Engine (§10.7 of this Detailed Description, response composition sense) — both are real systems sharing an acronym; this section refers only to the pre-activation mechanism. When processing a query, surveys the Cognitive Context Window and assigns elevated SessionRelevanceWeights to Fact Units semantically proximate to the current query, pre-activating them before graph traversal begins.</w:t>
      </w:r>
    </w:p>
    <w:p>
      <w:pPr>
        <w:spacing w:after="170" w:line="290"/>
        <w:ind w:left="360"/>
      </w:pPr>
      <w:r>
        <w:rPr>
          <w:b/>
          <w:bCs/>
          <w:color w:val="2F5347"/>
          <w:sz w:val="19"/>
          <w:szCs w:val="19"/>
        </w:rPr>
        <w:t xml:space="preserve">NEUROMORPHIC CORRESPONDENCE.  </w:t>
      </w:r>
      <w:r>
        <w:rPr>
          <w:color w:val="1A1714"/>
          <w:sz w:val="21"/>
          <w:szCs w:val="21"/>
        </w:rPr>
        <w:t xml:space="preserve">Pre-activation is priming in the cognitive sense: exposure to one representation raising the accessibility of related representations before they are called for. The elevation is applied to records semantically proximate to the query, and the neuromorphic property being claimed is the elevation itself, not a resemblance — an unprimed record remains reachable at ordinary cost, and priming alters the order in which a bounded traversal spends its budget rather than what is reachable within it.</w:t>
      </w:r>
    </w:p>
    <w:p>
      <w:pPr>
        <w:spacing w:after="170" w:line="300"/>
      </w:pPr>
      <w:r>
        <w:rPr>
          <w:color w:val="1A1714"/>
          <w:sz w:val="22"/>
          <w:szCs w:val="22"/>
        </w:rPr>
        <w:t xml:space="preserve">Pre-activation is bounded by a traversal budget expressed in units of edge-class cost rather than by a hop count. A semantic edge costs least because proximity in meaning remains informative across distance; an editorial edge costs more because relevance decays across version boundaries; a temporal edge costs most because adjacency in time is weak evidence of relatedness and a long temporal walk accumulates noise. Within a budget of 24 units, a semantic class of cost 1 reaches 24 hops and a temporal class of cost 8 reaches 3. Costs are registered configuration recorded with the response and are never adjusted by the system from its own experience. Traversal order additionally prefers directions of lower relevance gradient, computed at traversal time and stored nowhere. Specified at §123.1 and §124.3.</w:t>
      </w:r>
    </w:p>
    <w:p>
      <w:pPr>
        <w:pStyle w:val="Heading3"/>
        <w:spacing w:after="150" w:before="220"/>
      </w:pPr>
      <w:r>
        <w:rPr>
          <w:b/>
          <w:bCs/>
          <w:color w:val="1A1714"/>
          <w:sz w:val="22"/>
          <w:szCs w:val="22"/>
        </w:rPr>
        <w:t xml:space="preserve">21.3.3  Predictive Inference Engine (PIE) — Forward Simulation</w:t>
      </w:r>
    </w:p>
    <w:p>
      <w:pPr>
        <w:spacing w:after="170" w:line="300"/>
      </w:pPr>
      <w:r>
        <w:rPr>
          <w:color w:val="1A1714"/>
          <w:sz w:val="22"/>
          <w:szCs w:val="22"/>
        </w:rPr>
        <w:t xml:space="preserve">Performs multi-hop forward inference over the Fact Graph, reasoning forward through causal and logical chains to produce inferred conclusions not explicitly stated in any single Fact Unit. Every inference step is a typed graph traversal grounded in stored Fact Units, traceable to specific source content at each intermediate step.</w:t>
      </w:r>
    </w:p>
    <w:p>
      <w:pPr>
        <w:spacing w:after="170" w:line="300"/>
      </w:pPr>
      <w:r>
        <w:rPr>
          <w:color w:val="1A1714"/>
          <w:sz w:val="22"/>
          <w:szCs w:val="22"/>
        </w:rPr>
        <w:t xml:space="preserve">The disposition of an inference is governed by a stated rule. An inference whose conclusion follows necessarily from admitted records is admitted as a knowledge record carrying a derived-inference type and a confidence equal to the product of the contributing edge confidences. An inference that is merely well-supported is withheld from admission and emitted in a proposed state that no automated process may transition to validated. Deduction may write to the knowledge store; induction and abduction may not. Specified at Chapter 108.</w:t>
      </w:r>
    </w:p>
    <w:p>
      <w:pPr>
        <w:pStyle w:val="Heading3"/>
        <w:spacing w:after="150" w:before="220"/>
      </w:pPr>
      <w:r>
        <w:rPr>
          <w:b/>
          <w:bCs/>
          <w:color w:val="1A1714"/>
          <w:sz w:val="22"/>
          <w:szCs w:val="22"/>
        </w:rPr>
        <w:t xml:space="preserve">21.3.4  Scenario Graph System — Counterfactual Prediction</w:t>
      </w:r>
    </w:p>
    <w:p>
      <w:pPr>
        <w:spacing w:after="170" w:line="300"/>
      </w:pPr>
      <w:r>
        <w:rPr>
          <w:color w:val="1A1714"/>
          <w:sz w:val="22"/>
          <w:szCs w:val="22"/>
        </w:rPr>
        <w:t xml:space="preserve">Runs forward-model projections and counterfactual simulations across the Fact Graph, representing a hypothetical as a delta over the base knowledge state rather than an independent copy.</w:t>
      </w:r>
    </w:p>
    <w:p>
      <w:pPr>
        <w:pStyle w:val="Heading3"/>
        <w:spacing w:after="150" w:before="220"/>
      </w:pPr>
      <w:r>
        <w:rPr>
          <w:b/>
          <w:bCs/>
          <w:color w:val="1A1714"/>
          <w:sz w:val="22"/>
          <w:szCs w:val="22"/>
        </w:rPr>
        <w:t xml:space="preserve">21.3.5  ConceptStabilityWeight (CSW) — Prior Strength</w:t>
      </w:r>
    </w:p>
    <w:p>
      <w:pPr>
        <w:spacing w:after="170" w:line="300"/>
      </w:pPr>
      <w:r>
        <w:rPr>
          <w:color w:val="1A1714"/>
          <w:sz w:val="22"/>
          <w:szCs w:val="22"/>
        </w:rPr>
        <w:t xml:space="preserve">Tracks how settled a World Brain concept node is, based on accumulated evidence and consistency. A high-CSW concept node resists revision from a single contradicting source, requiring multi-source contradicting evidence to revise, structurally equivalent to a strong Bayesian prior requiring a large error signal to update.</w:t>
      </w:r>
    </w:p>
    <w:p>
      <w:pPr>
        <w:spacing w:after="170" w:line="290"/>
        <w:ind w:left="360"/>
      </w:pPr>
      <w:r>
        <w:rPr>
          <w:b/>
          <w:bCs/>
          <w:color w:val="2F5347"/>
          <w:sz w:val="19"/>
          <w:szCs w:val="19"/>
        </w:rPr>
        <w:t xml:space="preserve">NEUROMORPHIC CORRESPONDENCE.  </w:t>
      </w:r>
      <w:r>
        <w:rPr>
          <w:color w:val="1A1714"/>
          <w:sz w:val="21"/>
          <w:szCs w:val="21"/>
        </w:rPr>
        <w:t xml:space="preserve">The resistance to revision described here corresponds to synaptic consolidation: a representation strengthened by repeated corroboration becomes progressively harder to overwrite. The mechanism preventing a newly-ingested contradiction from erasing an established concept is the analogue of elastic weight consolidation as formulated by Kirkpatrick et al. (2017, PNAS 114:3521–3526) for catastrophic forgetting, with the accumulated evidence count serving the role of the Fisher information that determines how strongly a parameter resists change.</w:t>
      </w:r>
    </w:p>
    <w:p>
      <w:pPr>
        <w:spacing w:after="170" w:line="300"/>
      </w:pPr>
      <w:r>
        <w:rPr>
          <w:color w:val="1A1714"/>
          <w:sz w:val="22"/>
          <w:szCs w:val="22"/>
        </w:rPr>
        <w:t xml:space="preserve">The equivalence described here is literal rather than structural. Confidence is maintained as a Beta posterior and the stability weight maps to the pseudo-count α + β, so a high-stability concept resists revision by the arithmetic rather than by a rule expressing the same intention. A belief at α = 18, β = 2 moves −0.0429 on a single contradiction where one at α = 1, β = 1 moves −0.1667; an additive rule would move both by −0.05 regardless. Specified at §41.6.2.</w:t>
      </w:r>
    </w:p>
    <w:p>
      <w:pPr>
        <w:pStyle w:val="Heading3"/>
        <w:spacing w:after="150" w:before="220"/>
      </w:pPr>
      <w:r>
        <w:rPr>
          <w:b/>
          <w:bCs/>
          <w:color w:val="1A1714"/>
          <w:sz w:val="22"/>
          <w:szCs w:val="22"/>
        </w:rPr>
        <w:t xml:space="preserve">21.3.6  ConfidenceScore Contradiction Detection — Prediction Error Signal</w:t>
      </w:r>
    </w:p>
    <w:p>
      <w:pPr>
        <w:spacing w:after="170" w:line="300"/>
      </w:pPr>
      <w:r>
        <w:rPr>
          <w:color w:val="1A1714"/>
          <w:sz w:val="22"/>
          <w:szCs w:val="22"/>
        </w:rPr>
        <w:t xml:space="preserve">When a newly-ingested Fact Unit contradicts an existing one, the Confidence Scoring Engine flags the conflict and demotes the lower-confidence Fact Unit — a structured response to disconfirming evidence, equivalent to the prediction-error signal at the core of Predictive Coding.</w:t>
      </w:r>
    </w:p>
    <w:p>
      <w:pPr>
        <w:pStyle w:val="Heading3"/>
        <w:spacing w:after="150" w:before="220"/>
      </w:pPr>
      <w:r>
        <w:rPr>
          <w:b/>
          <w:bCs/>
          <w:color w:val="1A1714"/>
          <w:sz w:val="22"/>
          <w:szCs w:val="22"/>
        </w:rPr>
        <w:t xml:space="preserve">21.3.7  World Brain Concept Node Formation — Invariant Learning</w:t>
      </w:r>
    </w:p>
    <w:p>
      <w:pPr>
        <w:spacing w:after="170" w:line="300"/>
      </w:pPr>
      <w:r>
        <w:rPr>
          <w:color w:val="1A1714"/>
          <w:sz w:val="22"/>
          <w:szCs w:val="22"/>
        </w:rPr>
        <w:t xml:space="preserve">Extracts invariant properties across many ingested examples, building concept nodes representing generalized, context-independent models — structurally isomorphic to cortical column invariant model formation: observing many instances, extracting stable properties, building a context-independent model, and using that model to recognize future instances.</w:t>
      </w:r>
    </w:p>
    <w:p>
      <w:pPr>
        <w:pStyle w:val="Heading3"/>
        <w:spacing w:after="150" w:before="220"/>
      </w:pPr>
      <w:r>
        <w:rPr>
          <w:b/>
          <w:bCs/>
          <w:color w:val="1A1714"/>
          <w:sz w:val="22"/>
          <w:szCs w:val="22"/>
        </w:rPr>
        <w:t xml:space="preserve">21.3.8  Thematic Similarity Engine (TSE) — Multi-Timescale Prediction</w:t>
      </w:r>
    </w:p>
    <w:p>
      <w:pPr>
        <w:spacing w:after="170" w:line="300"/>
      </w:pPr>
      <w:r>
        <w:rPr>
          <w:color w:val="1A1714"/>
          <w:sz w:val="22"/>
          <w:szCs w:val="22"/>
        </w:rPr>
        <w:t xml:space="preserve">Identifies recurring thematic patterns across a reader's entire session history and predicts which unexplored Fact Units and works are likely of interest — a lifetime-scale prediction layer, extending prediction beyond a single session's timescale.</w:t>
      </w:r>
    </w:p>
    <w:p>
      <w:pPr>
        <w:pStyle w:val="Heading2"/>
        <w:spacing w:after="150" w:before="320"/>
      </w:pPr>
      <w:r>
        <w:rPr>
          <w:b/>
          <w:bCs/>
          <w:color w:val="1A1714"/>
          <w:sz w:val="24"/>
          <w:szCs w:val="24"/>
        </w:rPr>
        <w:t xml:space="preserve">21.4  The Four Additions</w:t>
      </w:r>
    </w:p>
    <w:p>
      <w:pPr>
        <w:spacing w:after="170" w:line="300"/>
      </w:pPr>
      <w:r>
        <w:rPr>
          <w:color w:val="1A1714"/>
          <w:sz w:val="22"/>
          <w:szCs w:val="22"/>
        </w:rPr>
        <w:t xml:space="preserve">The following four mechanisms close specific structural gaps between the eight existing mechanisms above and a complete correspondence to Predictive Coding and the Thousand Brains framework.</w:t>
      </w:r>
    </w:p>
    <w:p>
      <w:pPr>
        <w:pStyle w:val="Heading3"/>
        <w:spacing w:after="150" w:before="220"/>
      </w:pPr>
      <w:r>
        <w:rPr>
          <w:b/>
          <w:bCs/>
          <w:color w:val="1A1714"/>
          <w:sz w:val="22"/>
          <w:szCs w:val="22"/>
        </w:rPr>
        <w:t xml:space="preserve">21.4.1  Hierarchical Error Propagation (HEP)</w:t>
      </w:r>
    </w:p>
    <w:p>
      <w:pPr>
        <w:spacing w:after="170" w:line="300"/>
      </w:pPr>
      <w:r>
        <w:rPr>
          <w:color w:val="1A1714"/>
          <w:sz w:val="22"/>
          <w:szCs w:val="22"/>
        </w:rPr>
        <w:t xml:space="preserve">Where a Fact Unit is contradicted during ingestion, HEP traces upward through Cross-Modal Bindings to identify which World Brain concept node attributes predicted the contradicted value, and applies a proportional CSW reduction to those attributes — the contradiction revises the broader world model that generated the failed prediction, not merely the specific Fact Unit. The magnitude of revision is the precision ratio: the gain is the error's precision divided by the sum of the error's and the prior's precisions, precision being the inverse of the variance computed from the evidence parameters. A blurry single observation against a settled concept yields a gain of 0.0053 and is effectively ignored; a well-established contradiction against a settled concept yields 0.5000; against a weakly-held one, 0.9947. A gain below the configured floor produces no revision, and the withheld contradiction is recorded so a pattern of individually-insignificant contradictions remains queryable. Specified at §41.6.4.</w:t>
      </w:r>
    </w:p>
    <w:p>
      <w:pPr>
        <w:pStyle w:val="Heading3"/>
        <w:spacing w:after="150" w:before="220"/>
      </w:pPr>
      <w:r>
        <w:rPr>
          <w:b/>
          <w:bCs/>
          <w:color w:val="1A1714"/>
          <w:sz w:val="22"/>
          <w:szCs w:val="22"/>
        </w:rPr>
        <w:t xml:space="preserve">21.4.2  Predictive Pre-Retrieval Engine (PPRE)</w:t>
      </w:r>
    </w:p>
    <w:p>
      <w:pPr>
        <w:spacing w:after="170" w:line="300"/>
      </w:pPr>
      <w:r>
        <w:rPr>
          <w:color w:val="1A1714"/>
          <w:sz w:val="22"/>
          <w:szCs w:val="22"/>
        </w:rPr>
        <w:t xml:space="preserve">During the interval between a query response being delivered and the next query being submitted, PPRE uses the TMM's sequence prediction to speculatively retrieve the top-N most likely next-needed Fact Units into a pre-retrieval buffer, assigning provisional relevance weights. A confirmed prediction yields near-zero latency on the next query; a disconfirmed prediction discards the buffer and standard traversal proceeds.</w:t>
      </w:r>
    </w:p>
    <w:p>
      <w:pPr>
        <w:pStyle w:val="Heading3"/>
        <w:spacing w:after="150" w:before="220"/>
      </w:pPr>
      <w:r>
        <w:rPr>
          <w:b/>
          <w:bCs/>
          <w:color w:val="1A1714"/>
          <w:sz w:val="22"/>
          <w:szCs w:val="22"/>
        </w:rPr>
        <w:t xml:space="preserve">21.4.3  Competitive Candidate Resolution (CCR)</w:t>
      </w:r>
    </w:p>
    <w:p>
      <w:pPr>
        <w:spacing w:after="170" w:line="300"/>
      </w:pPr>
      <w:r>
        <w:rPr>
          <w:color w:val="1A1714"/>
          <w:sz w:val="22"/>
          <w:szCs w:val="22"/>
        </w:rPr>
        <w:t xml:space="preserve">Where a query admits several mutually-inconsistent interpretations, the candidate knowledge records supporting each interpretation are activated together rather than evaluated in sequence. Each candidate's activation is then reduced in proportion to the summed activation of the candidates inconsistent with it, and the set is iterated to a stable state under the threshold update already specified. A candidate falling below the retention floor is suppressed; the surviving configuration is the interpretation the records best support.</w:t>
      </w:r>
    </w:p>
    <w:p>
      <w:pPr>
        <w:spacing w:after="170" w:line="300"/>
      </w:pPr>
      <w:r>
        <w:rPr>
          <w:color w:val="1A1714"/>
          <w:sz w:val="22"/>
          <w:szCs w:val="22"/>
        </w:rPr>
        <w:t xml:space="preserve">By way of example, three mutually-inconsistent candidates activate at 0.82, 0.61 and 0.44 under a suppression coefficient of 0.35. The first is reduced by 0.35 of the sum of the others to 0.4525; the second by 0.35 of the sum of the first and third to 0.1690; the third falls further still. The first survives the floor and the others do not, and the interpretation it supports is the one composed. Where two candidates survive at comparable activation, the set does not resolve and the clarification mechanism is invoked rather than the higher of the two being taken.</w:t>
      </w:r>
    </w:p>
    <w:p>
      <w:pPr>
        <w:spacing w:after="170" w:line="290"/>
        <w:ind w:left="360"/>
      </w:pPr>
      <w:r>
        <w:rPr>
          <w:b/>
          <w:bCs/>
          <w:color w:val="2F5347"/>
          <w:sz w:val="19"/>
          <w:szCs w:val="19"/>
        </w:rPr>
        <w:t xml:space="preserve">NEUROMORPHIC CORRESPONDENCE.  </w:t>
      </w:r>
      <w:r>
        <w:rPr>
          <w:color w:val="1A1714"/>
          <w:sz w:val="21"/>
          <w:szCs w:val="21"/>
        </w:rPr>
        <w:t xml:space="preserve">The suppression described above is lateral inhibition in the neurophysiological sense: a unit’s activation reduced in proportion to the activation of its competitors, so that the population settles upon one interpretation rather than a blend of several. Where the suppression coefficient is high enough that exactly one candidate survives the retention floor, the mechanism is a winner-take-all network. The correspondence to attentional selection is that identified by Desimone and Duncan (1995, Annual Review of Neuroscience 18:193–222) as biased competition: representations compete, and a bias — here the accumulated evidence behind each candidate — resolves the competition without a separate selector deciding among them.</w:t>
      </w:r>
    </w:p>
    <w:p>
      <w:pPr>
        <w:spacing w:after="170" w:line="300"/>
      </w:pPr>
      <w:r>
        <w:rPr>
          <w:color w:val="1A1714"/>
          <w:sz w:val="22"/>
          <w:szCs w:val="22"/>
        </w:rPr>
        <w:t xml:space="preserve">Three properties follow, and each is why this is the correct mechanism to claim rather than a consensus taken among domains.</w:t>
      </w:r>
    </w:p>
    <w:p>
      <w:pPr>
        <w:spacing w:after="170" w:line="300"/>
      </w:pPr>
      <w:r>
        <w:rPr>
          <w:color w:val="1A1714"/>
          <w:sz w:val="22"/>
          <w:szCs w:val="22"/>
        </w:rPr>
        <w:t xml:space="preserve">The competition is among candidates, not among domains. In the framework of Section 21.1 what votes is a population of independent models each forming a complete hypothesis about the same object. In this system that population is the candidate record set, each candidate supporting a complete interpretation of the query. Domains are authority boundaries in which exactly one domain owns each decision — retrieval is owned by one domain, meaning by another, entitlement by a third — and a mechanism in which two domains proposed competing answers to the same question would contradict the partition rather than implement the correspondence.</w:t>
      </w:r>
    </w:p>
    <w:p>
      <w:pPr>
        <w:spacing w:after="170" w:line="300"/>
      </w:pPr>
      <w:r>
        <w:rPr>
          <w:color w:val="1A1714"/>
          <w:sz w:val="22"/>
          <w:szCs w:val="22"/>
        </w:rPr>
        <w:t xml:space="preserve">The resolution is parallel and the mechanism already exists. Candidates are activated together and suppressed simultaneously rather than traversed in sequence, which is the property a consensus description reaches for. It is performed by the convergence of Section 3 together with the mutual suppression specified for object salience, viewed from the predictive-architecture side; it is not a separate system, and this subsection introduces no mechanism not already specified elsewhere in this application.</w:t>
      </w:r>
    </w:p>
    <w:p>
      <w:pPr>
        <w:spacing w:after="170" w:line="300"/>
      </w:pPr>
      <w:r>
        <w:rPr>
          <w:color w:val="1A1714"/>
          <w:sz w:val="22"/>
          <w:szCs w:val="22"/>
        </w:rPr>
        <w:t xml:space="preserve">The resolution is deterministic. Suppression is a fixed arithmetic operation over the activations, the coefficient and the retention floor are registered configuration recorded with the response, and the iteration terminates by the energy descent of Section 3. The same candidate set under the same configuration resolves identically on every execution, and no consensus is taken by sampling, weighting by chance, or tie-breaking arbitrarily — an unresolved tie produces a clarification request, which is a stated outcome rather than a selection.</w:t>
      </w:r>
    </w:p>
    <w:p>
      <w:pPr>
        <w:pStyle w:val="Heading3"/>
        <w:spacing w:after="150" w:before="220"/>
      </w:pPr>
      <w:r>
        <w:rPr>
          <w:b/>
          <w:bCs/>
          <w:color w:val="1A1714"/>
          <w:sz w:val="22"/>
          <w:szCs w:val="22"/>
        </w:rPr>
        <w:t xml:space="preserve">21.4.4  Active Inference Query Generation (AIQG)</w:t>
      </w:r>
    </w:p>
    <w:p>
      <w:pPr>
        <w:spacing w:after="170" w:line="300"/>
      </w:pPr>
      <w:r>
        <w:rPr>
          <w:color w:val="1A1714"/>
          <w:sz w:val="22"/>
          <w:szCs w:val="22"/>
        </w:rPr>
        <w:t xml:space="preserve">Where the PIE's forward inference chain reaches a node with confidence below a threshold, rather than stopping or returning a low-confidence result, AIQG generates a structured internal query targeting the specific Fact Unit that would resolve the uncertainty, presenting it to the reader as a targeted, purposeful question.</w:t>
      </w:r>
    </w:p>
    <w:p>
      <w:pPr>
        <w:spacing w:after="170" w:line="300"/>
      </w:pPr>
      <w:r>
        <w:rPr>
          <w:color w:val="1A1714"/>
          <w:sz w:val="22"/>
          <w:szCs w:val="22"/>
        </w:rPr>
        <w:t xml:space="preserve">A distinct and complementary mechanism addresses a case this one does not. AIQG resolves uncertainty about a single proposition. Where two hypotheses are supported about equally — posteriors within a separation floor while each exceeds a support minimum — gathering more evidence of the kind already held raises both and separates neither. The discriminating instance mechanism computes, for each obtainable observation, the magnitude of the difference between its likelihood under each hypothesis, and selects the maximum irrespective of how probable either hypothesis considers it: an observation both predict at 0.90 and 0.85 discriminates 0.05 and is rejected, where one predicted at 0.88 and 0.20 discriminates 0.68 and is selected. The request states what each hypothesis would become under both presence and absence, which is the difference between a test and a search for confirmation. Specified at §97.8.</w:t>
      </w:r>
    </w:p>
    <w:p>
      <w:pPr>
        <w:pStyle w:val="Heading2"/>
        <w:spacing w:after="150" w:before="320"/>
      </w:pPr>
      <w:r>
        <w:rPr>
          <w:b/>
          <w:bCs/>
          <w:color w:val="1A1714"/>
          <w:sz w:val="24"/>
          <w:szCs w:val="24"/>
        </w:rPr>
        <w:t xml:space="preserve">21.5  The Three Amplifications</w:t>
      </w:r>
    </w:p>
    <w:p>
      <w:pPr>
        <w:spacing w:after="170" w:line="300"/>
      </w:pPr>
      <w:r>
        <w:rPr>
          <w:color w:val="1A1714"/>
          <w:sz w:val="22"/>
          <w:szCs w:val="22"/>
        </w:rPr>
        <w:t xml:space="preserve">(a) Cross-Session TMM Extension — extends TMM's sequence learning across all of a given reader's prior sessions against a given work, yielding lifetime-scale sequence prediction rather than single-session prediction.</w:t>
      </w:r>
    </w:p>
    <w:p>
      <w:pPr>
        <w:spacing w:after="170" w:line="300"/>
      </w:pPr>
      <w:r>
        <w:rPr>
          <w:color w:val="1A1714"/>
          <w:sz w:val="22"/>
          <w:szCs w:val="22"/>
        </w:rPr>
        <w:t xml:space="preserve">(b) Fully Bayesian ConfidenceScore — confidence is represented as Beta(α, β) with the reported value α/(α+β), updated by α′ = α + w·s and β′ = β + w·f where w is the source reliability weight. The update is closed-form, order-independent and requires no sampling, so the determinism guarantee is preserved. The credible interval half-width is approximately 1.96√(CS(1−CS)/(α+β+1)), giving ±0.1283 at α = 18, β = 2 and ±0.0415 at α = 180, β = 20 — the same reported confidence, different evidential weight. Migration assigns the pseudo-count from the Provenance Ledger source count where available and α + β = 2 conservatively where not. Specified at §41.6.2.</w:t>
      </w:r>
    </w:p>
    <w:p>
      <w:pPr>
        <w:spacing w:after="170" w:line="300"/>
      </w:pPr>
      <w:r>
        <w:rPr>
          <w:color w:val="1A1714"/>
          <w:sz w:val="22"/>
          <w:szCs w:val="22"/>
        </w:rPr>
        <w:t xml:space="preserve">(c) Pre-Computed PIE Inference Chains — the PIE runs speculatively at ingestion time, computing and storing forward inference chains a newly-committed Fact Unit enables, so that a later query triggering those inferences finds them already assembled. Probable questions are generated at ingestion together with their fully-cited answers, and are invalidated upon revision of any contributing record, so a served pre-computed answer is never stale.</w:t>
      </w:r>
    </w:p>
    <w:p>
      <w:pPr>
        <w:pStyle w:val="Heading2"/>
        <w:spacing w:after="150" w:before="320"/>
      </w:pPr>
      <w:r>
        <w:rPr>
          <w:b/>
          <w:bCs/>
          <w:color w:val="1A1714"/>
          <w:sz w:val="24"/>
          <w:szCs w:val="24"/>
        </w:rPr>
        <w:t xml:space="preserve">21.6  Integration Requirements</w:t>
      </w:r>
    </w:p>
    <w:p>
      <w:pPr>
        <w:spacing w:after="170" w:line="300"/>
      </w:pPr>
      <w:r>
        <w:rPr>
          <w:color w:val="1A1714"/>
          <w:sz w:val="22"/>
          <w:szCs w:val="22"/>
        </w:rPr>
        <w:t xml:space="preserve">This section requires Chapter 7 (TMM, Associative Recall Engine), Chapter 10 (PIE), Chapter 11 (Scenario Graph System), and the World Brain / Semantic Brain dual-architecture layer. It modifies none of their specifications — it is a formal, unifying organization of mechanisms already independently specified, plus four genuinely new additions and three genuinely new amplifications, each described above.</w:t>
      </w:r>
    </w:p>
    <w:p>
      <w:pPr>
        <w:pStyle w:val="Heading1"/>
        <w:spacing w:after="150" w:before="320"/>
      </w:pPr>
      <w:r>
        <w:rPr>
          <w:b/>
          <w:bCs/>
          <w:color w:val="1A1714"/>
          <w:sz w:val="28"/>
          <w:szCs w:val="28"/>
        </w:rPr>
        <w:t xml:space="preserve">22.  Domain and Layer Architecture</w:t>
      </w:r>
    </w:p>
    <w:p>
      <w:pPr>
        <w:spacing w:after="170" w:line="300"/>
      </w:pPr>
      <w:r>
        <w:rPr>
          <w:color w:val="1A1714"/>
          <w:sz w:val="22"/>
          <w:szCs w:val="22"/>
        </w:rPr>
        <w:t xml:space="preserve">The system is partitioned into fifteen domains: one vertical and fourteen horizontal. A domain is an authority boundary rather than a deployment unit — two domains may execute in one process and one may span several — and what the partition fixes is which mechanism owns which decision, which transfers between domains are permitted, and how compute is accounted. The partition is invariant across every deployment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Domain</w:t>
            </w:r>
          </w:p>
        </w:tc>
        <w:tc>
          <w:tcPr>
            <w:tcW w:type="dxa" w:w="626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Mandate</w:t>
            </w:r>
          </w:p>
        </w:tc>
      </w:tr>
      <w:tr>
        <w:tc>
          <w:tcPr>
            <w:tcW w:type="dxa" w:w="31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D0 · Prime Directive</w:t>
            </w:r>
          </w:p>
        </w:tc>
        <w:tc>
          <w:tcPr>
            <w:tcW w:type="dxa" w:w="62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Vertical governance. Owns the safety enforcement plane, the transfer matrix, the path-separation invariant, the scheduling priority ordering and the permanently-excluded set.</w:t>
            </w:r>
          </w:p>
        </w:tc>
      </w:tr>
      <w:tr>
        <w:tc>
          <w:tcPr>
            <w:tcW w:type="dxa" w:w="31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 · Ingestion and Sensory Intake</w:t>
            </w:r>
          </w:p>
        </w:tc>
        <w:tc>
          <w:tcPr>
            <w:tcW w:type="dxa" w:w="62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Conversion of external content in any modality into candidate records. The sole location of any trained component.</w:t>
            </w:r>
          </w:p>
        </w:tc>
      </w:tr>
      <w:tr>
        <w:tc>
          <w:tcPr>
            <w:tcW w:type="dxa" w:w="31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D2 · Knowledge Substrate</w:t>
            </w:r>
          </w:p>
        </w:tc>
        <w:tc>
          <w:tcPr>
            <w:tcW w:type="dxa" w:w="62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Custody of records and lineage. The only domain with write authority over the store.</w:t>
            </w:r>
          </w:p>
        </w:tc>
      </w:tr>
      <w:tr>
        <w:tc>
          <w:tcPr>
            <w:tcW w:type="dxa" w:w="31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D3 · Ontology and Conceptual Structure</w:t>
            </w:r>
          </w:p>
        </w:tc>
        <w:tc>
          <w:tcPr>
            <w:tcW w:type="dxa" w:w="62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What concepts exist and how they relate. Governs meaning rather than content.</w:t>
            </w:r>
          </w:p>
        </w:tc>
      </w:tr>
      <w:tr>
        <w:tc>
          <w:tcPr>
            <w:tcW w:type="dxa" w:w="31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D4 · Retrieval and Response Composition</w:t>
            </w:r>
          </w:p>
        </w:tc>
        <w:tc>
          <w:tcPr>
            <w:tcW w:type="dxa" w:w="62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Answering a bounded query. The latency-critical path.</w:t>
            </w:r>
          </w:p>
        </w:tc>
      </w:tr>
      <w:tr>
        <w:tc>
          <w:tcPr>
            <w:tcW w:type="dxa" w:w="31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D5 · Inference, Prediction and Calibration</w:t>
            </w:r>
          </w:p>
        </w:tc>
        <w:tc>
          <w:tcPr>
            <w:tcW w:type="dxa" w:w="62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What the records imply, and how well it was derived.</w:t>
            </w:r>
          </w:p>
        </w:tc>
      </w:tr>
      <w:tr>
        <w:tc>
          <w:tcPr>
            <w:tcW w:type="dxa" w:w="31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D6 · World Model and Perception</w:t>
            </w:r>
          </w:p>
        </w:tc>
        <w:tc>
          <w:tcPr>
            <w:tcW w:type="dxa" w:w="62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How the world behaves, held distinctly from what sources asserted.</w:t>
            </w:r>
          </w:p>
        </w:tc>
      </w:tr>
      <w:tr>
        <w:tc>
          <w:tcPr>
            <w:tcW w:type="dxa" w:w="31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D7 · Grounded Expression</w:t>
            </w:r>
          </w:p>
        </w:tc>
        <w:tc>
          <w:tcPr>
            <w:tcW w:type="dxa" w:w="62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Rendering under the vocabulary constraint. Holds no retrieval authority.</w:t>
            </w:r>
          </w:p>
        </w:tc>
      </w:tr>
      <w:tr>
        <w:tc>
          <w:tcPr>
            <w:tcW w:type="dxa" w:w="31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D8 · Access, Rights and Retention</w:t>
            </w:r>
          </w:p>
        </w:tc>
        <w:tc>
          <w:tcPr>
            <w:tcW w:type="dxa" w:w="62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What a requester may reach, for how long, and who holds the keys.</w:t>
            </w:r>
          </w:p>
        </w:tc>
      </w:tr>
      <w:tr>
        <w:tc>
          <w:tcPr>
            <w:tcW w:type="dxa" w:w="31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D9 · Interaction Surfaces</w:t>
            </w:r>
          </w:p>
        </w:tc>
        <w:tc>
          <w:tcPr>
            <w:tcW w:type="dxa" w:w="62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Presentation. No authority over content, retrieval or rights.</w:t>
            </w:r>
          </w:p>
        </w:tc>
      </w:tr>
      <w:tr>
        <w:tc>
          <w:tcPr>
            <w:tcW w:type="dxa" w:w="31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D10 · Authoring, Editions and Publication</w:t>
            </w:r>
          </w:p>
        </w:tc>
        <w:tc>
          <w:tcPr>
            <w:tcW w:type="dxa" w:w="62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Admission and shaping of authored work; emission in distributable form.</w:t>
            </w:r>
          </w:p>
        </w:tc>
      </w:tr>
      <w:tr>
        <w:tc>
          <w:tcPr>
            <w:tcW w:type="dxa" w:w="31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D11 · Platform Governance and Evolution</w:t>
            </w:r>
          </w:p>
        </w:tc>
        <w:tc>
          <w:tcPr>
            <w:tcW w:type="dxa" w:w="62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Change under human authority. Structurally forbidden from changing D0.</w:t>
            </w:r>
          </w:p>
        </w:tc>
      </w:tr>
      <w:tr>
        <w:tc>
          <w:tcPr>
            <w:tcW w:type="dxa" w:w="31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D12 · External Integration and Analysis</w:t>
            </w:r>
          </w:p>
        </w:tc>
        <w:tc>
          <w:tcPr>
            <w:tcW w:type="dxa" w:w="62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Reach to systems outside the boundary. Output quarantined.</w:t>
            </w:r>
          </w:p>
        </w:tc>
      </w:tr>
      <w:tr>
        <w:tc>
          <w:tcPr>
            <w:tcW w:type="dxa" w:w="31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D13 · Commerce and Entitlement Tokens</w:t>
            </w:r>
          </w:p>
        </w:tc>
        <w:tc>
          <w:tcPr>
            <w:tcW w:type="dxa" w:w="62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Commercial presentation and entitlement. Lowest scheduling priority.</w:t>
            </w:r>
          </w:p>
        </w:tc>
      </w:tr>
      <w:tr>
        <w:tc>
          <w:tcPr>
            <w:tcW w:type="dxa" w:w="31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D14 · Learning and Assessment</w:t>
            </w:r>
          </w:p>
        </w:tc>
        <w:tc>
          <w:tcPr>
            <w:tcW w:type="dxa" w:w="62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Assessment from grounding records, mastery measurement, credential issuance.</w:t>
            </w:r>
          </w:p>
        </w:tc>
      </w:tr>
    </w:tbl>
    <w:p>
      <w:pPr>
        <w:spacing w:after="160"/>
      </w:pPr>
    </w:p>
    <w:p>
      <w:pPr>
        <w:spacing w:after="170" w:line="300"/>
      </w:pPr>
      <w:r>
        <w:rPr>
          <w:color w:val="1A1714"/>
          <w:sz w:val="22"/>
          <w:szCs w:val="22"/>
        </w:rPr>
        <w:t xml:space="preserve">The functional domains group into four layers — Knowledge (D1, D2, D3, D6), Reasoning (D4, D5, D7), Experience (D8, D9, D10, D14) and Platform (D11, D12, D13) — with D0 vertical. A layer carries no authority; moving a domain between layers alters nothing a transfer permission governs, and this is stated because a layer model treated as a permission model is the defect that renders such a model unusable.</w:t>
      </w:r>
    </w:p>
    <w:p>
      <w:pPr>
        <w:pStyle w:val="Heading2"/>
        <w:spacing w:after="150" w:before="320"/>
      </w:pPr>
      <w:r>
        <w:rPr>
          <w:b/>
          <w:bCs/>
          <w:color w:val="1A1714"/>
          <w:sz w:val="24"/>
          <w:szCs w:val="24"/>
        </w:rPr>
        <w:t xml:space="preserve">22.1  Path Separation</w:t>
      </w:r>
    </w:p>
    <w:p>
      <w:pPr>
        <w:spacing w:after="170" w:line="300"/>
      </w:pPr>
      <w:r>
        <w:rPr>
          <w:color w:val="1A1714"/>
          <w:sz w:val="22"/>
          <w:szCs w:val="22"/>
        </w:rPr>
        <w:t xml:space="preserve">Answering a query traverses D8, D4, optionally D5, then D7. Ingesting content traverses D1, D2, D3, D6, with D5 pre-computing. The intersection consists of D0 and D2 alone, so an ingestion operation of any size contends with an interactive query at no other domain. Contention at D0 is resolved by category priority; at D2 by storage tiering. Two consequences constrain implementation: D4 performs no ingestion work, so a retrieval never blocks on an extractor, and D1 holds no retrieval authority, so an extraction never blocks on convergence.</w:t>
      </w:r>
    </w:p>
    <w:p>
      <w:pPr>
        <w:pStyle w:val="Heading2"/>
        <w:spacing w:after="150" w:before="320"/>
      </w:pPr>
      <w:r>
        <w:rPr>
          <w:b/>
          <w:bCs/>
          <w:color w:val="1A1714"/>
          <w:sz w:val="24"/>
          <w:szCs w:val="24"/>
        </w:rPr>
        <w:t xml:space="preserve">22.2  The Transfer Matrix</w:t>
      </w:r>
    </w:p>
    <w:p>
      <w:pPr>
        <w:spacing w:after="170" w:line="300"/>
      </w:pPr>
      <w:r>
        <w:rPr>
          <w:color w:val="1A1714"/>
          <w:sz w:val="22"/>
          <w:szCs w:val="22"/>
        </w:rPr>
        <w:t xml:space="preserve">Every ordered pair carries a permission — permitted, denied, or permitted subject to a stated conversion — evaluated at each crossing, with an unlisted pair treated as denied. The denials carry the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60"/>
      </w:tblGrid>
      <w:tr>
        <w:trPr>
          <w:tblHeader/>
        </w:trPr>
        <w:tc>
          <w:tcPr>
            <w:tcW w:type="dxa" w:w="190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From → To</w:t>
            </w:r>
          </w:p>
        </w:tc>
        <w:tc>
          <w:tcPr>
            <w:tcW w:type="dxa" w:w="140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Permission</w:t>
            </w:r>
          </w:p>
        </w:tc>
        <w:tc>
          <w:tcPr>
            <w:tcW w:type="dxa" w:w="606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Guarantee</w:t>
            </w:r>
          </w:p>
        </w:tc>
      </w:tr>
      <w:tr>
        <w:tc>
          <w:tcPr>
            <w:tcW w:type="dxa" w:w="19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D12 → D4</w:t>
            </w:r>
          </w:p>
        </w:tc>
        <w:tc>
          <w:tcPr>
            <w:tcW w:type="dxa" w:w="14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60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external system’s output and any analysis of it can never enter retrieval, excepting a reply converted under Section 41.</w:t>
            </w:r>
          </w:p>
        </w:tc>
      </w:tr>
      <w:tr>
        <w:tc>
          <w:tcPr>
            <w:tcW w:type="dxa" w:w="19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D13 → D4; D13 → D7</w:t>
            </w:r>
          </w:p>
        </w:tc>
        <w:tc>
          <w:tcPr>
            <w:tcW w:type="dxa" w:w="14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60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Commerce cannot influence retrieval or generation under any configuration.</w:t>
            </w:r>
          </w:p>
        </w:tc>
      </w:tr>
      <w:tr>
        <w:tc>
          <w:tcPr>
            <w:tcW w:type="dxa" w:w="19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D9 → D2</w:t>
            </w:r>
          </w:p>
        </w:tc>
        <w:tc>
          <w:tcPr>
            <w:tcW w:type="dxa" w:w="14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60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 presentation surface reads or writes the store directly; it goes through D8 and D4.</w:t>
            </w:r>
          </w:p>
        </w:tc>
      </w:tr>
      <w:tr>
        <w:tc>
          <w:tcPr>
            <w:tcW w:type="dxa" w:w="19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D11 → D0</w:t>
            </w:r>
          </w:p>
        </w:tc>
        <w:tc>
          <w:tcPr>
            <w:tcW w:type="dxa" w:w="14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60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mechanism that changes the system cannot change the Prime Directive.</w:t>
            </w:r>
          </w:p>
        </w:tc>
      </w:tr>
      <w:tr>
        <w:tc>
          <w:tcPr>
            <w:tcW w:type="dxa" w:w="19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D7 → D2</w:t>
            </w:r>
          </w:p>
        </w:tc>
        <w:tc>
          <w:tcPr>
            <w:tcW w:type="dxa" w:w="14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60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Generation cannot write. Output is composed from records and never becomes one.</w:t>
            </w:r>
          </w:p>
        </w:tc>
      </w:tr>
      <w:tr>
        <w:tc>
          <w:tcPr>
            <w:tcW w:type="dxa" w:w="19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D14 → D13</w:t>
            </w:r>
          </w:p>
        </w:tc>
        <w:tc>
          <w:tcPr>
            <w:tcW w:type="dxa" w:w="14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60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learner’s assessment record cannot reach commercial selection.</w:t>
            </w:r>
          </w:p>
        </w:tc>
      </w:tr>
      <w:tr>
        <w:tc>
          <w:tcPr>
            <w:tcW w:type="dxa" w:w="19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 → D2</w:t>
            </w:r>
          </w:p>
        </w:tc>
        <w:tc>
          <w:tcPr>
            <w:tcW w:type="dxa" w:w="14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Conversion</w:t>
            </w:r>
          </w:p>
        </w:tc>
        <w:tc>
          <w:tcPr>
            <w:tcW w:type="dxa" w:w="60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Nothing enters the store without safety evaluation, type validation and calibration.</w:t>
            </w:r>
          </w:p>
        </w:tc>
      </w:tr>
      <w:tr>
        <w:tc>
          <w:tcPr>
            <w:tcW w:type="dxa" w:w="19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D5 → D2</w:t>
            </w:r>
          </w:p>
        </w:tc>
        <w:tc>
          <w:tcPr>
            <w:tcW w:type="dxa" w:w="14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Conversion</w:t>
            </w:r>
          </w:p>
        </w:tc>
        <w:tc>
          <w:tcPr>
            <w:tcW w:type="dxa" w:w="60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derived inference persists only marked as derived.</w:t>
            </w:r>
          </w:p>
        </w:tc>
      </w:tr>
      <w:tr>
        <w:tc>
          <w:tcPr>
            <w:tcW w:type="dxa" w:w="19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D0 → any</w:t>
            </w:r>
          </w:p>
        </w:tc>
        <w:tc>
          <w:tcPr>
            <w:tcW w:type="dxa" w:w="14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Permitted</w:t>
            </w:r>
          </w:p>
        </w:tc>
        <w:tc>
          <w:tcPr>
            <w:tcW w:type="dxa" w:w="606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Governance reaches everywhere. The definition of a vertical domain.</w:t>
            </w:r>
          </w:p>
        </w:tc>
      </w:tr>
    </w:tbl>
    <w:p>
      <w:pPr>
        <w:spacing w:after="160"/>
      </w:pPr>
    </w:p>
    <w:p>
      <w:pPr>
        <w:pStyle w:val="Heading1"/>
        <w:spacing w:after="150" w:before="320"/>
      </w:pPr>
      <w:r>
        <w:rPr>
          <w:b/>
          <w:bCs/>
          <w:color w:val="1A1714"/>
          <w:sz w:val="28"/>
          <w:szCs w:val="28"/>
        </w:rPr>
        <w:t xml:space="preserve">23.  Reasoning Mode Formalization</w:t>
      </w:r>
    </w:p>
    <w:p>
      <w:pPr>
        <w:spacing w:after="170" w:line="300"/>
      </w:pPr>
      <w:r>
        <w:rPr>
          <w:color w:val="1A1714"/>
          <w:sz w:val="22"/>
          <w:szCs w:val="22"/>
        </w:rPr>
        <w:t xml:space="preserve">Three modes operate, differing in what may follow from their output. Deduction — subsumption, inheritance, transitive closure, contradiction detection — produces conclusions admissible as knowledge records, because a conclusion following necessarily from admitted records adds nothing not already entailed. Induction — evidence accumulation, generalization, concept formation from repetition, discriminating-instance selection — adjusts a confidence value within an existing record or emits a proposal in a proposed state. Abduction ranks candidate explanations and sits on the same gate as induction.</w:t>
      </w:r>
    </w:p>
    <w:p>
      <w:pPr>
        <w:spacing w:after="170" w:line="300"/>
      </w:pPr>
      <w:r>
        <w:rPr>
          <w:color w:val="1A1714"/>
          <w:sz w:val="22"/>
          <w:szCs w:val="22"/>
        </w:rPr>
        <w:t xml:space="preserve">Inheritance is defeasible, which classical syllogistic cannot express, and equal-depth conflicts are not resolved but recorded, because an arbitrary tie-break produces an answer reproducible without being grounded. Negative instances are retained deliberately: a contradiction too weak to revise is recorded so that a pattern of individually-insignificant contradictions remains queryable.</w:t>
      </w:r>
    </w:p>
    <w:p>
      <w:pPr>
        <w:pStyle w:val="Heading1"/>
        <w:spacing w:after="150" w:before="320"/>
      </w:pPr>
      <w:r>
        <w:rPr>
          <w:b/>
          <w:bCs/>
          <w:color w:val="1A1714"/>
          <w:sz w:val="28"/>
          <w:szCs w:val="28"/>
        </w:rPr>
        <w:t xml:space="preserve">24.  The Interpretive Layer</w:t>
      </w:r>
    </w:p>
    <w:p>
      <w:pPr>
        <w:spacing w:after="170" w:line="300"/>
      </w:pPr>
      <w:r>
        <w:rPr>
          <w:color w:val="1A1714"/>
          <w:sz w:val="22"/>
          <w:szCs w:val="22"/>
        </w:rPr>
        <w:t xml:space="preserve">Five modulations — context, perspective, ergonomic, cultural and social — apply to an already-admissible result. None widens or narrows a scope description, admits or excludes a record, alters a confidence value or extends the permissible vocabulary; a modulation that would is refused. Two requesters whose scope descriptions admit identical records receive answers grounded in identical records however differently their expression is modulated.</w:t>
      </w:r>
    </w:p>
    <w:p>
      <w:pPr>
        <w:spacing w:after="170" w:line="300"/>
      </w:pPr>
      <w:r>
        <w:rPr>
          <w:color w:val="1A1714"/>
          <w:sz w:val="22"/>
          <w:szCs w:val="22"/>
        </w:rPr>
        <w:t xml:space="preserve">Perspective surfaces different relationships over the same records — a student sees learning pathways, an author revision pathways, a publisher rights pathways. Ergonomics modulates density and layout, with a stated preference always overriding an inferred signal. Cultural modulation proceeds from a declared profile and never from a name, network address, query language, device locale or behavioural signal. Social modulation operates within the intersection of participants' entitlements. Composition is deterministic and Prime Directive review precedes and follows it.</w:t>
      </w:r>
    </w:p>
    <w:p>
      <w:pPr>
        <w:pStyle w:val="Heading1"/>
        <w:spacing w:after="150" w:before="320"/>
      </w:pPr>
      <w:r>
        <w:rPr>
          <w:b/>
          <w:bCs/>
          <w:color w:val="1A1714"/>
          <w:sz w:val="28"/>
          <w:szCs w:val="28"/>
        </w:rPr>
        <w:t xml:space="preserve">25.  Expressive Register and Surface Realization</w:t>
      </w:r>
    </w:p>
    <w:p>
      <w:pPr>
        <w:spacing w:after="170" w:line="300"/>
      </w:pPr>
      <w:r>
        <w:rPr>
          <w:color w:val="1A1714"/>
          <w:sz w:val="22"/>
          <w:szCs w:val="22"/>
        </w:rPr>
        <w:t xml:space="preserve">A response carries exactly one expressive register from a governed set — formal, plain, academic, instructional, narrative, supportive, authoritative — resolved before generation. A register governs voicing and a confidence value governs what is asserted: the authoritative register cannot remove a hedge the evidence requires, and the supportive register cannot soften an assertion the records state plainly. The supportive register is selected only on a stated preference, a configured default, or an existing consented signal, never by inference from word choice, punctuation, length, error rate or timing.</w:t>
      </w:r>
    </w:p>
    <w:p>
      <w:pPr>
        <w:spacing w:after="170" w:line="300"/>
      </w:pPr>
      <w:r>
        <w:rPr>
          <w:color w:val="1A1714"/>
          <w:sz w:val="22"/>
          <w:szCs w:val="22"/>
        </w:rPr>
        <w:t xml:space="preserve">Five realization operations produce the surface text. Aggregation combines propositions sharing a subject into one coordinated sentence, refused where their confidence values differ beyond tolerance so that coordination cannot promote a weakly-supported proposition. Referring expressions take full form at first mention and reduced form thereafter, with full form restored where a same-type entity intervenes. Connectives are emitted from the graph's own edge types and never invented. Ordering places established material before new. Lexical variation is admitted only where the semantic fingerprint is preserved. Selection among admissible realizations is deterministic, never sampled.</w:t>
      </w:r>
    </w:p>
    <w:p>
      <w:pPr>
        <w:spacing w:after="170" w:line="300"/>
      </w:pPr>
      <w:r>
        <w:rPr>
          <w:color w:val="1A1714"/>
          <w:sz w:val="22"/>
          <w:szCs w:val="22"/>
        </w:rPr>
        <w:t xml:space="preserve">Media assets may be carried within a response, included only where an admitted record references them and delivered with that record's citation, so no asset conveys what the text could not assert.</w:t>
      </w:r>
    </w:p>
    <w:p>
      <w:pPr>
        <w:pStyle w:val="Heading1"/>
        <w:spacing w:after="150" w:before="320"/>
      </w:pPr>
      <w:r>
        <w:rPr>
          <w:b/>
          <w:bCs/>
          <w:color w:val="1A1714"/>
          <w:sz w:val="28"/>
          <w:szCs w:val="28"/>
        </w:rPr>
        <w:t xml:space="preserve">26.  Outcome Feedback and Operational Calibration</w:t>
      </w:r>
    </w:p>
    <w:p>
      <w:pPr>
        <w:spacing w:after="170" w:line="300"/>
      </w:pPr>
      <w:r>
        <w:rPr>
          <w:color w:val="1A1714"/>
          <w:sz w:val="22"/>
          <w:szCs w:val="22"/>
        </w:rPr>
        <w:t xml:space="preserve">A delivered response is recorded with its query, scope description, cited records and their confidence at delivery. A report bearing on it is admitted as a knowledge record attributed to the reporting identity: feedback is evidence, not correction. A report against a cited record increments that record's contradicting parameter by the reporting source's weight; it does not set the confidence value, supersede the record or remove it. A record at α = 18, β = 2 reading 0.9000 moves to 0.8633 on a report from a source of reliability 0.85. The reporting identity is a source class, so many reports from one identity do not weigh as reports from many.</w:t>
      </w:r>
    </w:p>
    <w:p>
      <w:pPr>
        <w:spacing w:after="170" w:line="300"/>
      </w:pPr>
      <w:r>
        <w:rPr>
          <w:color w:val="1A1714"/>
          <w:sz w:val="22"/>
          <w:szCs w:val="22"/>
        </w:rPr>
        <w:t xml:space="preserve">Calibration is measured as squared error against realised outcomes and as a gap per confidence band, reported per domain rather than in aggregate. A finding is emitted as a proposal requiring a named human approval; nothing applies automatically, and the parameters governing the measurement are themselves excluded from modification. No feedback extends the permissible vocabulary or alters a scope description.</w:t>
      </w:r>
    </w:p>
    <w:p>
      <w:pPr>
        <w:pStyle w:val="Heading1"/>
        <w:spacing w:after="150" w:before="320"/>
      </w:pPr>
      <w:r>
        <w:rPr>
          <w:b/>
          <w:bCs/>
          <w:color w:val="1A1714"/>
          <w:sz w:val="28"/>
          <w:szCs w:val="28"/>
        </w:rPr>
        <w:t xml:space="preserve">27.  Temporal Prediction Calibration</w:t>
      </w:r>
    </w:p>
    <w:p>
      <w:pPr>
        <w:spacing w:after="170" w:line="300"/>
      </w:pPr>
      <w:r>
        <w:rPr>
          <w:color w:val="1A1714"/>
          <w:sz w:val="22"/>
          <w:szCs w:val="22"/>
        </w:rPr>
        <w:t xml:space="preserve">Three timestamps are distinguished: when an assertion was true, when it was ingested, and when its source was created. The third governs admissibility to a retrospective run: a record is admissible to a pre-event snapshot only where its attestation precedes the event by the configured horizon, the temporal anchor not being consulted, and an unknown attestation excluding the record rather than being estimated. Enforcement is at scope construction rather than by post-filtering, and a contested date resolves to the latest defensible, which excludes.</w:t>
      </w:r>
    </w:p>
    <w:p>
      <w:pPr>
        <w:spacing w:after="170" w:line="300"/>
      </w:pPr>
      <w:r>
        <w:rPr>
          <w:color w:val="1A1714"/>
          <w:sz w:val="22"/>
          <w:szCs w:val="22"/>
        </w:rPr>
        <w:t xml:space="preserve">Retrospective scoring is a squared-error measure with accuracy reported by horizon and calibration by confidence band. The subject class is restricted to institutions, systems and organisational processes; a subject resolving to an individual natural person is refused at construction. Aggregate statistics are perpetual; individual records follow the ordinary erasure policy.</w:t>
      </w:r>
    </w:p>
    <w:p>
      <w:pPr>
        <w:pStyle w:val="Heading1"/>
        <w:spacing w:after="150" w:before="320"/>
      </w:pPr>
      <w:r>
        <w:rPr>
          <w:b/>
          <w:bCs/>
          <w:color w:val="1A1714"/>
          <w:sz w:val="28"/>
          <w:szCs w:val="28"/>
        </w:rPr>
        <w:t xml:space="preserve">28.  Behavioural Probing and Analysis Quarantine</w:t>
      </w:r>
    </w:p>
    <w:p>
      <w:pPr>
        <w:spacing w:after="170" w:line="300"/>
      </w:pPr>
      <w:r>
        <w:rPr>
          <w:color w:val="1A1714"/>
          <w:sz w:val="22"/>
          <w:szCs w:val="22"/>
        </w:rPr>
        <w:t xml:space="preserve">Three probes evaluate an external system: response consistency by output fingerprint, self-consistency under reinjection classified as converged, periodic, drifting or unresolved, and perturbation sensitivity using inputs whose fingerprints are provably identical. Every probe result requires this system's own reference value or is recorded incomplete.</w:t>
      </w:r>
    </w:p>
    <w:p>
      <w:pPr>
        <w:spacing w:after="170" w:line="300"/>
      </w:pPr>
      <w:r>
        <w:rPr>
          <w:color w:val="1A1714"/>
          <w:sz w:val="22"/>
          <w:szCs w:val="22"/>
        </w:rPr>
        <w:t xml:space="preserve">Analysis records and probe results are excluded from a scope description at construction rather than filtered afterward, so an assertion this system found unsupported cannot ground a later answer. The probes are applicable to this system itself, and applying them inward measures the properties this specification claims rather than a proxy for them.</w:t>
      </w:r>
    </w:p>
    <w:p>
      <w:pPr>
        <w:pStyle w:val="Heading1"/>
        <w:spacing w:after="150" w:before="320"/>
      </w:pPr>
      <w:r>
        <w:rPr>
          <w:b/>
          <w:bCs/>
          <w:color w:val="1A1714"/>
          <w:sz w:val="28"/>
          <w:szCs w:val="28"/>
        </w:rPr>
        <w:t xml:space="preserve">29.  Systematic Trial Architecture</w:t>
      </w:r>
    </w:p>
    <w:p>
      <w:pPr>
        <w:spacing w:after="170" w:line="300"/>
      </w:pPr>
      <w:r>
        <w:rPr>
          <w:color w:val="1A1714"/>
          <w:sz w:val="22"/>
          <w:szCs w:val="22"/>
        </w:rPr>
        <w:t xml:space="preserve">Trials are metered as bounded compute-accounting units in a trial category, scheduled below safety evaluation, below requester-serving and below ingestion, with an over-budget trial deferred rather than served at reduced priority. Trials are free of physical consequence but not of cost; the cost shifts from equipment and risk to compute and scheduling.</w:t>
      </w:r>
    </w:p>
    <w:p>
      <w:pPr>
        <w:spacing w:after="170" w:line="300"/>
      </w:pPr>
      <w:r>
        <w:rPr>
          <w:color w:val="1A1714"/>
          <w:sz w:val="22"/>
          <w:szCs w:val="22"/>
        </w:rPr>
        <w:t xml:space="preserve">A trial executes against an isolated corpus, constructs no production record, adjusts no production confidence value, emits no command to physical equipment outside simulation and delivers no output to a requester. Nothing a trial finds is applied: a finding becomes a proposal requiring a named human approval, and a campaign of ten million trials produces the same class of output as a campaign of one. Regression blocks rather than reports — a case passing before a change and failing after it withholds the change. Coverage is measured against an enumerated trial space with the uncovered cases listed rather than summarised. Determinism is measured over an unchanged corpus state, any value below unity being a defect rather than a tolerance. A simulated pass is not clearance to operate equipment, and where a simulation and a physical trial disagree the physical trial governs.</w:t>
      </w:r>
    </w:p>
    <w:p>
      <w:pPr>
        <w:pStyle w:val="Heading1"/>
        <w:spacing w:after="150" w:before="320"/>
      </w:pPr>
      <w:r>
        <w:rPr>
          <w:b/>
          <w:bCs/>
          <w:color w:val="1A1714"/>
          <w:sz w:val="28"/>
          <w:szCs w:val="28"/>
        </w:rPr>
        <w:t xml:space="preserve">30.  Programmatic Interfaces, Plugins and Versioning</w:t>
      </w:r>
    </w:p>
    <w:p>
      <w:pPr>
        <w:spacing w:after="170" w:line="300"/>
      </w:pPr>
      <w:r>
        <w:rPr>
          <w:color w:val="1A1714"/>
          <w:sz w:val="22"/>
          <w:szCs w:val="22"/>
        </w:rPr>
        <w:t xml:space="preserve">Nine interfaces are exposed — content, query, rights, layout, assessment, edition, semantic, media and immersion — each resolving a scope description before traversal, admitting no parameter that widens one, and carrying its own safety evaluation gate as an operation layer. Calls are metered per calling identity, an over-budget call being refused rather than throttled, so a caller cannot displace a safety-evaluation unit by volume.</w:t>
      </w:r>
    </w:p>
    <w:p>
      <w:pPr>
        <w:spacing w:after="170" w:line="300"/>
      </w:pPr>
      <w:r>
        <w:rPr>
          <w:color w:val="1A1714"/>
          <w:sz w:val="22"/>
          <w:szCs w:val="22"/>
        </w:rPr>
        <w:t xml:space="preserve">Each interface carries a version. A request omitting a version is refused rather than defaulted, so a caller's behaviour cannot change because a default moved. A version is deprecated across a support interval and then retired with a successor named, never deleted, and a record returned under one version remains valid under a later one.</w:t>
      </w:r>
    </w:p>
    <w:p>
      <w:pPr>
        <w:spacing w:after="170" w:line="300"/>
      </w:pPr>
      <w:r>
        <w:rPr>
          <w:color w:val="1A1714"/>
          <w:sz w:val="22"/>
          <w:szCs w:val="22"/>
        </w:rPr>
        <w:t xml:space="preserve">A plugin registers against a declared capability set and reaches knowledge only through the interfaces, within the entitlement of the identity on whose behalf it runs. It holds no direct access to the record store or the provenance chain, is refused at registration where it declares any safety operation, cannot participate in the improvement pipeline, and its output is labelled with its identity, quarantined, and never citable as grounding. Activation and suspension require a named human operator.</w:t>
      </w:r>
    </w:p>
    <w:p>
      <w:pPr>
        <w:pStyle w:val="Heading1"/>
        <w:spacing w:after="150" w:before="320"/>
      </w:pPr>
      <w:r>
        <w:rPr>
          <w:b/>
          <w:bCs/>
          <w:color w:val="1A1714"/>
          <w:sz w:val="28"/>
          <w:szCs w:val="28"/>
        </w:rPr>
        <w:t xml:space="preserve">31.  Interaction Surfaces</w:t>
      </w:r>
    </w:p>
    <w:p>
      <w:pPr>
        <w:spacing w:after="170" w:line="300"/>
      </w:pPr>
      <w:r>
        <w:rPr>
          <w:color w:val="1A1714"/>
          <w:sz w:val="22"/>
          <w:szCs w:val="22"/>
        </w:rPr>
        <w:t xml:space="preserve">Collaborative reading presents a shared view comprising the intersection of participants' scope descriptions, never the union; a record traversable by one participant and not another is absent, and its absence is not reported. Augmented presentation anchors records to physical objects, excluding person and animal classifications entirely at any confidence and capturing no gaze, dwell, head-pose or attention signal. Spoiler protection bounds the scope description by a progress marker so a later-disclosed record is not traversable, rather than masking a rendered answer — a masked answer still discloses that content exists and how much.</w:t>
      </w:r>
    </w:p>
    <w:p>
      <w:pPr>
        <w:spacing w:after="170" w:line="300"/>
      </w:pPr>
      <w:r>
        <w:rPr>
          <w:color w:val="1A1714"/>
          <w:sz w:val="22"/>
          <w:szCs w:val="22"/>
        </w:rPr>
        <w:t xml:space="preserve">Learner progress records state what was done and how it scored, with instructor visibility bounded by a time-scoped grant, and generate no aptitude inference, forecast or comparative ranking. Certification requires both a measured outcome and an established identity, carries its own provenance, is verifiable without disclosing the holder's responses, and attests to the measured outcome and nothing further. Learning-system integration transmits an outcome alone, with no record, response text or history.</w:t>
      </w:r>
    </w:p>
    <w:p>
      <w:pPr>
        <w:pStyle w:val="Heading1"/>
        <w:spacing w:after="150" w:before="320"/>
      </w:pPr>
      <w:r>
        <w:rPr>
          <w:b/>
          <w:bCs/>
          <w:color w:val="1A1714"/>
          <w:sz w:val="28"/>
          <w:szCs w:val="28"/>
        </w:rPr>
        <w:t xml:space="preserve">32.  Deployment Topology and Module Replacement</w:t>
      </w:r>
    </w:p>
    <w:p>
      <w:pPr>
        <w:spacing w:after="170" w:line="300"/>
      </w:pPr>
      <w:r>
        <w:rPr>
          <w:color w:val="1A1714"/>
          <w:sz w:val="22"/>
          <w:szCs w:val="22"/>
        </w:rPr>
        <w:t xml:space="preserve">Five topologies operate the same logical behaviour: hosted, local, single-device, hybrid and edge. A topology determines where a domain executes and never which domain owns a decision. An edge node holds no authority, answering from cache only where the requester's scope admits every cached record consulted and escalating otherwise, and performing no ingestion.</w:t>
      </w:r>
    </w:p>
    <w:p>
      <w:pPr>
        <w:spacing w:after="170" w:line="300"/>
      </w:pPr>
      <w:r>
        <w:rPr>
          <w:color w:val="1A1714"/>
          <w:sz w:val="22"/>
          <w:szCs w:val="22"/>
        </w:rPr>
        <w:t xml:space="preserve">A domain's implementation may be replaced where the replacement satisfies every interface at each supported version, every transfer-matrix entry in which that domain appears, and a named human approval. D0 is not replaceable, being a member of the permanently-excluded set.</w:t>
      </w:r>
    </w:p>
    <w:p>
      <w:pPr>
        <w:pStyle w:val="Heading1"/>
        <w:spacing w:after="150" w:before="320"/>
      </w:pPr>
      <w:r>
        <w:rPr>
          <w:b/>
          <w:bCs/>
          <w:color w:val="1A1714"/>
          <w:sz w:val="28"/>
          <w:szCs w:val="28"/>
        </w:rPr>
        <w:t xml:space="preserve">33.  Directed Capture Equipment Control</w:t>
      </w:r>
    </w:p>
    <w:p>
      <w:pPr>
        <w:spacing w:after="170" w:line="300"/>
      </w:pPr>
      <w:r>
        <w:rPr>
          <w:color w:val="1A1714"/>
          <w:sz w:val="22"/>
          <w:szCs w:val="22"/>
        </w:rPr>
        <w:t xml:space="preserve">This section states a capability Section 14 does not itself contemplate, and the boundary it observes. Command emission is permitted to registered equipment of a capture and inspection class — pan-tilt-zoom heads, lighting, bounded-volume capture drones, inspection arms, positioning stages, mobile capture bases — each registered with its kinematic envelope, velocity and force limits and operating volume. Emission to any other class is refused, and the prohibition on any control interface to a vehicle system stands: a mechanism whose failure can injure a person at speed is not brought within scope because a mechanism whose failure spoils a photograph has been.</w:t>
      </w:r>
    </w:p>
    <w:p>
      <w:pPr>
        <w:spacing w:after="170" w:line="300"/>
      </w:pPr>
      <w:r>
        <w:rPr>
          <w:color w:val="1A1714"/>
          <w:sz w:val="22"/>
          <w:szCs w:val="22"/>
        </w:rPr>
        <w:t xml:space="preserve">Command authority is granted per session rather than per command, bounded by expiry, revocability before the next command, scope to named units and volumes, and recording. Every command is evaluated before emission against operating volume, kinematic envelope, velocity and force, clearance, human proximity, inter-unit swept volume and recording-restricted zones; a violating command is withheld unconditionally, not emitted at reduced priority nor modified into a permissible one. Person detection is safety-only: used to compute clearance and for nothing else, retained beyond no evaluation, entering no result set and available to no other mechanism. A halt is evaluated from equipment state and constraints without traversing retrieval, stabilization, generation or modulation, because a stop that waits for an answer is not a stop.</w:t>
      </w:r>
    </w:p>
    <w:p>
      <w:pPr>
        <w:pStyle w:val="Heading1"/>
        <w:spacing w:after="150" w:before="320"/>
      </w:pPr>
      <w:r>
        <w:rPr>
          <w:b/>
          <w:bCs/>
          <w:color w:val="1A1714"/>
          <w:sz w:val="28"/>
          <w:szCs w:val="28"/>
        </w:rPr>
        <w:t xml:space="preserve">34.  Assistive Physical Contact</w:t>
      </w:r>
    </w:p>
    <w:p>
      <w:pPr>
        <w:spacing w:after="170" w:line="300"/>
      </w:pPr>
      <w:r>
        <w:rPr>
          <w:color w:val="1A1714"/>
          <w:sz w:val="22"/>
          <w:szCs w:val="22"/>
        </w:rPr>
        <w:t xml:space="preserve">Equipment making intentional contact with a person operates under an authorization class disjoint from that of Section 33, because contact inverts the constraint: the exclusion distance becomes a force to be bounded, a consent to be held and a release to be guaranteed. Registration requires a completed hazard analysis recorded with its assessor. Contact requires two authorizations concurrently: a deployment authorization establishing that contact is permissible, and a contact consent from the person establishing that it is wanted.</w:t>
      </w:r>
    </w:p>
    <w:p>
      <w:pPr>
        <w:spacing w:after="170" w:line="300"/>
      </w:pPr>
      <w:r>
        <w:rPr>
          <w:color w:val="1A1714"/>
          <w:sz w:val="22"/>
          <w:szCs w:val="22"/>
        </w:rPr>
        <w:t xml:space="preserve">Withdrawal by the assisted person halts contact within the registered stopping interval and is not overridable by an operator, a representative or a task in progress. Where a person cannot express or withdraw consent, contact proceeds only under a designated representative, a second person holding a halt control, and a restricted task subset; the system does not determine incapacity, reading that determination from the deployment's own governance. Force and pressure limits are registered per body region. Power loss, control loss, safety-path fault and any halt result in release rather than retention, excepting a weight-bearing unit with registered redundant support. No record of the person's body, movement, capability or dependency is constructed or retained.</w:t>
      </w:r>
    </w:p>
    <w:p>
      <w:pPr>
        <w:pStyle w:val="Heading1"/>
        <w:spacing w:after="150" w:before="320"/>
      </w:pPr>
      <w:r>
        <w:rPr>
          <w:b/>
          <w:bCs/>
          <w:color w:val="1A1714"/>
          <w:sz w:val="28"/>
          <w:szCs w:val="28"/>
        </w:rPr>
        <w:t xml:space="preserve">35.  Community Query Mode</w:t>
      </w:r>
    </w:p>
    <w:p>
      <w:pPr>
        <w:spacing w:after="170" w:line="300"/>
      </w:pPr>
      <w:r>
        <w:rPr>
          <w:color w:val="1A1714"/>
          <w:sz w:val="22"/>
          <w:szCs w:val="22"/>
        </w:rPr>
        <w:t xml:space="preserve">A requester holding standing over a lost or stolen subject submits its representation; a packet is distributed to registered channels covering the subject class and geographic scope; responses from other identities are admitted as attributed knowledge records. Evidence accumulates under the ordinary arithmetic, with each responding identity constituting a source class so that repeated sightings from one identity do not weigh as sightings from many. A search zone is returned only where accumulated confidence clears a floor and the count of distinct responding identities clears a minimum; a single uncorroborated sighting is returned as exactly that.</w:t>
      </w:r>
    </w:p>
    <w:p>
      <w:pPr>
        <w:spacing w:after="170" w:line="300"/>
      </w:pPr>
      <w:r>
        <w:rPr>
          <w:color w:val="1A1714"/>
          <w:sz w:val="22"/>
          <w:szCs w:val="22"/>
        </w:rPr>
        <w:t xml:space="preserve">For a person subject the system performs no identification of any kind — no biometric representation, no matching, no record of appearance or whereabouts, no location convergence. It broadcasts, and routes responses to a registered authority; the requester learns that responses arrived and how many. A query concerning a child is admitted only from an authority and its response channel excludes image upload entirely. A converged location for property is disclosed to an authority rather than to the requester, because a converged location is an accusation about whoever is there. No reward is computed, held or allocated by the system.</w:t>
      </w:r>
    </w:p>
    <w:p>
      <w:pPr>
        <w:pStyle w:val="Heading1"/>
        <w:spacing w:after="150" w:before="320"/>
      </w:pPr>
      <w:r>
        <w:rPr>
          <w:b/>
          <w:bCs/>
          <w:color w:val="1A1714"/>
          <w:sz w:val="28"/>
          <w:szCs w:val="28"/>
        </w:rPr>
        <w:t xml:space="preserve">36.  Attractor Stabilization Beyond Retrieval</w:t>
      </w:r>
    </w:p>
    <w:p>
      <w:pPr>
        <w:spacing w:after="170" w:line="300"/>
      </w:pPr>
      <w:r>
        <w:rPr>
          <w:color w:val="1A1714"/>
          <w:sz w:val="22"/>
          <w:szCs w:val="22"/>
        </w:rPr>
        <w:t xml:space="preserve">A partially-observed sensor frame may be completed by converging its observed regions to the nearest stored configuration. Three constraints bound this, because reconstruction produces content nobody observed: a reconstructed region is marked and never presented as observed; its confidence is bounded by the lesser of the observed and stored confidences; and it is inadmissible as grounding. Where convergence fails, no reconstruction is produced and the gap is reported — a frame with a hole is truthful, a frame whose hole has been filled with a guess presented as observation is not.</w:t>
      </w:r>
    </w:p>
    <w:p>
      <w:pPr>
        <w:spacing w:after="170" w:line="300"/>
      </w:pPr>
      <w:r>
        <w:rPr>
          <w:color w:val="1A1714"/>
          <w:sz w:val="22"/>
          <w:szCs w:val="22"/>
        </w:rPr>
        <w:t xml:space="preserve">Alignment across editions converges only below a divergence threshold, preserving at or above it and preserving anything unclassifiable, because erasing a real editorial difference costs a reader the fact while preserving a spurious one costs a footnote. Control-signal oscillation is damped, with the damped command evaluated against constraints identically to an undamped one, and persistent oscillation raising a fault and halting rather than being damped indefinitely, because a damped symptom is a concealed fault.</w:t>
      </w:r>
    </w:p>
    <w:p>
      <w:pPr>
        <w:pStyle w:val="Heading1"/>
        <w:spacing w:after="150" w:before="320"/>
      </w:pPr>
      <w:r>
        <w:rPr>
          <w:b/>
          <w:bCs/>
          <w:color w:val="1A1714"/>
          <w:sz w:val="28"/>
          <w:szCs w:val="28"/>
        </w:rPr>
        <w:t xml:space="preserve">37.  Differentiated Propagation and Tri-Temporal Scope</w:t>
      </w:r>
    </w:p>
    <w:p>
      <w:pPr>
        <w:spacing w:after="170" w:line="300"/>
      </w:pPr>
      <w:r>
        <w:rPr>
          <w:color w:val="1A1714"/>
          <w:sz w:val="22"/>
          <w:szCs w:val="22"/>
        </w:rPr>
        <w:t xml:space="preserve">Traversal cost by edge class is described at Section 21.3.1 above. Three temporal postures are distinguished and a response states which produced it: attested past, resolving under the attestation cutoff; live present, reading the live layer over the committed layer; and projected future, carrying a credible interval. Past and present results are ordinary knowledge records. A projected result is never admitted as a record and never grounds a subsequent answer. A response drawing on more than one posture carries the posture with each proposition, so a difference between two answers reads as a difference of posture rather than an inconsistency.</w:t>
      </w:r>
    </w:p>
    <w:p>
      <w:pPr>
        <w:pStyle w:val="Heading1"/>
        <w:spacing w:after="150" w:before="320"/>
      </w:pPr>
      <w:r>
        <w:rPr>
          <w:b/>
          <w:bCs/>
          <w:color w:val="1A1714"/>
          <w:sz w:val="28"/>
          <w:szCs w:val="28"/>
        </w:rPr>
        <w:t xml:space="preserve">38.  Coherence and the Context Lock</w:t>
      </w:r>
    </w:p>
    <w:p>
      <w:pPr>
        <w:spacing w:after="170" w:line="300"/>
      </w:pPr>
      <w:r>
        <w:rPr>
          <w:color w:val="1A1714"/>
          <w:sz w:val="22"/>
          <w:szCs w:val="22"/>
        </w:rPr>
        <w:t xml:space="preserve">Coherence classification is described at Section 4 above. The context lock enumerates the dimensions whose values must agree for the determinism guarantee to be asserted between two executions, computes a key over them, and returns it with the output. Identical keys mean the outputs must be identical and a difference is a defect; differing keys mean nothing is claimed. The enumeration is a member of the permanently-excluded set, because a mechanism able to unlock a dimension could restore an apparent determinism by narrowing what determinism means.</w:t>
      </w:r>
    </w:p>
    <w:p>
      <w:pPr>
        <w:pStyle w:val="Heading1"/>
        <w:spacing w:after="150" w:before="320"/>
      </w:pPr>
      <w:r>
        <w:rPr>
          <w:b/>
          <w:bCs/>
          <w:color w:val="1A1714"/>
          <w:sz w:val="28"/>
          <w:szCs w:val="28"/>
        </w:rPr>
        <w:t xml:space="preserve">39.  Observation Diversity</w:t>
      </w:r>
    </w:p>
    <w:p>
      <w:pPr>
        <w:spacing w:after="170" w:line="300"/>
      </w:pPr>
      <w:r>
        <w:rPr>
          <w:color w:val="1A1714"/>
          <w:sz w:val="22"/>
          <w:szCs w:val="22"/>
        </w:rPr>
        <w:t xml:space="preserve">The evidence parameters record how much evidence stands behind an assertion and not how varied it is. Each contribution is attributed to a registered source class — a distinct work, edition, language realization, modality, sensor, connector or supplemental submission — and diversity is the effective number of contributing classes, computed as the reciprocal of the concentration of contributed weight. Twenty units of weight in one class yield 1.0000; the same twenty spread across five classes yield 3.8462. Bacon's method requires varied instances rather than merely numerous ones, and a systematic error in a single source produces twenty mutually-agreeing confirmations and no evidence at all about the world.</w:t>
      </w:r>
    </w:p>
    <w:p>
      <w:pPr>
        <w:spacing w:after="170" w:line="300"/>
      </w:pPr>
      <w:r>
        <w:rPr>
          <w:color w:val="1A1714"/>
          <w:sz w:val="22"/>
          <w:szCs w:val="22"/>
        </w:rPr>
        <w:t xml:space="preserve">Corroboration from a class already dominating a parameter is admitted at reduced weight. A generalization requires a diversity floor as well as a count floor. Precision-weighted revision is attenuated where a contradiction's diversity approaches unity. And a response resting on a record whose diversity is near unity states that its support is concentrated in one source class.</w:t>
      </w:r>
    </w:p>
    <w:p>
      <w:pPr>
        <w:pStyle w:val="Heading1"/>
        <w:spacing w:after="150" w:before="320"/>
      </w:pPr>
      <w:r>
        <w:rPr>
          <w:b/>
          <w:bCs/>
          <w:color w:val="1A1714"/>
          <w:sz w:val="28"/>
          <w:szCs w:val="28"/>
        </w:rPr>
        <w:t xml:space="preserve">40.  Computational Substrate Output as an Ingested Modality</w:t>
      </w:r>
    </w:p>
    <w:p>
      <w:pPr>
        <w:spacing w:after="170" w:line="300"/>
      </w:pPr>
      <w:r>
        <w:rPr>
          <w:color w:val="1A1714"/>
          <w:sz w:val="22"/>
          <w:szCs w:val="22"/>
        </w:rPr>
        <w:t xml:space="preserve">A computational substrate external to the system — a neuromorphic processor, a memristive array, a multi-electrode array — is registered as a source with a declared capability, and its output registered as a modality with an independently-failing extractor. Output is reduced to concept-level records before admission, retains no raw episode, passes the safety gate and is calibrated against the substrate's registered reliability, the substrate constituting a source class.</w:t>
      </w:r>
    </w:p>
    <w:p>
      <w:pPr>
        <w:spacing w:after="170" w:line="300"/>
      </w:pPr>
      <w:r>
        <w:rPr>
          <w:color w:val="1A1714"/>
          <w:sz w:val="22"/>
          <w:szCs w:val="22"/>
        </w:rPr>
        <w:t xml:space="preserve">A substrate output is evidence of what the substrate produced and not of what it was asked about. It bears upon any other subject only through an interpretation registered in advance with its own provenance and reliability, and absent such an interpretation is admitted as a measurement of the substrate and nothing further. Derived confidence is bounded by the lesser of the substrate's and the interpretation's reliability, a reading being no better than the weaker of the instrument and the reading of it. Where a substrate comprises living tissue, the operating institution's governance and any review its jurisdiction requires apply; this specification authorises no substrate's operation.</w:t>
      </w:r>
    </w:p>
    <w:p>
      <w:pPr>
        <w:pStyle w:val="Heading1"/>
        <w:spacing w:after="150" w:before="320"/>
      </w:pPr>
      <w:r>
        <w:rPr>
          <w:b/>
          <w:bCs/>
          <w:color w:val="1A1714"/>
          <w:sz w:val="28"/>
          <w:szCs w:val="28"/>
        </w:rPr>
        <w:t xml:space="preserve">41.  The AI-Engine Ingestion Module</w:t>
      </w:r>
    </w:p>
    <w:p>
      <w:pPr>
        <w:spacing w:after="170" w:line="300"/>
      </w:pPr>
      <w:r>
        <w:rPr>
          <w:color w:val="1A1714"/>
          <w:sz w:val="22"/>
          <w:szCs w:val="22"/>
        </w:rPr>
        <w:t xml:space="preserve">This section states a capability that falls outside the directed delegation of Section 14, and the constraints under which it is admitted.</w:t>
      </w:r>
    </w:p>
    <w:p>
      <w:pPr>
        <w:spacing w:after="170" w:line="300"/>
      </w:pPr>
      <w:r>
        <w:rPr>
          <w:color w:val="1A1714"/>
          <w:sz w:val="22"/>
          <w:szCs w:val="22"/>
        </w:rPr>
        <w:t xml:space="preserve">A prompt is composed by the regeneration mechanism from knowledge records under the vocabulary constraint, according to a profile registered for the target engine, and carries semantic markers naming the concepts to address, extraction instructions specifying the return form, and alignment constraints stating the target record schema. Composition is deterministic, so an elicitation may be repeated exactly and a difference in the reply attributed to the engine rather than to the asking. The prompt is dispatched through a connector under a declared capability, rate-limited and batched under compute accounting.</w:t>
      </w:r>
    </w:p>
    <w:p>
      <w:pPr>
        <w:spacing w:after="170" w:line="300"/>
      </w:pPr>
      <w:r>
        <w:rPr>
          <w:color w:val="1A1714"/>
          <w:sz w:val="22"/>
          <w:szCs w:val="22"/>
        </w:rPr>
        <w:t xml:space="preserve">The reply is normalized, segmented into individual assertions, and converted into knowledge records of the ordinary schema, each receiving a temporal anchor from the elicitation, a semantic fingerprint, and a provenance reference identifying the prompt, engine, version and position within the reply. Converted records enter the ordinary store and the ordinary concept structure, are traversable, retrievable, citable, and subject to every mechanism governing any other record.</w:t>
      </w:r>
    </w:p>
    <w:p>
      <w:pPr>
        <w:spacing w:after="170" w:line="300"/>
      </w:pPr>
      <w:r>
        <w:rPr>
          <w:color w:val="1A1714"/>
          <w:sz w:val="22"/>
          <w:szCs w:val="22"/>
        </w:rPr>
        <w:t xml:space="preserve">Three constraints attach, each preventing a specific failure. First, the derivation is a field of the record identifying the engine, unmodifiable and unremovable, and a citation resolving to such a record discloses it — preventing a reader from following a citation and discovering that the authority is that a model produced it when asked. Second, each engine is one source class, so three assertions from one engine yield a diversity of 1.0000 against 3.0000 from three engines, and a corroboration from the same engine is refused — preventing confidence manufactured by repetition. Third, confidence is bounded by the engine's registered reliability and, where an extraction instruction applies, by the lesser of the two — preventing a generated assertion from outranking a reported one by fluency.</w:t>
      </w:r>
    </w:p>
    <w:p>
      <w:pPr>
        <w:spacing w:after="170" w:line="300"/>
      </w:pPr>
      <w:r>
        <w:rPr>
          <w:color w:val="1A1714"/>
          <w:sz w:val="22"/>
          <w:szCs w:val="22"/>
        </w:rPr>
        <w:t xml:space="preserve">A citation contained in a model reply is verified against the store and recorded as verified or unverified, the assertion being admitted carrying that record rather than withheld, so a fabricated citation becomes a recorded property rather than an undetected defect. The audit chain records prompt, engine, version, elicitation time, position, derivation marking, the confidence bound and its basis, and the verification outcome, and is queryable.</w:t>
      </w:r>
    </w:p>
    <w:p>
      <w:pPr>
        <w:spacing w:after="170" w:line="300"/>
      </w:pPr>
      <w:r>
        <w:rPr>
          <w:color w:val="1A1714"/>
          <w:sz w:val="22"/>
          <w:szCs w:val="22"/>
        </w:rPr>
        <w:t xml:space="preserve">The cost is stated rather than minimised. Before this module, every record originated from a source that asserted something about the world. With it, an answer may trace to an assertion a model generated in response to a prompt this system composed — recorded and auditable at every step, and disclosed at the point of citation, but produced rather than reported. The module is elected per deployment, and a response indicates whether any record it relied upon was model-derived.</w:t>
      </w:r>
    </w:p>
    <w:p>
      <w:pPr>
        <w:pStyle w:val="Heading1"/>
        <w:spacing w:after="150" w:before="320"/>
      </w:pPr>
      <w:r>
        <w:rPr>
          <w:b/>
          <w:bCs/>
          <w:color w:val="1A1714"/>
          <w:sz w:val="28"/>
          <w:szCs w:val="28"/>
        </w:rPr>
        <w:t xml:space="preserve">42.  Exemplary Embodiments</w:t>
      </w:r>
    </w:p>
    <w:p>
      <w:pPr>
        <w:spacing w:after="170" w:line="300"/>
      </w:pPr>
      <w:r>
        <w:rPr>
          <w:color w:val="1A1714"/>
          <w:sz w:val="22"/>
          <w:szCs w:val="22"/>
        </w:rPr>
        <w:t xml:space="preserve">The following illustrate the operation of claimed methods in representative use, each tied to the specific mechanism it demonstrates rather than introducing new subject matter. Embodiments 1 through 6 are as originally drafted. Embodiments 7 through 14 illustrate mechanisms specified since.</w:t>
      </w:r>
    </w:p>
    <w:p>
      <w:pPr>
        <w:pStyle w:val="Heading2"/>
        <w:spacing w:after="150" w:before="320"/>
      </w:pPr>
      <w:r>
        <w:rPr>
          <w:b/>
          <w:bCs/>
          <w:color w:val="1A1714"/>
          <w:sz w:val="24"/>
          <w:szCs w:val="24"/>
        </w:rPr>
        <w:t xml:space="preserve">Embodiment 1 — Single-Source Question and Answer</w:t>
      </w:r>
    </w:p>
    <w:p>
      <w:pPr>
        <w:spacing w:after="170" w:line="300"/>
      </w:pPr>
      <w:r>
        <w:rPr>
          <w:color w:val="1A1714"/>
          <w:sz w:val="22"/>
          <w:szCs w:val="22"/>
        </w:rPr>
        <w:t xml:space="preserve">A reader poses a natural-language question about a specific ingested work. The system parses the query, retrieves candidate Fact Units via the mechanism of Section 3, stabilizes the candidate set through the Attractor Network's convergence process, and composes a response through the grounded generation pipeline of Section 6. The delivered answer cites the specific Fact Unit or Units it was assembled from, each independently verifiable through the provenance mechanism of Section 6.</w:t>
      </w:r>
    </w:p>
    <w:p>
      <w:pPr>
        <w:pStyle w:val="Heading2"/>
        <w:spacing w:after="150" w:before="320"/>
      </w:pPr>
      <w:r>
        <w:rPr>
          <w:b/>
          <w:bCs/>
          <w:color w:val="1A1714"/>
          <w:sz w:val="24"/>
          <w:szCs w:val="24"/>
        </w:rPr>
        <w:t xml:space="preserve">Embodiment 2 — Multi-Source Survey With Contradiction Detection</w:t>
      </w:r>
    </w:p>
    <w:p>
      <w:pPr>
        <w:spacing w:after="170" w:line="300"/>
      </w:pPr>
      <w:r>
        <w:rPr>
          <w:color w:val="1A1714"/>
          <w:sz w:val="22"/>
          <w:szCs w:val="22"/>
        </w:rPr>
        <w:t xml:space="preserve">A researcher ingests a plurality of documents addressing a common subject and poses a query spanning all of them. Retrieval proceeds across the unified Fact Graph populated by the ingestion method of Section 7, and the cross-domain consistency mechanism of Section 4 surfaces a genuine factual conflict between two of the ingested sources as a queryable contradiction-index entry, rather than silently selecting one or averaging them.</w:t>
      </w:r>
    </w:p>
    <w:p>
      <w:pPr>
        <w:pStyle w:val="Heading2"/>
        <w:spacing w:after="150" w:before="320"/>
      </w:pPr>
      <w:r>
        <w:rPr>
          <w:b/>
          <w:bCs/>
          <w:color w:val="1A1714"/>
          <w:sz w:val="24"/>
          <w:szCs w:val="24"/>
        </w:rPr>
        <w:t xml:space="preserve">Embodiment 3 — Directed Delegation to an External System</w:t>
      </w:r>
    </w:p>
    <w:p>
      <w:pPr>
        <w:spacing w:after="170" w:line="300"/>
      </w:pPr>
      <w:r>
        <w:rPr>
          <w:color w:val="1A1714"/>
          <w:sz w:val="22"/>
          <w:szCs w:val="22"/>
        </w:rPr>
        <w:t xml:space="preserve">An operator registers an external device platform through the connector architecture of Section 14, declaring a specific, named action the platform is authorized to perform. A subsequent natural-language instruction compiled through the system's bounded program layer dispatches that specific declared action to the registered platform. The system does not thereby acquire the platform's own broader capabilities — only the declared action is available to be dispatched, consistent with the directed-delegation limitation.</w:t>
      </w:r>
    </w:p>
    <w:p>
      <w:pPr>
        <w:pStyle w:val="Heading2"/>
        <w:spacing w:after="150" w:before="320"/>
      </w:pPr>
      <w:r>
        <w:rPr>
          <w:b/>
          <w:bCs/>
          <w:color w:val="1A1714"/>
          <w:sz w:val="24"/>
          <w:szCs w:val="24"/>
        </w:rPr>
        <w:t xml:space="preserve">Embodiment 4 — Edition Comparison</w:t>
      </w:r>
    </w:p>
    <w:p>
      <w:pPr>
        <w:spacing w:after="170" w:line="300"/>
      </w:pPr>
      <w:r>
        <w:rPr>
          <w:color w:val="1A1714"/>
          <w:sz w:val="22"/>
          <w:szCs w:val="22"/>
        </w:rPr>
        <w:t xml:space="preserve">A reader holding access to two editions of the same underlying work requests a comparison. The system retrieves the Fact Units associated with each edition's version chain and surfaces the specific additions, removals, and revised assertions between them, each difference traceable to a specific Fact Unit version rather than a generic text-diff of the surface content.</w:t>
      </w:r>
    </w:p>
    <w:p>
      <w:pPr>
        <w:pStyle w:val="Heading2"/>
        <w:spacing w:after="150" w:before="320"/>
      </w:pPr>
      <w:r>
        <w:rPr>
          <w:b/>
          <w:bCs/>
          <w:color w:val="1A1714"/>
          <w:sz w:val="24"/>
          <w:szCs w:val="24"/>
        </w:rPr>
        <w:t xml:space="preserve">Embodiment 5 — Role-Scoped Portal Access</w:t>
      </w:r>
    </w:p>
    <w:p>
      <w:pPr>
        <w:spacing w:after="170" w:line="300"/>
      </w:pPr>
      <w:r>
        <w:rPr>
          <w:color w:val="1A1714"/>
          <w:sz w:val="22"/>
          <w:szCs w:val="22"/>
        </w:rPr>
        <w:t xml:space="preserve">A reader, an author, and an instructor each access the same underlying published work through the role-based portal architecture referenced in Section 13. The reader's session is scoped to consumption and personal annotation; the author's session additionally exposes drafting and rights-management capability over their own published work; the instructor's session — a time-scoped capability grant rather than a distinct account type — additionally exposes class-scoped assessment and progress capability.</w:t>
      </w:r>
    </w:p>
    <w:p>
      <w:pPr>
        <w:pStyle w:val="Heading2"/>
        <w:spacing w:after="150" w:before="320"/>
      </w:pPr>
      <w:r>
        <w:rPr>
          <w:b/>
          <w:bCs/>
          <w:color w:val="1A1714"/>
          <w:sz w:val="24"/>
          <w:szCs w:val="24"/>
        </w:rPr>
        <w:t xml:space="preserve">Embodiment 6 — Standards-Conformant Reader Deployment</w:t>
      </w:r>
    </w:p>
    <w:p>
      <w:pPr>
        <w:spacing w:after="170" w:line="300"/>
      </w:pPr>
      <w:r>
        <w:rPr>
          <w:color w:val="1A1714"/>
          <w:sz w:val="22"/>
          <w:szCs w:val="22"/>
        </w:rPr>
        <w:t xml:space="preserve">The system of the preceding claims is deployed as a reading application conformant to the EPUB Reading Systems 3.3 specification, rendering content authored to the EPUB 3.3 core specification. QueryBook-specific interaction points are carried as custom data attributes on otherwise-valid EPUB 3.3 markup, ignorable by any non-conformant-aware reading system. A reader's selection of an attribute-anchored passage triggers retrieval through the mechanism of Claim 6, with the resulting output displayed through the grounded generation mechanism of Claim 8 — the same underlying architecture operating identically whether accessed through a conformant reading system or through the system's own interface.</w:t>
      </w:r>
    </w:p>
    <w:p>
      <w:pPr>
        <w:pStyle w:val="Heading2"/>
        <w:spacing w:after="150" w:before="320"/>
      </w:pPr>
      <w:r>
        <w:rPr>
          <w:b/>
          <w:bCs/>
          <w:color w:val="1A1714"/>
          <w:sz w:val="24"/>
          <w:szCs w:val="24"/>
        </w:rPr>
        <w:t xml:space="preserve">Embodiment 7 — A Settled Assertion Meeting a Single Contradiction</w:t>
      </w:r>
    </w:p>
    <w:p>
      <w:pPr>
        <w:spacing w:after="170" w:line="300"/>
      </w:pPr>
      <w:r>
        <w:rPr>
          <w:color w:val="1A1714"/>
          <w:sz w:val="22"/>
          <w:szCs w:val="22"/>
        </w:rPr>
        <w:t xml:space="preserve">An assertion has accumulated eighteen units of supporting evidence and two of contradicting evidence, reporting a confidence of 0.9000 with a credible interval of approximately ±0.1283. A single contradicting source of reliability 1.0 is ingested. Under the additive rule this system previously used, the confidence would fall by 0.05 irrespective of what stood behind it. Under the mechanism of Section 21.5, it falls by 0.0429 — and a provisional assertion at one unit each side, meeting the identical contradiction, falls by 0.1667. The settled belief resists and the provisional one moves, by the arithmetic rather than by a rule expressing that intention.</w:t>
      </w:r>
    </w:p>
    <w:p>
      <w:pPr>
        <w:pStyle w:val="Heading2"/>
        <w:spacing w:after="150" w:before="320"/>
      </w:pPr>
      <w:r>
        <w:rPr>
          <w:b/>
          <w:bCs/>
          <w:color w:val="1A1714"/>
          <w:sz w:val="24"/>
          <w:szCs w:val="24"/>
        </w:rPr>
        <w:t xml:space="preserve">Embodiment 8 — A Contradiction Too Weak to Revise, and Retained</w:t>
      </w:r>
    </w:p>
    <w:p>
      <w:pPr>
        <w:spacing w:after="170" w:line="300"/>
      </w:pPr>
      <w:r>
        <w:rPr>
          <w:color w:val="1A1714"/>
          <w:sz w:val="22"/>
          <w:szCs w:val="22"/>
        </w:rPr>
        <w:t xml:space="preserve">A single blurry observation contradicts an attribute of a well-established concept node. The precision of the error is low and the precision of the prior is high, so the revision gain computes to 0.0053 and falls below the configured floor: no revision occurs. The contradiction is nonetheless recorded, so that a pattern of individually-insignificant contradictions against the same attribute remains queryable and a reviewer examining the concept later finds them rather than finding nothing.</w:t>
      </w:r>
    </w:p>
    <w:p>
      <w:pPr>
        <w:pStyle w:val="Heading2"/>
        <w:spacing w:after="150" w:before="320"/>
      </w:pPr>
      <w:r>
        <w:rPr>
          <w:b/>
          <w:bCs/>
          <w:color w:val="1A1714"/>
          <w:sz w:val="24"/>
          <w:szCs w:val="24"/>
        </w:rPr>
        <w:t xml:space="preserve">Embodiment 9 — Twenty Confirmations From One Source, and From Five</w:t>
      </w:r>
    </w:p>
    <w:p>
      <w:pPr>
        <w:spacing w:after="170" w:line="300"/>
      </w:pPr>
      <w:r>
        <w:rPr>
          <w:color w:val="1A1714"/>
          <w:sz w:val="22"/>
          <w:szCs w:val="22"/>
        </w:rPr>
        <w:t xml:space="preserve">Two assertions each carry twenty units of supporting weight and report an identical confidence. The first accumulated its weight from repeated readings of a single edition; the second from two editions, a translation, an image and a video. The diversity measure of Section 39 computes 1.0000 for the first and 3.8462 for the second. A response resting on the first states that its support is concentrated within one source class. Without the measure the two would be indistinguishable, and a systematic error in the single edition would present as twenty independent confirmations.</w:t>
      </w:r>
    </w:p>
    <w:p>
      <w:pPr>
        <w:pStyle w:val="Heading2"/>
        <w:spacing w:after="150" w:before="320"/>
      </w:pPr>
      <w:r>
        <w:rPr>
          <w:b/>
          <w:bCs/>
          <w:color w:val="1A1714"/>
          <w:sz w:val="24"/>
          <w:szCs w:val="24"/>
        </w:rPr>
        <w:t xml:space="preserve">Embodiment 10 — Two Hypotheses the Evidence Cannot Separate</w:t>
      </w:r>
    </w:p>
    <w:p>
      <w:pPr>
        <w:spacing w:after="170" w:line="300"/>
      </w:pPr>
      <w:r>
        <w:rPr>
          <w:color w:val="1A1714"/>
          <w:sz w:val="22"/>
          <w:szCs w:val="22"/>
        </w:rPr>
        <w:t xml:space="preserve">Two candidate explanations of a common subject stand at posteriors of 0.7500 and 0.6875, each resting on sixteen observations. The separation of 0.0625 falls below the configured floor while both exceed the support minimum, so the pair is marked undiscriminated. Three obtainable observations are evaluated: one predicted at 0.90 and 0.85 discriminates 0.05; one at 0.55 and 0.50 discriminates 0.05; one at 0.88 and 0.20 discriminates 0.68. The third is selected — not because either hypothesis considers it likely, but because they disagree about it — and the request states what each posterior would become under both its presence and its absence.</w:t>
      </w:r>
    </w:p>
    <w:p>
      <w:pPr>
        <w:pStyle w:val="Heading2"/>
        <w:spacing w:after="150" w:before="320"/>
      </w:pPr>
      <w:r>
        <w:rPr>
          <w:b/>
          <w:bCs/>
          <w:color w:val="1A1714"/>
          <w:sz w:val="24"/>
          <w:szCs w:val="24"/>
        </w:rPr>
        <w:t xml:space="preserve">Embodiment 11 — A Query in a Shared Session</w:t>
      </w:r>
    </w:p>
    <w:p>
      <w:pPr>
        <w:spacing w:after="170" w:line="300"/>
      </w:pPr>
      <w:r>
        <w:rPr>
          <w:color w:val="1A1714"/>
          <w:sz w:val="22"/>
          <w:szCs w:val="22"/>
        </w:rPr>
        <w:t xml:space="preserve">Two readers occupy a shared session over a common work. The first's entitlement admits 340 knowledge records; the second's admits 275 of those. The shared view comprises the intersection, 275, and a record traversable by the first and not the second is absent from it — and its absence is not reported to either, because reporting that something is withheld discloses precisely what the entitlement exists to protect. A query submitted in the session resolves against the intersection and is delivered identically to both, so neither receives a citation the other cannot open.</w:t>
      </w:r>
    </w:p>
    <w:p>
      <w:pPr>
        <w:pStyle w:val="Heading2"/>
        <w:spacing w:after="150" w:before="320"/>
      </w:pPr>
      <w:r>
        <w:rPr>
          <w:b/>
          <w:bCs/>
          <w:color w:val="1A1714"/>
          <w:sz w:val="24"/>
          <w:szCs w:val="24"/>
        </w:rPr>
        <w:t xml:space="preserve">Embodiment 12 — A Command Withheld at an Equipment Boundary</w:t>
      </w:r>
    </w:p>
    <w:p>
      <w:pPr>
        <w:spacing w:after="170" w:line="300"/>
      </w:pPr>
      <w:r>
        <w:rPr>
          <w:color w:val="1A1714"/>
          <w:sz w:val="22"/>
          <w:szCs w:val="22"/>
        </w:rPr>
        <w:t xml:space="preserve">A registered inspection arm operates under a session authorization naming its unit, its volume and its permitted task classes. A compiled plan would bring the arm to within 0.42 metres of a detected person where the registered exclusion distance is 0.60. The command is withheld before emission — not emitted at reduced priority, not emitted with a warning, and not modified into a permissible command by the system's own selection. The detection of the person is used to compute the clearance and for nothing else: it is not retained beyond the evaluation, enters no result set, and is available to no other mechanism.</w:t>
      </w:r>
    </w:p>
    <w:p>
      <w:pPr>
        <w:pStyle w:val="Heading2"/>
        <w:spacing w:after="150" w:before="320"/>
      </w:pPr>
      <w:r>
        <w:rPr>
          <w:b/>
          <w:bCs/>
          <w:color w:val="1A1714"/>
          <w:sz w:val="24"/>
          <w:szCs w:val="24"/>
        </w:rPr>
        <w:t xml:space="preserve">Embodiment 13 — An Answer Elicited From an External Engine</w:t>
      </w:r>
    </w:p>
    <w:p>
      <w:pPr>
        <w:spacing w:after="170" w:line="300"/>
      </w:pPr>
      <w:r>
        <w:rPr>
          <w:color w:val="1A1714"/>
          <w:sz w:val="22"/>
          <w:szCs w:val="22"/>
        </w:rPr>
        <w:t xml:space="preserve">A deployment has elected the module of Section 41. A prompt is composed from knowledge records under the vocabulary constraint according to the profile registered for a named engine, dispatched under a declared capability, and the reply segmented into individual assertions. Each becomes a knowledge record carrying a derivation marking naming the engine, a confidence bounded by the engine's registered reliability of 0.88 and the extraction instruction's 0.62 — hence 0.62 — and a provenance reference identifying the prompt and the position of the assertion within the reply. A citation contained in one assertion resolves to no record held and is recorded as unverified, the assertion being admitted carrying that record. A later answer citing the record discloses that its authority is a named engine responding to a recorded prompt. Three further elicitations of the same assertion from the same engine raise the accumulated evidence and leave the diversity measure at 1.0000.</w:t>
      </w:r>
    </w:p>
    <w:p>
      <w:pPr>
        <w:pStyle w:val="Heading2"/>
        <w:spacing w:after="150" w:before="320"/>
      </w:pPr>
      <w:r>
        <w:rPr>
          <w:b/>
          <w:bCs/>
          <w:color w:val="1A1714"/>
          <w:sz w:val="24"/>
          <w:szCs w:val="24"/>
        </w:rPr>
        <w:t xml:space="preserve">Embodiment 14 — Two Answers That Differ Legitimately</w:t>
      </w:r>
    </w:p>
    <w:p>
      <w:pPr>
        <w:spacing w:after="170" w:line="300"/>
      </w:pPr>
      <w:r>
        <w:rPr>
          <w:color w:val="1A1714"/>
          <w:sz w:val="22"/>
          <w:szCs w:val="22"/>
        </w:rPr>
        <w:t xml:space="preserve">The same query is submitted twice over an unchanged corpus. The first is delivered under the plain register to a requester on a desktop class device; the second under the academic register to the same requester. The two responses differ. Each carries a context key computed over the enumerated locked dimensions, and the keys differ because the register is a locked dimension — so the difference is a difference of context and not a defect. Had the two differed while carrying an identical key, the difference would be a defect, and the trial architecture of Section 29 measures exactly this.</w:t>
      </w:r>
    </w:p>
    <w:p>
      <w:pPr>
        <w:pStyle w:val="Heading1"/>
        <w:spacing w:after="150" w:before="320"/>
      </w:pPr>
      <w:r>
        <w:rPr>
          <w:b/>
          <w:bCs/>
          <w:color w:val="1A1714"/>
          <w:sz w:val="28"/>
          <w:szCs w:val="28"/>
        </w:rPr>
        <w:t xml:space="preserve">43.  Comparison With Human Cognition</w:t>
      </w:r>
    </w:p>
    <w:p>
      <w:pPr>
        <w:spacing w:after="170" w:line="300"/>
      </w:pPr>
      <w:r>
        <w:rPr>
          <w:color w:val="1A1714"/>
          <w:sz w:val="22"/>
          <w:szCs w:val="22"/>
        </w:rPr>
        <w:t xml:space="preserve">Section 21.2 compares this architecture with a language model and with the neocortex on the dimensions where the correspondence of Section 21 is claimed. This section compares it with human cognition more broadly, and does so in both directions. It is included because a comparison stating only where a system is superior is not a comparison, and because the properties on which human cognition is plainly superior are the properties a reader will supply for themselves if the document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Dimension</w:t>
            </w:r>
          </w:p>
        </w:tc>
        <w:tc>
          <w:tcPr>
            <w:tcW w:type="dxa" w:w="393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This system</w:t>
            </w:r>
          </w:p>
        </w:tc>
        <w:tc>
          <w:tcPr>
            <w:tcW w:type="dxa" w:w="393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Human cognition</w:t>
            </w:r>
          </w:p>
        </w:tc>
      </w:tr>
      <w:tr>
        <w:tc>
          <w:tcPr>
            <w:tcW w:type="dxa" w:w="1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Substrate</w:t>
            </w:r>
          </w:p>
        </w:tc>
        <w:tc>
          <w:tcPr>
            <w:tcW w:type="dxa" w:w="393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Software over conventional or, under §7.7, analog hardware; explicit boundaries between mechanisms.</w:t>
            </w:r>
          </w:p>
        </w:tc>
        <w:tc>
          <w:tcPr>
            <w:tcW w:type="dxa" w:w="393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Neural tissue; modular in function without explicit boundaries, and not decomposable into named components without loss.</w:t>
            </w:r>
          </w:p>
        </w:tc>
      </w:tr>
      <w:tr>
        <w:tc>
          <w:tcPr>
            <w:tcW w:type="dxa" w:w="1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Computation</w:t>
            </w:r>
          </w:p>
        </w:tc>
        <w:tc>
          <w:tcPr>
            <w:tcW w:type="dxa" w:w="393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Deterministic traversal, threshold convergence and constrained composition. No component is fitted by gradient descent, and no operation terminates in a sampled outcome.</w:t>
            </w:r>
          </w:p>
        </w:tc>
        <w:tc>
          <w:tcPr>
            <w:tcW w:type="dxa" w:w="393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Event-driven spiking, massively parallel and asynchronous, with temporal and rate coding over continuous dynamics.</w:t>
            </w:r>
          </w:p>
        </w:tc>
      </w:tr>
      <w:tr>
        <w:tc>
          <w:tcPr>
            <w:tcW w:type="dxa" w:w="1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Learning</w:t>
            </w:r>
          </w:p>
        </w:tc>
        <w:tc>
          <w:tcPr>
            <w:tcW w:type="dxa" w:w="393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Structured and bounded. A record is admitted, a confidence value moves, a concept consolidates on a count. Every change is recorded and reversible, and no change to the system itself takes effect without a named human approval.</w:t>
            </w:r>
          </w:p>
        </w:tc>
        <w:tc>
          <w:tcPr>
            <w:tcW w:type="dxa" w:w="393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Continuous lifelong plasticity driven by experience, reward and social feedback. No global controller and no rollback.</w:t>
            </w:r>
          </w:p>
        </w:tc>
      </w:tr>
      <w:tr>
        <w:tc>
          <w:tcPr>
            <w:tcW w:type="dxa" w:w="1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Memory</w:t>
            </w:r>
          </w:p>
        </w:tc>
        <w:tc>
          <w:tcPr>
            <w:tcW w:type="dxa" w:w="393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Explicit. A record is addressable, its origin verifiable, its confidence stated, its erasure exact.</w:t>
            </w:r>
          </w:p>
        </w:tc>
        <w:tc>
          <w:tcPr>
            <w:tcW w:type="dxa" w:w="393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Associative and reconstructive. Recall alters what is recalled, and the alteration is not observable to the person recalling.</w:t>
            </w:r>
          </w:p>
        </w:tc>
      </w:tr>
      <w:tr>
        <w:tc>
          <w:tcPr>
            <w:tcW w:type="dxa" w:w="1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Context</w:t>
            </w:r>
          </w:p>
        </w:tc>
        <w:tc>
          <w:tcPr>
            <w:tcW w:type="dxa" w:w="393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Explicit and enumerated. The dimensions on which a response depends are registered and a key is computed over them.</w:t>
            </w:r>
          </w:p>
        </w:tc>
        <w:tc>
          <w:tcPr>
            <w:tcW w:type="dxa" w:w="393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Implicit and embodied — physical setting, social situation, bodily state, personal history — largely processed without awareness.</w:t>
            </w:r>
          </w:p>
        </w:tc>
      </w:tr>
      <w:tr>
        <w:tc>
          <w:tcPr>
            <w:tcW w:type="dxa" w:w="1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Energy</w:t>
            </w:r>
          </w:p>
        </w:tc>
        <w:tc>
          <w:tcPr>
            <w:tcW w:type="dxa" w:w="393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Substantial and scaling with corpus and query volume. This is a genuine disadvantage and is stated as one.</w:t>
            </w:r>
          </w:p>
        </w:tc>
        <w:tc>
          <w:tcPr>
            <w:tcW w:type="dxa" w:w="393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Approximately twenty watts for the whole brain, an efficiency no current computational system approaches.</w:t>
            </w:r>
          </w:p>
        </w:tc>
      </w:tr>
      <w:tr>
        <w:tc>
          <w:tcPr>
            <w:tcW w:type="dxa" w:w="1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Emotion</w:t>
            </w:r>
          </w:p>
        </w:tc>
        <w:tc>
          <w:tcPr>
            <w:tcW w:type="dxa" w:w="393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None. Affect may be carried as a declared parameter and never as a felt state, and no decision is taken on one.</w:t>
            </w:r>
          </w:p>
        </w:tc>
        <w:tc>
          <w:tcPr>
            <w:tcW w:type="dxa" w:w="393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Central. Emotion modulates attention, memory and judgment, and can override reasoning entirely — which is both its strength and its characteristic failure.</w:t>
            </w:r>
          </w:p>
        </w:tc>
      </w:tr>
      <w:tr>
        <w:tc>
          <w:tcPr>
            <w:tcW w:type="dxa" w:w="1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Embodiment</w:t>
            </w:r>
          </w:p>
        </w:tc>
        <w:tc>
          <w:tcPr>
            <w:tcW w:type="dxa" w:w="393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Only through registered equipment under the constraints of Sections 33 and 34, and absent entirely in an ordinary deployment.</w:t>
            </w:r>
          </w:p>
        </w:tc>
        <w:tc>
          <w:tcPr>
            <w:tcW w:type="dxa" w:w="393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Intrinsic. Body and cognition are one system, and action selection is coupled to homeostasis and to survival.</w:t>
            </w:r>
          </w:p>
        </w:tc>
      </w:tr>
      <w:tr>
        <w:tc>
          <w:tcPr>
            <w:tcW w:type="dxa" w:w="1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Self-model</w:t>
            </w:r>
          </w:p>
        </w:tc>
        <w:tc>
          <w:tcPr>
            <w:tcW w:type="dxa" w:w="393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Explicit but not experienced: a registry of capabilities, a record of what was answered, a measurement of calibration.</w:t>
            </w:r>
          </w:p>
        </w:tc>
        <w:tc>
          <w:tcPr>
            <w:tcW w:type="dxa" w:w="393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Subjective and continuous, shaped by memory, social role and narrative.</w:t>
            </w:r>
          </w:p>
        </w:tc>
      </w:tr>
      <w:tr>
        <w:tc>
          <w:tcPr>
            <w:tcW w:type="dxa" w:w="1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Failure mode</w:t>
            </w:r>
          </w:p>
        </w:tc>
        <w:tc>
          <w:tcPr>
            <w:tcW w:type="dxa" w:w="393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Traceable. A wrong answer resolves to the record that produced it, and the record to its source.</w:t>
            </w:r>
          </w:p>
        </w:tc>
        <w:tc>
          <w:tcPr>
            <w:tcW w:type="dxa" w:w="393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Frequently opaque and rationalised after the fact. Bias, fatigue and confabulation are not observable from the inside.</w:t>
            </w:r>
          </w:p>
        </w:tc>
      </w:tr>
      <w:tr>
        <w:tc>
          <w:tcPr>
            <w:tcW w:type="dxa" w:w="1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Robustness</w:t>
            </w:r>
          </w:p>
        </w:tc>
        <w:tc>
          <w:tcPr>
            <w:tcW w:type="dxa" w:w="393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Brittle at a boundary and exact within it. A malformed input is refused rather than approximated.</w:t>
            </w:r>
          </w:p>
        </w:tc>
        <w:tc>
          <w:tcPr>
            <w:tcW w:type="dxa" w:w="393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Degrades gracefully under damage and noise, and remains vulnerable to bias, fatigue and pathology.</w:t>
            </w:r>
          </w:p>
        </w:tc>
      </w:tr>
      <w:tr>
        <w:tc>
          <w:tcPr>
            <w:tcW w:type="dxa" w:w="150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Replication</w:t>
            </w:r>
          </w:p>
        </w:tc>
        <w:tc>
          <w:tcPr>
            <w:tcW w:type="dxa" w:w="393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Instances may be cloned, sharded and versioned, and behave identically under an identical context key.</w:t>
            </w:r>
          </w:p>
        </w:tc>
        <w:tc>
          <w:tcPr>
            <w:tcW w:type="dxa" w:w="393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Not replicable. Each is unique, and scale is population-level rather than instance-level.</w:t>
            </w:r>
          </w:p>
        </w:tc>
      </w:tr>
    </w:tbl>
    <w:p>
      <w:pPr>
        <w:spacing w:after="160"/>
      </w:pPr>
    </w:p>
    <w:p>
      <w:pPr>
        <w:spacing w:after="170" w:line="300"/>
      </w:pPr>
      <w:r>
        <w:rPr>
          <w:color w:val="1A1714"/>
          <w:sz w:val="22"/>
          <w:szCs w:val="22"/>
        </w:rPr>
        <w:t xml:space="preserve">Four of these favour human cognition without qualification: energy, embodiment, graceful degradation, and the capacity for emotion to inform judgment rather than merely to distort it. They are stated because a document claiming a correspondence to a biological architecture owes an account of where the correspondence ends.</w:t>
      </w:r>
    </w:p>
    <w:p>
      <w:pPr>
        <w:spacing w:after="170" w:line="300"/>
      </w:pPr>
      <w:r>
        <w:rPr>
          <w:color w:val="1A1714"/>
          <w:sz w:val="22"/>
          <w:szCs w:val="22"/>
        </w:rPr>
        <w:t xml:space="preserve">Two of the remaining rows are the ones a commercial reader should weigh. Memory is explicit here and reconstructive in a person, which means this system can state what it knew, when, and on what basis, where a person cannot. And failure is traceable here and frequently opaque in a person, which means a wrong answer from this system resolves to the record that produced it. Neither property makes the system more capable than a person. Both make it accountable in a way a person is not, and accountability rather than capability is the property the applications in this specification depend upon.</w:t>
      </w:r>
    </w:p>
    <w:p>
      <w:pPr>
        <w:spacing w:after="170" w:line="300"/>
      </w:pPr>
      <w:r>
        <w:rPr>
          <w:color w:val="1A1714"/>
          <w:sz w:val="22"/>
          <w:szCs w:val="22"/>
        </w:rPr>
        <w:t xml:space="preserve">A further table in the source document maps brain regions to system components — prefrontal cortex to the question-answering engine, hippocampus to the context window, occipital cortex to pattern clustering, and so forth. That table is not carried across. Each pairing is an analogy rather than a correspondence in the sense of Section 21.1, none rests on a primary result establishing that the named region performs the function ascribed to it in the form ascribed, and admitting them alongside the five correspondences this document does claim would place those five under the doubt attaching to the others. The correspondences claimed here are to convergence dynamics, attentional competition, consolidation, intersensory redundancy and spatial coding, each with its primary publication, and the list is deliberately short.</w:t>
      </w:r>
    </w:p>
    <w:p>
      <w:pPr>
        <w:pStyle w:val="Heading1"/>
        <w:spacing w:after="150" w:before="320"/>
      </w:pPr>
      <w:r>
        <w:rPr>
          <w:b/>
          <w:bCs/>
          <w:color w:val="1A1714"/>
          <w:sz w:val="28"/>
          <w:szCs w:val="28"/>
        </w:rPr>
        <w:t xml:space="preserve">Drafting Record</w:t>
      </w:r>
    </w:p>
    <w:p>
      <w:pPr>
        <w:spacing w:after="170" w:line="300"/>
      </w:pPr>
      <w:r>
        <w:rPr>
          <w:color w:val="1A1714"/>
          <w:sz w:val="22"/>
          <w:szCs w:val="22"/>
        </w:rPr>
        <w:t xml:space="preserve">Two matters are recorded here rather than in the body, each being a decision already taken rather than an open question. First, Section 21.4.3 formerly described a mechanism named Semantic Consensus Voting, in which semantic domains were said to propose interpretations and a consensus was selected among them. The specification states that no such formal voting mechanism exists, and the two statements could not both stand. Rather than build a domain-voting mechanism to satisfy the original wording — which would require a consensus rule and a determinism argument, and would sit against the domain partition — or delete the subsection and lose a sound underlying observation, the mechanism that genuinely performs competitive resolution is described in its place. What the specification denies is voting among domains, which does not exist and should not. Second, two statements in the source document from which Section 43 is drawn are inconsistent with this specification and have not been carried across: that the computation is ‘hybrid: transformer-style dense computation plus neuromorphic design principles’, when no component of this system is a transformer and the distinction from token-prediction architectures at Section 2 is the central architectural claim of the application; and that the learning regime is ‘primarily offline pre-training plus curated updates’, when there is no pre-training in this system — content is ingested as records with attribution rather than fitted into parameters, and the absence of pre-training is what makes removal of a work remove its assertions. Both should be corrected in the source document.</w:t>
      </w:r>
    </w:p>
    <w:p>
      <w:pPr>
        <w:spacing w:before="300"/>
      </w:pPr>
      <w:r>
        <w:rPr>
          <w:i/>
          <w:iCs/>
          <w:color w:val="5F5952"/>
          <w:sz w:val="19"/>
          <w:szCs w:val="19"/>
        </w:rPr>
        <w:t xml:space="preserve">QueryBook — confidential, proprietary and patent-sensitive. Section citations refer to the 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7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2026-08-29T21:57:49.619Z</dcterms:created>
  <dcterms:modified xsi:type="dcterms:W3CDTF">2026-08-29T21:57:49.636Z</dcterms:modified>
</cp:coreProperties>
</file>

<file path=docProps/custom.xml><?xml version="1.0" encoding="utf-8"?>
<Properties xmlns="http://schemas.openxmlformats.org/officeDocument/2006/custom-properties" xmlns:vt="http://schemas.openxmlformats.org/officeDocument/2006/docPropsVTypes"/>
</file>