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5F5952"/>
          <w:sz w:val="18"/>
          <w:szCs w:val="18"/>
        </w:rPr>
        <w:t xml:space="preserve">QueryBook — Confidential</w:t>
      </w:r>
    </w:p>
    <w:p>
      <w:pPr>
        <w:spacing w:after="60"/>
      </w:pPr>
      <w:r>
        <w:rPr>
          <w:b/>
          <w:bCs/>
          <w:color w:val="1A1714"/>
          <w:sz w:val="40"/>
          <w:szCs w:val="40"/>
        </w:rPr>
        <w:t xml:space="preserve">Storage &amp; Transport Infrastructure — Four Options Compared</w:t>
      </w:r>
    </w:p>
    <w:p>
      <w:pPr>
        <w:spacing w:after="220" w:line="300"/>
      </w:pPr>
      <w:r>
        <w:rPr>
          <w:i/>
          <w:iCs/>
          <w:color w:val="5F5952"/>
          <w:sz w:val="20"/>
          <w:szCs w:val="20"/>
        </w:rPr>
        <w:t xml:space="preserve">Advantages and disadvantages of four ways to store and move Fact Units, grounded in the specification (§3.9 record-fused encoding, §18 offline/sync, §43 live feeds, §47 external connections). September 6, 2026.</w:t>
      </w:r>
    </w:p>
    <w:p>
      <w:pPr>
        <w:spacing w:after="200" w:line="300"/>
      </w:pPr>
      <w:r>
        <w:rPr>
          <w:b/>
          <w:bCs/>
          <w:color w:val="1A1714"/>
          <w:sz w:val="22"/>
          <w:szCs w:val="22"/>
        </w:rPr>
        <w:t xml:space="preserve">Framing. </w:t>
      </w:r>
      <w:r>
        <w:rPr>
          <w:color w:val="1A1714"/>
          <w:sz w:val="22"/>
          <w:szCs w:val="22"/>
        </w:rPr>
        <w:t xml:space="preserve">In QueryBook, meaning lives in the Fact Unit — its FUID, semantic fingerprint, evidence pair, in-record safety and access-control, and integrity chain. The only question these four options answer is where the record physically sits, who is permitted to understand its format, and how it moves. Every advantage and disadvantage below turns on that axis.</w:t>
      </w:r>
    </w:p>
    <w:p>
      <w:pPr>
        <w:pStyle w:val="Heading1"/>
        <w:spacing w:after="120" w:before="300"/>
      </w:pPr>
      <w:r>
        <w:rPr>
          <w:b/>
          <w:bCs/>
          <w:color w:val="1A1714"/>
          <w:sz w:val="30"/>
          <w:szCs w:val="30"/>
        </w:rPr>
        <w:t xml:space="preserve">1. QB with an internal equivalent to UFCS  (current canon — §3.9)</w:t>
      </w:r>
    </w:p>
    <w:p>
      <w:pPr>
        <w:spacing w:after="140" w:line="300"/>
      </w:pPr>
      <w:r>
        <w:rPr>
          <w:b/>
          <w:bCs/>
          <w:color w:val="1A1714"/>
          <w:sz w:val="22"/>
          <w:szCs w:val="22"/>
        </w:rPr>
        <w:t xml:space="preserve">What it is. </w:t>
      </w:r>
      <w:r>
        <w:rPr>
          <w:color w:val="1A1714"/>
          <w:sz w:val="22"/>
          <w:szCs w:val="22"/>
        </w:rPr>
        <w:t xml:space="preserve">The canonical compact encoding (§3.8.7) is the Fact Unit’s own at-rest and wire form. Records are stored in whatever host holds them as opaque blobs — bytes in, bytes out — with FUID and fingerprint exposed as opaque keys for indexing. Queries are expressed internally over the record and translated at an adapter into whatever the host store speaks. The encoding and query language are fused to the record and live inside QueryBook’s boundary.</w:t>
      </w:r>
    </w:p>
    <w:p>
      <w:pPr>
        <w:spacing w:after="140" w:line="300"/>
      </w:pPr>
      <w:r>
        <w:rPr>
          <w:b/>
          <w:bCs/>
          <w:color w:val="1A1714"/>
          <w:sz w:val="22"/>
          <w:szCs w:val="22"/>
        </w:rPr>
        <w:t xml:space="preserve">Data / query flow. </w:t>
      </w:r>
      <w:r>
        <w:rPr>
          <w:color w:val="1A1714"/>
          <w:sz w:val="22"/>
          <w:szCs w:val="22"/>
        </w:rPr>
        <w:t xml:space="preserve">Fact Unit → compact encode → store as blob (column, file, object, or key). Query → internal fact query → adapter → host-native lookup → blob returned → decode → reason.</w:t>
      </w:r>
    </w:p>
    <w:p>
      <w:pPr>
        <w:pStyle w:val="Heading2"/>
        <w:spacing w:after="90" w:before="220"/>
      </w:pPr>
      <w:r>
        <w:rPr>
          <w:b/>
          <w:bCs/>
          <w:color w:val="1A1714"/>
          <w:sz w:val="24"/>
          <w:szCs w:val="24"/>
        </w:rPr>
        <w:t xml:space="preserve">Advantages</w:t>
      </w:r>
    </w:p>
    <w:p>
      <w:pPr>
        <w:spacing w:after="140" w:line="300"/>
      </w:pPr>
      <w:r>
        <w:rPr>
          <w:b/>
          <w:bCs/>
          <w:color w:val="2F5347"/>
          <w:sz w:val="22"/>
          <w:szCs w:val="22"/>
        </w:rPr>
        <w:t xml:space="preserve">• Database-neutral by construction. </w:t>
      </w:r>
      <w:r>
        <w:rPr>
          <w:color w:val="1A1714"/>
          <w:sz w:val="22"/>
          <w:szCs w:val="22"/>
        </w:rPr>
        <w:t xml:space="preserve">Any store that can hold and return bytes qualifies — a relational database, an object store, a key-value store, or a file on a phone. No proprietary dependency.</w:t>
      </w:r>
    </w:p>
    <w:p>
      <w:pPr>
        <w:spacing w:after="140" w:line="300"/>
      </w:pPr>
      <w:r>
        <w:rPr>
          <w:b/>
          <w:bCs/>
          <w:color w:val="2F5347"/>
          <w:sz w:val="22"/>
          <w:szCs w:val="22"/>
        </w:rPr>
        <w:t xml:space="preserve">• Guarantees travel with the record. </w:t>
      </w:r>
      <w:r>
        <w:rPr>
          <w:color w:val="1A1714"/>
          <w:sz w:val="22"/>
          <w:szCs w:val="22"/>
        </w:rPr>
        <w:t xml:space="preserve">Integrity hash, safety classification, and access-control list are inside the blob, so a store cannot reorder, tamper with, or leak meaning; under zero-knowledge it cannot read it at all.</w:t>
      </w:r>
    </w:p>
    <w:p>
      <w:pPr>
        <w:spacing w:after="140" w:line="300"/>
      </w:pPr>
      <w:r>
        <w:rPr>
          <w:b/>
          <w:bCs/>
          <w:color w:val="2F5347"/>
          <w:sz w:val="22"/>
          <w:szCs w:val="22"/>
        </w:rPr>
        <w:t xml:space="preserve">• Determinism preserved. </w:t>
      </w:r>
      <w:r>
        <w:rPr>
          <w:color w:val="1A1714"/>
          <w:sz w:val="22"/>
          <w:szCs w:val="22"/>
        </w:rPr>
        <w:t xml:space="preserve">Nothing about storage affects the context-keyed guarantee.</w:t>
      </w:r>
    </w:p>
    <w:p>
      <w:pPr>
        <w:spacing w:after="140" w:line="300"/>
      </w:pPr>
      <w:r>
        <w:rPr>
          <w:b/>
          <w:bCs/>
          <w:color w:val="2F5347"/>
          <w:sz w:val="22"/>
          <w:szCs w:val="22"/>
        </w:rPr>
        <w:t xml:space="preserve">• Portable across deployments. </w:t>
      </w:r>
      <w:r>
        <w:rPr>
          <w:color w:val="1A1714"/>
          <w:sz w:val="22"/>
          <w:szCs w:val="22"/>
        </w:rPr>
        <w:t xml:space="preserve">The same blob is valid in cloud, on-premises, single-device, and edge topologies.</w:t>
      </w:r>
    </w:p>
    <w:p>
      <w:pPr>
        <w:spacing w:after="140" w:line="300"/>
      </w:pPr>
      <w:r>
        <w:rPr>
          <w:b/>
          <w:bCs/>
          <w:color w:val="2F5347"/>
          <w:sz w:val="22"/>
          <w:szCs w:val="22"/>
        </w:rPr>
        <w:t xml:space="preserve">• Design-around resistance. </w:t>
      </w:r>
      <w:r>
        <w:rPr>
          <w:color w:val="1A1714"/>
          <w:sz w:val="22"/>
          <w:szCs w:val="22"/>
        </w:rPr>
        <w:t xml:space="preserve">The encoding is inseparable from the record’s meaning-identity, so it is hard to copy without copying the record.</w:t>
      </w:r>
    </w:p>
    <w:p>
      <w:pPr>
        <w:pStyle w:val="Heading2"/>
        <w:spacing w:after="90" w:before="220"/>
      </w:pPr>
      <w:r>
        <w:rPr>
          <w:b/>
          <w:bCs/>
          <w:color w:val="1A1714"/>
          <w:sz w:val="24"/>
          <w:szCs w:val="24"/>
        </w:rPr>
        <w:t xml:space="preserve">Disadvantages</w:t>
      </w:r>
    </w:p>
    <w:p>
      <w:pPr>
        <w:spacing w:after="140" w:line="300"/>
      </w:pPr>
      <w:r>
        <w:rPr>
          <w:b/>
          <w:bCs/>
          <w:color w:val="8C3030"/>
          <w:sz w:val="22"/>
          <w:szCs w:val="22"/>
        </w:rPr>
        <w:t xml:space="preserve">• You build and maintain it. </w:t>
      </w:r>
      <w:r>
        <w:rPr>
          <w:color w:val="1A1714"/>
          <w:sz w:val="22"/>
          <w:szCs w:val="22"/>
        </w:rPr>
        <w:t xml:space="preserve">The encoding, the adapters, and the internal query engine are QueryBook’s to write and optimize — no off-the-shelf engine does it.</w:t>
      </w:r>
    </w:p>
    <w:p>
      <w:pPr>
        <w:spacing w:after="140" w:line="300"/>
      </w:pPr>
      <w:r>
        <w:rPr>
          <w:b/>
          <w:bCs/>
          <w:color w:val="8C3030"/>
          <w:sz w:val="22"/>
          <w:szCs w:val="22"/>
        </w:rPr>
        <w:t xml:space="preserve">• No native server-side query. </w:t>
      </w:r>
      <w:r>
        <w:rPr>
          <w:color w:val="1A1714"/>
          <w:sz w:val="22"/>
          <w:szCs w:val="22"/>
        </w:rPr>
        <w:t xml:space="preserve">Because the store cannot read the blob, rich filtering and joins happen in QueryBook’s engine after retrieval, or via indexes on exposed keys — not inside the database. Adapters must expose enough keys to avoid full scans.</w:t>
      </w:r>
    </w:p>
    <w:p>
      <w:pPr>
        <w:spacing w:after="140" w:line="300"/>
      </w:pPr>
      <w:r>
        <w:rPr>
          <w:b/>
          <w:bCs/>
          <w:color w:val="8C3030"/>
          <w:sz w:val="22"/>
          <w:szCs w:val="22"/>
        </w:rPr>
        <w:t xml:space="preserve">• Fact-level operational tooling is yours. </w:t>
      </w:r>
      <w:r>
        <w:rPr>
          <w:color w:val="1A1714"/>
          <w:sz w:val="22"/>
          <w:szCs w:val="22"/>
        </w:rPr>
        <w:t xml:space="preserve">Store-level backup and replication exist, but introspection at the level of the Fact Unit is something you build.</w:t>
      </w:r>
    </w:p>
    <w:p>
      <w:pPr>
        <w:pStyle w:val="Heading1"/>
        <w:spacing w:after="120" w:before="300"/>
      </w:pPr>
      <w:r>
        <w:rPr>
          <w:b/>
          <w:bCs/>
          <w:color w:val="1A1714"/>
          <w:sz w:val="30"/>
          <w:szCs w:val="30"/>
        </w:rPr>
        <w:t xml:space="preserve">2. QB with a traditional SQL database</w:t>
      </w:r>
    </w:p>
    <w:p>
      <w:pPr>
        <w:spacing w:after="140" w:line="300"/>
      </w:pPr>
      <w:r>
        <w:rPr>
          <w:b/>
          <w:bCs/>
          <w:color w:val="1A1714"/>
          <w:sz w:val="22"/>
          <w:szCs w:val="22"/>
        </w:rPr>
        <w:t xml:space="preserve">What it is. </w:t>
      </w:r>
      <w:r>
        <w:rPr>
          <w:color w:val="1A1714"/>
          <w:sz w:val="22"/>
          <w:szCs w:val="22"/>
        </w:rPr>
        <w:t xml:space="preserve">Fact Units are mapped into relational tables — columns for subject, predicate, object, confidence, timestamps, and so on — and the DBMS understands the schema. Retrieval and filtering use SQL and native indexes.</w:t>
      </w:r>
    </w:p>
    <w:p>
      <w:pPr>
        <w:spacing w:after="140" w:line="300"/>
      </w:pPr>
      <w:r>
        <w:rPr>
          <w:b/>
          <w:bCs/>
          <w:color w:val="1A1714"/>
          <w:sz w:val="22"/>
          <w:szCs w:val="22"/>
        </w:rPr>
        <w:t xml:space="preserve">Data / query flow. </w:t>
      </w:r>
      <w:r>
        <w:rPr>
          <w:color w:val="1A1714"/>
          <w:sz w:val="22"/>
          <w:szCs w:val="22"/>
        </w:rPr>
        <w:t xml:space="preserve">Fact Unit → shredded into rows and columns → SQL insert. Query → SQL select/join with indexes → rows → reassemble records → reason.</w:t>
      </w:r>
    </w:p>
    <w:p>
      <w:pPr>
        <w:pStyle w:val="Heading2"/>
        <w:spacing w:after="90" w:before="220"/>
      </w:pPr>
      <w:r>
        <w:rPr>
          <w:b/>
          <w:bCs/>
          <w:color w:val="1A1714"/>
          <w:sz w:val="24"/>
          <w:szCs w:val="24"/>
        </w:rPr>
        <w:t xml:space="preserve">Advantages</w:t>
      </w:r>
    </w:p>
    <w:p>
      <w:pPr>
        <w:spacing w:after="140" w:line="300"/>
      </w:pPr>
      <w:r>
        <w:rPr>
          <w:b/>
          <w:bCs/>
          <w:color w:val="2F5347"/>
          <w:sz w:val="22"/>
          <w:szCs w:val="22"/>
        </w:rPr>
        <w:t xml:space="preserve">• Mature, powerful query engine. </w:t>
      </w:r>
      <w:r>
        <w:rPr>
          <w:color w:val="1A1714"/>
          <w:sz w:val="22"/>
          <w:szCs w:val="22"/>
        </w:rPr>
        <w:t xml:space="preserve">Indexes, joins, aggregation, query planners, decades of optimization, and broad operational familiarity (administration, backup, replication, high availability).</w:t>
      </w:r>
    </w:p>
    <w:p>
      <w:pPr>
        <w:spacing w:after="140" w:line="300"/>
      </w:pPr>
      <w:r>
        <w:rPr>
          <w:b/>
          <w:bCs/>
          <w:color w:val="2F5347"/>
          <w:sz w:val="22"/>
          <w:szCs w:val="22"/>
        </w:rPr>
        <w:t xml:space="preserve">• Server-side filtering. </w:t>
      </w:r>
      <w:r>
        <w:rPr>
          <w:color w:val="1A1714"/>
          <w:sz w:val="22"/>
          <w:szCs w:val="22"/>
        </w:rPr>
        <w:t xml:space="preserve">Reduces data movement for analytical queries.</w:t>
      </w:r>
    </w:p>
    <w:p>
      <w:pPr>
        <w:spacing w:after="140" w:line="300"/>
      </w:pPr>
      <w:r>
        <w:rPr>
          <w:b/>
          <w:bCs/>
          <w:color w:val="2F5347"/>
          <w:sz w:val="22"/>
          <w:szCs w:val="22"/>
        </w:rPr>
        <w:t xml:space="preserve">• Fast to stand up. </w:t>
      </w:r>
      <w:r>
        <w:rPr>
          <w:color w:val="1A1714"/>
          <w:sz w:val="22"/>
          <w:szCs w:val="22"/>
        </w:rPr>
        <w:t xml:space="preserve">Sits directly on existing enterprise infrastructure.</w:t>
      </w:r>
    </w:p>
    <w:p>
      <w:pPr>
        <w:pStyle w:val="Heading2"/>
        <w:spacing w:after="90" w:before="220"/>
      </w:pPr>
      <w:r>
        <w:rPr>
          <w:b/>
          <w:bCs/>
          <w:color w:val="1A1714"/>
          <w:sz w:val="24"/>
          <w:szCs w:val="24"/>
        </w:rPr>
        <w:t xml:space="preserve">Disadvantages</w:t>
      </w:r>
    </w:p>
    <w:p>
      <w:pPr>
        <w:spacing w:after="140" w:line="300"/>
      </w:pPr>
      <w:r>
        <w:rPr>
          <w:b/>
          <w:bCs/>
          <w:color w:val="8C3030"/>
          <w:sz w:val="22"/>
          <w:szCs w:val="22"/>
        </w:rPr>
        <w:t xml:space="preserve">• Breaks the guarantees that make QueryBook distinctive. </w:t>
      </w:r>
      <w:r>
        <w:rPr>
          <w:color w:val="1A1714"/>
          <w:sz w:val="22"/>
          <w:szCs w:val="22"/>
        </w:rPr>
        <w:t xml:space="preserve">Once the database understands the schema, the record’s meaning is legible to — and mutable by — the store; in-record access-control and integrity become properties the database is trusted to honor rather than carried in the record, weakening the structural (not best-effort) safety claim.</w:t>
      </w:r>
    </w:p>
    <w:p>
      <w:pPr>
        <w:spacing w:after="140" w:line="300"/>
      </w:pPr>
      <w:r>
        <w:rPr>
          <w:b/>
          <w:bCs/>
          <w:color w:val="8C3030"/>
          <w:sz w:val="22"/>
          <w:szCs w:val="22"/>
        </w:rPr>
        <w:t xml:space="preserve">• Shredding fights the atomic-assertion model. </w:t>
      </w:r>
      <w:r>
        <w:rPr>
          <w:color w:val="1A1714"/>
          <w:sz w:val="22"/>
          <w:szCs w:val="22"/>
        </w:rPr>
        <w:t xml:space="preserve">An n-ary Fact Unit (§3.8.3) with its evidence pair, fingerprint, adjustment history, and integrity chain does not map cleanly to flat rows; you either denormalize heavily or spread one fact across many tables — the reification QueryBook exists to avoid.</w:t>
      </w:r>
    </w:p>
    <w:p>
      <w:pPr>
        <w:spacing w:after="140" w:line="300"/>
      </w:pPr>
      <w:r>
        <w:rPr>
          <w:b/>
          <w:bCs/>
          <w:color w:val="8C3030"/>
          <w:sz w:val="22"/>
          <w:szCs w:val="22"/>
        </w:rPr>
        <w:t xml:space="preserve">• Schema coupling erodes database-neutrality. </w:t>
      </w:r>
      <w:r>
        <w:rPr>
          <w:color w:val="1A1714"/>
          <w:sz w:val="22"/>
          <w:szCs w:val="22"/>
        </w:rPr>
        <w:t xml:space="preserve">Migrations, vendor SQL dialects, and index design become part of the architecture; “works with any database” narrows to “any database we have written a schema and migration path for.”</w:t>
      </w:r>
    </w:p>
    <w:p>
      <w:pPr>
        <w:spacing w:after="140" w:line="300"/>
      </w:pPr>
      <w:r>
        <w:rPr>
          <w:b/>
          <w:bCs/>
          <w:color w:val="8C3030"/>
          <w:sz w:val="22"/>
          <w:szCs w:val="22"/>
        </w:rPr>
        <w:t xml:space="preserve">• Zero-knowledge is largely lost. </w:t>
      </w:r>
      <w:r>
        <w:rPr>
          <w:color w:val="1A1714"/>
          <w:sz w:val="22"/>
          <w:szCs w:val="22"/>
        </w:rPr>
        <w:t xml:space="preserve">A database that must read columns to query them cannot hold content it cannot decrypt.</w:t>
      </w:r>
    </w:p>
    <w:p>
      <w:pPr>
        <w:spacing w:after="140" w:line="300"/>
      </w:pPr>
      <w:r>
        <w:rPr>
          <w:b/>
          <w:bCs/>
          <w:color w:val="1A1714"/>
          <w:sz w:val="22"/>
          <w:szCs w:val="22"/>
        </w:rPr>
        <w:t xml:space="preserve">Verdict. </w:t>
      </w:r>
      <w:r>
        <w:rPr>
          <w:color w:val="1A1714"/>
          <w:sz w:val="22"/>
          <w:szCs w:val="22"/>
        </w:rPr>
        <w:t xml:space="preserve">Good for a conventional system, but it inverts QueryBook’s core discipline. Best confined to a secondary analytical index built from the records — never the system of record.</w:t>
      </w:r>
    </w:p>
    <w:p>
      <w:pPr>
        <w:pStyle w:val="Heading1"/>
        <w:spacing w:after="120" w:before="300"/>
      </w:pPr>
      <w:r>
        <w:rPr>
          <w:b/>
          <w:bCs/>
          <w:color w:val="1A1714"/>
          <w:sz w:val="30"/>
          <w:szCs w:val="30"/>
        </w:rPr>
        <w:t xml:space="preserve">3. QB with UFCS/FQL  (declined external standard — removed from canon)</w:t>
      </w:r>
    </w:p>
    <w:p>
      <w:pPr>
        <w:spacing w:after="140" w:line="300"/>
      </w:pPr>
      <w:r>
        <w:rPr>
          <w:b/>
          <w:bCs/>
          <w:color w:val="1A1714"/>
          <w:sz w:val="22"/>
          <w:szCs w:val="22"/>
        </w:rPr>
        <w:t xml:space="preserve">What it is. </w:t>
      </w:r>
      <w:r>
        <w:rPr>
          <w:color w:val="1A1714"/>
          <w:sz w:val="22"/>
          <w:szCs w:val="22"/>
        </w:rPr>
        <w:t xml:space="preserve">A universal fact-transport format (UFCS) and fact-query language (FQL) as a mandatory external standard: the storage/transport format and query language that host stores and other systems must themselves understand in order to hold or serve Fact Units.</w:t>
      </w:r>
    </w:p>
    <w:p>
      <w:pPr>
        <w:spacing w:after="140" w:line="300"/>
      </w:pPr>
      <w:r>
        <w:rPr>
          <w:b/>
          <w:bCs/>
          <w:color w:val="1A1714"/>
          <w:sz w:val="22"/>
          <w:szCs w:val="22"/>
        </w:rPr>
        <w:t xml:space="preserve">Data / query flow. </w:t>
      </w:r>
      <w:r>
        <w:rPr>
          <w:color w:val="1A1714"/>
          <w:sz w:val="22"/>
          <w:szCs w:val="22"/>
        </w:rPr>
        <w:t xml:space="preserve">Fact Unit → UFCS format → a store or transport that speaks UFCS → other systems query the store directly via FQL.</w:t>
      </w:r>
    </w:p>
    <w:p>
      <w:pPr>
        <w:pStyle w:val="Heading2"/>
        <w:spacing w:after="90" w:before="220"/>
      </w:pPr>
      <w:r>
        <w:rPr>
          <w:b/>
          <w:bCs/>
          <w:color w:val="1A1714"/>
          <w:sz w:val="24"/>
          <w:szCs w:val="24"/>
        </w:rPr>
        <w:t xml:space="preserve">Advantages (why it is tempting)</w:t>
      </w:r>
    </w:p>
    <w:p>
      <w:pPr>
        <w:spacing w:after="140" w:line="300"/>
      </w:pPr>
      <w:r>
        <w:rPr>
          <w:b/>
          <w:bCs/>
          <w:color w:val="2F5347"/>
          <w:sz w:val="22"/>
          <w:szCs w:val="22"/>
        </w:rPr>
        <w:t xml:space="preserve">• Interoperability by standard. </w:t>
      </w:r>
      <w:r>
        <w:rPr>
          <w:color w:val="1A1714"/>
          <w:sz w:val="22"/>
          <w:szCs w:val="22"/>
        </w:rPr>
        <w:t xml:space="preserve">Any system that adopts UFCS/FQL can exchange and query facts natively, without a QueryBook adapter.</w:t>
      </w:r>
    </w:p>
    <w:p>
      <w:pPr>
        <w:spacing w:after="140" w:line="300"/>
      </w:pPr>
      <w:r>
        <w:rPr>
          <w:b/>
          <w:bCs/>
          <w:color w:val="2F5347"/>
          <w:sz w:val="22"/>
          <w:szCs w:val="22"/>
        </w:rPr>
        <w:t xml:space="preserve">• Ecosystem potential. </w:t>
      </w:r>
      <w:r>
        <w:rPr>
          <w:color w:val="1A1714"/>
          <w:sz w:val="22"/>
          <w:szCs w:val="22"/>
        </w:rPr>
        <w:t xml:space="preserve">A published standard others build on could become a common language for facts.</w:t>
      </w:r>
    </w:p>
    <w:p>
      <w:pPr>
        <w:spacing w:after="140" w:line="300"/>
      </w:pPr>
      <w:r>
        <w:rPr>
          <w:b/>
          <w:bCs/>
          <w:color w:val="2F5347"/>
          <w:sz w:val="22"/>
          <w:szCs w:val="22"/>
        </w:rPr>
        <w:t xml:space="preserve">• Server-side fact query. </w:t>
      </w:r>
      <w:r>
        <w:rPr>
          <w:color w:val="1A1714"/>
          <w:sz w:val="22"/>
          <w:szCs w:val="22"/>
        </w:rPr>
        <w:t xml:space="preserve">FQL could execute in the store rather than only inside QueryBook.</w:t>
      </w:r>
    </w:p>
    <w:p>
      <w:pPr>
        <w:pStyle w:val="Heading2"/>
        <w:spacing w:after="90" w:before="220"/>
      </w:pPr>
      <w:r>
        <w:rPr>
          <w:b/>
          <w:bCs/>
          <w:color w:val="1A1714"/>
          <w:sz w:val="24"/>
          <w:szCs w:val="24"/>
        </w:rPr>
        <w:t xml:space="preserve">Disadvantages (why it was removed)</w:t>
      </w:r>
    </w:p>
    <w:p>
      <w:pPr>
        <w:spacing w:after="140" w:line="300"/>
      </w:pPr>
      <w:r>
        <w:rPr>
          <w:b/>
          <w:bCs/>
          <w:color w:val="8C3030"/>
          <w:sz w:val="22"/>
          <w:szCs w:val="22"/>
        </w:rPr>
        <w:t xml:space="preserve">• It destroys database-neutrality. </w:t>
      </w:r>
      <w:r>
        <w:rPr>
          <w:color w:val="1A1714"/>
          <w:sz w:val="22"/>
          <w:szCs w:val="22"/>
        </w:rPr>
        <w:t xml:space="preserve">“Works with any database” becomes “works with any database that implements UFCS/FQL,” which is no off-the-shelf store; an open architecture becomes a proprietary one.</w:t>
      </w:r>
    </w:p>
    <w:p>
      <w:pPr>
        <w:spacing w:after="140" w:line="300"/>
      </w:pPr>
      <w:r>
        <w:rPr>
          <w:b/>
          <w:bCs/>
          <w:color w:val="8C3030"/>
          <w:sz w:val="22"/>
          <w:szCs w:val="22"/>
        </w:rPr>
        <w:t xml:space="preserve">• It makes the transport layer a separable, copyable target. </w:t>
      </w:r>
      <w:r>
        <w:rPr>
          <w:color w:val="1A1714"/>
          <w:sz w:val="22"/>
          <w:szCs w:val="22"/>
        </w:rPr>
        <w:t xml:space="preserve">Weakening the moat — the opposite of fusing to the record.</w:t>
      </w:r>
    </w:p>
    <w:p>
      <w:pPr>
        <w:spacing w:after="140" w:line="300"/>
      </w:pPr>
      <w:r>
        <w:rPr>
          <w:b/>
          <w:bCs/>
          <w:color w:val="8C3030"/>
          <w:sz w:val="22"/>
          <w:szCs w:val="22"/>
        </w:rPr>
        <w:t xml:space="preserve">• The store must understand the record. </w:t>
      </w:r>
      <w:r>
        <w:rPr>
          <w:color w:val="1A1714"/>
          <w:sz w:val="22"/>
          <w:szCs w:val="22"/>
        </w:rPr>
        <w:t xml:space="preserve">So integrity, access-control, and zero-knowledge no longer travel opaquely inside the blob.</w:t>
      </w:r>
    </w:p>
    <w:p>
      <w:pPr>
        <w:spacing w:after="140" w:line="300"/>
      </w:pPr>
      <w:r>
        <w:rPr>
          <w:b/>
          <w:bCs/>
          <w:color w:val="8C3030"/>
          <w:sz w:val="22"/>
          <w:szCs w:val="22"/>
        </w:rPr>
        <w:t xml:space="preserve">• Standards drag. </w:t>
      </w:r>
      <w:r>
        <w:rPr>
          <w:color w:val="1A1714"/>
          <w:sz w:val="22"/>
          <w:szCs w:val="22"/>
        </w:rPr>
        <w:t xml:space="preserve">Versioning, conformance, and adoption become an ongoing burden with no control over third-party implementations.</w:t>
      </w:r>
    </w:p>
    <w:p>
      <w:pPr>
        <w:spacing w:after="140" w:line="300"/>
      </w:pPr>
      <w:r>
        <w:rPr>
          <w:b/>
          <w:bCs/>
          <w:color w:val="8C3030"/>
          <w:sz w:val="22"/>
          <w:szCs w:val="22"/>
        </w:rPr>
        <w:t xml:space="preserve">Standing decision. </w:t>
      </w:r>
      <w:r>
        <w:rPr>
          <w:color w:val="1A1714"/>
          <w:sz w:val="22"/>
          <w:szCs w:val="22"/>
        </w:rPr>
        <w:t xml:space="preserve">UFCS/FQL as an external transport/query standard was deliberately removed and must not be reintroduced. Everything it reached for is delivered by Option 1 (fused to the record) without the downsides. It is included here for comparison, not as a live candidate.</w:t>
      </w:r>
    </w:p>
    <w:p>
      <w:pPr>
        <w:pStyle w:val="Heading1"/>
        <w:spacing w:after="120" w:before="300"/>
      </w:pPr>
      <w:r>
        <w:rPr>
          <w:b/>
          <w:bCs/>
          <w:color w:val="1A1714"/>
          <w:sz w:val="30"/>
          <w:szCs w:val="30"/>
        </w:rPr>
        <w:t xml:space="preserve">4. Hybrid QB + TCP/IP protocol</w:t>
      </w:r>
    </w:p>
    <w:p>
      <w:pPr>
        <w:spacing w:after="140" w:line="300"/>
      </w:pPr>
      <w:r>
        <w:rPr>
          <w:b/>
          <w:bCs/>
          <w:color w:val="1A1714"/>
          <w:sz w:val="22"/>
          <w:szCs w:val="22"/>
        </w:rPr>
        <w:t xml:space="preserve">What it is. </w:t>
      </w:r>
      <w:r>
        <w:rPr>
          <w:color w:val="1A1714"/>
          <w:sz w:val="22"/>
          <w:szCs w:val="22"/>
        </w:rPr>
        <w:t xml:space="preserve">Option 1’s record-fused encoding, plus a network wire protocol over TCP/IP for moving Fact Units between nodes — edge and offline synchronization (§18), live data feeds (§43), and distributed multi-node deployments. The compact-encoded blob becomes the payload of a QueryBook fact-transport protocol on the wire. This is additive to Option 1, not an alternative to it: Options 1–3 are about storage, this is about movement.</w:t>
      </w:r>
    </w:p>
    <w:p>
      <w:pPr>
        <w:spacing w:after="140" w:line="300"/>
      </w:pPr>
      <w:r>
        <w:rPr>
          <w:b/>
          <w:bCs/>
          <w:color w:val="1A1714"/>
          <w:sz w:val="22"/>
          <w:szCs w:val="22"/>
        </w:rPr>
        <w:t xml:space="preserve">Data / query flow. </w:t>
      </w:r>
      <w:r>
        <w:rPr>
          <w:color w:val="1A1714"/>
          <w:sz w:val="22"/>
          <w:szCs w:val="22"/>
        </w:rPr>
        <w:t xml:space="preserve">Node A: Fact Unit → compact encode → frame over TCP/IP → Node B: verify integrity chain → decode → merge by version-vector reconciliation (§18) → reason locally. Live feeds and edge caches ride the same channel under the external-connection pattern (§47).</w:t>
      </w:r>
    </w:p>
    <w:p>
      <w:pPr>
        <w:pStyle w:val="Heading2"/>
        <w:spacing w:after="90" w:before="220"/>
      </w:pPr>
      <w:r>
        <w:rPr>
          <w:b/>
          <w:bCs/>
          <w:color w:val="1A1714"/>
          <w:sz w:val="24"/>
          <w:szCs w:val="24"/>
        </w:rPr>
        <w:t xml:space="preserve">Advantages</w:t>
      </w:r>
    </w:p>
    <w:p>
      <w:pPr>
        <w:spacing w:after="140" w:line="300"/>
      </w:pPr>
      <w:r>
        <w:rPr>
          <w:b/>
          <w:bCs/>
          <w:color w:val="2F5347"/>
          <w:sz w:val="22"/>
          <w:szCs w:val="22"/>
        </w:rPr>
        <w:t xml:space="preserve">• Distribution and real time. </w:t>
      </w:r>
      <w:r>
        <w:rPr>
          <w:color w:val="1A1714"/>
          <w:sz w:val="22"/>
          <w:szCs w:val="22"/>
        </w:rPr>
        <w:t xml:space="preserve">Enables edge caches, offline-then-sync, live feeds, and multi-node deployments — capabilities storage models alone do not provide.</w:t>
      </w:r>
    </w:p>
    <w:p>
      <w:pPr>
        <w:spacing w:after="140" w:line="300"/>
      </w:pPr>
      <w:r>
        <w:rPr>
          <w:b/>
          <w:bCs/>
          <w:color w:val="2F5347"/>
          <w:sz w:val="22"/>
          <w:szCs w:val="22"/>
        </w:rPr>
        <w:t xml:space="preserve">• Integrity survives the network. </w:t>
      </w:r>
      <w:r>
        <w:rPr>
          <w:color w:val="1A1714"/>
          <w:sz w:val="22"/>
          <w:szCs w:val="22"/>
        </w:rPr>
        <w:t xml:space="preserve">Because the hash chain and access-control are inside the encoded record, a record arriving over the wire is verifiable on receipt and a hostile relay cannot tamper undetectably — TCP/IP need only deliver bytes.</w:t>
      </w:r>
    </w:p>
    <w:p>
      <w:pPr>
        <w:spacing w:after="140" w:line="300"/>
      </w:pPr>
      <w:r>
        <w:rPr>
          <w:b/>
          <w:bCs/>
          <w:color w:val="2F5347"/>
          <w:sz w:val="22"/>
          <w:szCs w:val="22"/>
        </w:rPr>
        <w:t xml:space="preserve">• Reuses everything from Option 1. </w:t>
      </w:r>
      <w:r>
        <w:rPr>
          <w:color w:val="1A1714"/>
          <w:sz w:val="22"/>
          <w:szCs w:val="22"/>
        </w:rPr>
        <w:t xml:space="preserve">Same encoding, same opacity, same guarantees; the protocol is framing plus a handshake.</w:t>
      </w:r>
    </w:p>
    <w:p>
      <w:pPr>
        <w:spacing w:after="140" w:line="300"/>
      </w:pPr>
      <w:r>
        <w:rPr>
          <w:b/>
          <w:bCs/>
          <w:color w:val="2F5347"/>
          <w:sz w:val="22"/>
          <w:szCs w:val="22"/>
        </w:rPr>
        <w:t xml:space="preserve">• Deterministic merge. </w:t>
      </w:r>
      <w:r>
        <w:rPr>
          <w:color w:val="1A1714"/>
          <w:sz w:val="22"/>
          <w:szCs w:val="22"/>
        </w:rPr>
        <w:t xml:space="preserve">Version vectors keep distributed state reconcilable rather than ad hoc.</w:t>
      </w:r>
    </w:p>
    <w:p>
      <w:pPr>
        <w:pStyle w:val="Heading2"/>
        <w:spacing w:after="90" w:before="220"/>
      </w:pPr>
      <w:r>
        <w:rPr>
          <w:b/>
          <w:bCs/>
          <w:color w:val="1A1714"/>
          <w:sz w:val="24"/>
          <w:szCs w:val="24"/>
        </w:rPr>
        <w:t xml:space="preserve">Disadvantages</w:t>
      </w:r>
    </w:p>
    <w:p>
      <w:pPr>
        <w:spacing w:after="140" w:line="300"/>
      </w:pPr>
      <w:r>
        <w:rPr>
          <w:b/>
          <w:bCs/>
          <w:color w:val="8C3030"/>
          <w:sz w:val="22"/>
          <w:szCs w:val="22"/>
        </w:rPr>
        <w:t xml:space="preserve">• Distributed-systems complexity. </w:t>
      </w:r>
      <w:r>
        <w:rPr>
          <w:color w:val="1A1714"/>
          <w:sz w:val="22"/>
          <w:szCs w:val="22"/>
        </w:rPr>
        <w:t xml:space="preserve">Ordering, partition tolerance, conflict reconciliation, back-pressure, and replay all become real engineering; a live feed that outruns consumers needs the firing-rate bounds §43 already specifies.</w:t>
      </w:r>
    </w:p>
    <w:p>
      <w:pPr>
        <w:spacing w:after="140" w:line="300"/>
      </w:pPr>
      <w:r>
        <w:rPr>
          <w:b/>
          <w:bCs/>
          <w:color w:val="8C3030"/>
          <w:sz w:val="22"/>
          <w:szCs w:val="22"/>
        </w:rPr>
        <w:t xml:space="preserve">• New attack surface. </w:t>
      </w:r>
      <w:r>
        <w:rPr>
          <w:color w:val="1A1714"/>
          <w:sz w:val="22"/>
          <w:szCs w:val="22"/>
        </w:rPr>
        <w:t xml:space="preserve">A network endpoint must be authenticated, rate-limited, and metered (the §47 connector discipline applies); transport-layer security is table stakes on top of TCP/IP.</w:t>
      </w:r>
    </w:p>
    <w:p>
      <w:pPr>
        <w:spacing w:after="140" w:line="300"/>
      </w:pPr>
      <w:r>
        <w:rPr>
          <w:b/>
          <w:bCs/>
          <w:color w:val="8C3030"/>
          <w:sz w:val="22"/>
          <w:szCs w:val="22"/>
        </w:rPr>
        <w:t xml:space="preserve">• Determinism needs care across nodes. </w:t>
      </w:r>
      <w:r>
        <w:rPr>
          <w:color w:val="1A1714"/>
          <w:sz w:val="22"/>
          <w:szCs w:val="22"/>
        </w:rPr>
        <w:t xml:space="preserve">The context key and locked dimensions must be honored identically on every node, or “same conditions produce the same answer” can drift between machines.</w:t>
      </w:r>
    </w:p>
    <w:p>
      <w:pPr>
        <w:spacing w:after="140" w:line="300"/>
      </w:pPr>
      <w:r>
        <w:rPr>
          <w:b/>
          <w:bCs/>
          <w:color w:val="8C3030"/>
          <w:sz w:val="22"/>
          <w:szCs w:val="22"/>
        </w:rPr>
        <w:t xml:space="preserve">• It is transport, not storage. </w:t>
      </w:r>
      <w:r>
        <w:rPr>
          <w:color w:val="1A1714"/>
          <w:sz w:val="22"/>
          <w:szCs w:val="22"/>
        </w:rPr>
        <w:t xml:space="preserve">Each node still needs one of Options 1–3 underneath — and the right answer there is Option 1.</w:t>
      </w:r>
    </w:p>
    <w:p>
      <w:pPr>
        <w:pStyle w:val="Heading1"/>
        <w:spacing w:after="120" w:before="300"/>
      </w:pPr>
      <w:r>
        <w:rPr>
          <w:b/>
          <w:bCs/>
          <w:color w:val="1A1714"/>
          <w:sz w:val="30"/>
          <w:szCs w:val="30"/>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2100"/>
        <w:gridCol w:w="1660"/>
      </w:tblGrid>
      <w:tr>
        <w:trPr>
          <w:tblHeader/>
        </w:trPr>
        <w:tc>
          <w:tcPr>
            <w:tcW w:type="dxa" w:w="2000"/>
            <w:shd w:fill="EAF0EC" w:color="auto" w:val="clear"/>
            <w:tcMar>
              <w:top w:type="dxa" w:w="70"/>
              <w:left w:type="dxa" w:w="100"/>
              <w:bottom w:type="dxa" w:w="70"/>
              <w:right w:type="dxa" w:w="100"/>
            </w:tcMar>
          </w:tcPr>
          <w:p>
            <w:pPr>
              <w:spacing w:after="0" w:line="250"/>
            </w:pPr>
            <w:r>
              <w:rPr>
                <w:rFonts w:ascii="Arial" w:cs="Arial" w:eastAsia="Arial" w:hAnsi="Arial"/>
                <w:b/>
                <w:bCs/>
                <w:color w:val="1A1714"/>
                <w:sz w:val="17"/>
                <w:szCs w:val="17"/>
              </w:rPr>
              <w:t xml:space="preserve">Option</w:t>
            </w:r>
          </w:p>
        </w:tc>
        <w:tc>
          <w:tcPr>
            <w:tcW w:type="dxa" w:w="1900"/>
            <w:shd w:fill="EAF0EC" w:color="auto" w:val="clear"/>
            <w:tcMar>
              <w:top w:type="dxa" w:w="70"/>
              <w:left w:type="dxa" w:w="100"/>
              <w:bottom w:type="dxa" w:w="70"/>
              <w:right w:type="dxa" w:w="100"/>
            </w:tcMar>
          </w:tcPr>
          <w:p>
            <w:pPr>
              <w:spacing w:after="0" w:line="250"/>
            </w:pPr>
            <w:r>
              <w:rPr>
                <w:rFonts w:ascii="Arial" w:cs="Arial" w:eastAsia="Arial" w:hAnsi="Arial"/>
                <w:b/>
                <w:bCs/>
                <w:color w:val="1A1714"/>
                <w:sz w:val="17"/>
                <w:szCs w:val="17"/>
              </w:rPr>
              <w:t xml:space="preserve">Role</w:t>
            </w:r>
          </w:p>
        </w:tc>
        <w:tc>
          <w:tcPr>
            <w:tcW w:type="dxa" w:w="1700"/>
            <w:shd w:fill="EAF0EC" w:color="auto" w:val="clear"/>
            <w:tcMar>
              <w:top w:type="dxa" w:w="70"/>
              <w:left w:type="dxa" w:w="100"/>
              <w:bottom w:type="dxa" w:w="70"/>
              <w:right w:type="dxa" w:w="100"/>
            </w:tcMar>
          </w:tcPr>
          <w:p>
            <w:pPr>
              <w:spacing w:after="0" w:line="250"/>
            </w:pPr>
            <w:r>
              <w:rPr>
                <w:rFonts w:ascii="Arial" w:cs="Arial" w:eastAsia="Arial" w:hAnsi="Arial"/>
                <w:b/>
                <w:bCs/>
                <w:color w:val="1A1714"/>
                <w:sz w:val="17"/>
                <w:szCs w:val="17"/>
              </w:rPr>
              <w:t xml:space="preserve">Keeps DB-neutrality</w:t>
            </w:r>
          </w:p>
        </w:tc>
        <w:tc>
          <w:tcPr>
            <w:tcW w:type="dxa" w:w="2100"/>
            <w:shd w:fill="EAF0EC" w:color="auto" w:val="clear"/>
            <w:tcMar>
              <w:top w:type="dxa" w:w="70"/>
              <w:left w:type="dxa" w:w="100"/>
              <w:bottom w:type="dxa" w:w="70"/>
              <w:right w:type="dxa" w:w="100"/>
            </w:tcMar>
          </w:tcPr>
          <w:p>
            <w:pPr>
              <w:spacing w:after="0" w:line="250"/>
            </w:pPr>
            <w:r>
              <w:rPr>
                <w:rFonts w:ascii="Arial" w:cs="Arial" w:eastAsia="Arial" w:hAnsi="Arial"/>
                <w:b/>
                <w:bCs/>
                <w:color w:val="1A1714"/>
                <w:sz w:val="17"/>
                <w:szCs w:val="17"/>
              </w:rPr>
              <w:t xml:space="preserve">Keeps in-record integrity / ACL</w:t>
            </w:r>
          </w:p>
        </w:tc>
        <w:tc>
          <w:tcPr>
            <w:tcW w:type="dxa" w:w="1660"/>
            <w:shd w:fill="EAF0EC" w:color="auto" w:val="clear"/>
            <w:tcMar>
              <w:top w:type="dxa" w:w="70"/>
              <w:left w:type="dxa" w:w="100"/>
              <w:bottom w:type="dxa" w:w="70"/>
              <w:right w:type="dxa" w:w="100"/>
            </w:tcMar>
          </w:tcPr>
          <w:p>
            <w:pPr>
              <w:spacing w:after="0" w:line="250"/>
            </w:pPr>
            <w:r>
              <w:rPr>
                <w:rFonts w:ascii="Arial" w:cs="Arial" w:eastAsia="Arial" w:hAnsi="Arial"/>
                <w:b/>
                <w:bCs/>
                <w:color w:val="1A1714"/>
                <w:sz w:val="17"/>
                <w:szCs w:val="17"/>
              </w:rPr>
              <w:t xml:space="preserve">Canon status</w:t>
            </w:r>
          </w:p>
        </w:tc>
      </w:tr>
      <w:tr>
        <w:trPr>
          <w:tblHeader w:val="false"/>
        </w:trPr>
        <w:tc>
          <w:tcPr>
            <w:tcW w:type="dxa" w:w="20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1. Internal UFCS-equivalent</w:t>
            </w:r>
          </w:p>
        </w:tc>
        <w:tc>
          <w:tcPr>
            <w:tcW w:type="dxa" w:w="19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Storage (system of record)</w:t>
            </w:r>
          </w:p>
        </w:tc>
        <w:tc>
          <w:tcPr>
            <w:tcW w:type="dxa" w:w="17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Yes</w:t>
            </w:r>
          </w:p>
        </w:tc>
        <w:tc>
          <w:tcPr>
            <w:tcW w:type="dxa" w:w="21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Yes</w:t>
            </w:r>
          </w:p>
        </w:tc>
        <w:tc>
          <w:tcPr>
            <w:tcW w:type="dxa" w:w="166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Adopted (§3.9)</w:t>
            </w:r>
          </w:p>
        </w:tc>
      </w:tr>
      <w:tr>
        <w:trPr>
          <w:tblHeader w:val="false"/>
        </w:trPr>
        <w:tc>
          <w:tcPr>
            <w:tcW w:type="dxa" w:w="20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2. Traditional SQL</w:t>
            </w:r>
          </w:p>
        </w:tc>
        <w:tc>
          <w:tcPr>
            <w:tcW w:type="dxa" w:w="19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Storage</w:t>
            </w:r>
          </w:p>
        </w:tc>
        <w:tc>
          <w:tcPr>
            <w:tcW w:type="dxa" w:w="17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Weakened</w:t>
            </w:r>
          </w:p>
        </w:tc>
        <w:tc>
          <w:tcPr>
            <w:tcW w:type="dxa" w:w="21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Trusted to the DB, not structural</w:t>
            </w:r>
          </w:p>
        </w:tc>
        <w:tc>
          <w:tcPr>
            <w:tcW w:type="dxa" w:w="166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Only as a derived analytical index</w:t>
            </w:r>
          </w:p>
        </w:tc>
      </w:tr>
      <w:tr>
        <w:trPr>
          <w:tblHeader w:val="false"/>
        </w:trPr>
        <w:tc>
          <w:tcPr>
            <w:tcW w:type="dxa" w:w="20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3. External UFCS/FQL</w:t>
            </w:r>
          </w:p>
        </w:tc>
        <w:tc>
          <w:tcPr>
            <w:tcW w:type="dxa" w:w="19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Storage + transport standard</w:t>
            </w:r>
          </w:p>
        </w:tc>
        <w:tc>
          <w:tcPr>
            <w:tcW w:type="dxa" w:w="17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No</w:t>
            </w:r>
          </w:p>
        </w:tc>
        <w:tc>
          <w:tcPr>
            <w:tcW w:type="dxa" w:w="21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No</w:t>
            </w:r>
          </w:p>
        </w:tc>
        <w:tc>
          <w:tcPr>
            <w:tcW w:type="dxa" w:w="166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Declined / removed</w:t>
            </w:r>
          </w:p>
        </w:tc>
      </w:tr>
      <w:tr>
        <w:trPr>
          <w:tblHeader w:val="false"/>
        </w:trPr>
        <w:tc>
          <w:tcPr>
            <w:tcW w:type="dxa" w:w="20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4. Hybrid + TCP/IP</w:t>
            </w:r>
          </w:p>
        </w:tc>
        <w:tc>
          <w:tcPr>
            <w:tcW w:type="dxa" w:w="19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Transport (rides on #1)</w:t>
            </w:r>
          </w:p>
        </w:tc>
        <w:tc>
          <w:tcPr>
            <w:tcW w:type="dxa" w:w="17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Yes (inherits #1)</w:t>
            </w:r>
          </w:p>
        </w:tc>
        <w:tc>
          <w:tcPr>
            <w:tcW w:type="dxa" w:w="210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Yes (verified on receipt)</w:t>
            </w:r>
          </w:p>
        </w:tc>
        <w:tc>
          <w:tcPr>
            <w:tcW w:type="dxa" w:w="1660"/>
            <w:tcMar>
              <w:top w:type="dxa" w:w="70"/>
              <w:left w:type="dxa" w:w="100"/>
              <w:bottom w:type="dxa" w:w="70"/>
              <w:right w:type="dxa" w:w="100"/>
            </w:tcMar>
          </w:tcPr>
          <w:p>
            <w:pPr>
              <w:spacing w:after="0" w:line="250"/>
            </w:pPr>
            <w:r>
              <w:rPr>
                <w:rFonts w:ascii="Arial" w:cs="Arial" w:eastAsia="Arial" w:hAnsi="Arial"/>
                <w:b w:val="false"/>
                <w:bCs w:val="false"/>
                <w:color w:val="1A1714"/>
                <w:sz w:val="18"/>
                <w:szCs w:val="18"/>
              </w:rPr>
              <w:t xml:space="preserve">Compatible extension</w:t>
            </w:r>
          </w:p>
        </w:tc>
      </w:tr>
    </w:tbl>
    <w:p>
      <w:pPr>
        <w:spacing w:after="80" w:line="300"/>
      </w:pPr>
      <w:r>
        <w:rPr>
          <w:color w:val="1A1714"/>
          <w:sz w:val="22"/>
          <w:szCs w:val="22"/>
        </w:rPr>
        <w:t xml:space="preserve"/>
      </w:r>
    </w:p>
    <w:p>
      <w:pPr>
        <w:spacing w:after="140" w:line="300"/>
      </w:pPr>
      <w:r>
        <w:rPr>
          <w:b/>
          <w:bCs/>
          <w:color w:val="1A1714"/>
          <w:sz w:val="22"/>
          <w:szCs w:val="22"/>
        </w:rPr>
        <w:t xml:space="preserve">Bottom line. </w:t>
      </w:r>
      <w:r>
        <w:rPr>
          <w:color w:val="1A1714"/>
          <w:sz w:val="22"/>
          <w:szCs w:val="22"/>
        </w:rPr>
        <w:t xml:space="preserve">Option 1 is the system of record and already the canon — it is what makes “works with any database” true. Option 2 is worth having only as an optional, rebuildable analytical projection alongside Option 1, never as the store of truth. Option 3 is the path not taken, and should stay that way. Option 4 is the natural next build when distribution or real-time is needed — it layers cleanly on Option 1 and inherits its guarantees; it is a complement to Option 1, not a competitor.</w:t>
      </w:r>
    </w:p>
    <w:p>
      <w:pPr>
        <w:spacing w:after="140" w:line="300"/>
      </w:pPr>
      <w:r>
        <w:rPr>
          <w:i/>
          <w:iCs/>
          <w:color w:val="5F5952"/>
          <w:sz w:val="18"/>
          <w:szCs w:val="18"/>
        </w:rPr>
        <w:t xml:space="preserve">QueryBook — confidential, proprietary and patent-sensitive. Section citations refer to the specification (Bible v2.1, Pass 118).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2026-09-06T14:42:52.110Z</dcterms:created>
  <dcterms:modified xsi:type="dcterms:W3CDTF">2026-09-06T14:42:52.128Z</dcterms:modified>
</cp:coreProperties>
</file>

<file path=docProps/custom.xml><?xml version="1.0" encoding="utf-8"?>
<Properties xmlns="http://schemas.openxmlformats.org/officeDocument/2006/custom-properties" xmlns:vt="http://schemas.openxmlformats.org/officeDocument/2006/docPropsVTypes"/>
</file>