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QueryBook Core Technology Group|Confidential&amp;Proprietary</w:t>
            </w:r>
          </w:p>
        </w:tc>
      </w:tr>
    </w:tbl>
    <w:p>
      <w:pPr>
        <w:spacing w:after="200" w:before="0"/>
      </w:pPr>
    </w:p>
    <w:p>
      <w:pPr>
        <w:spacing w:after="240" w:line="360" w:lineRule="auto"/>
        <w:jc w:val="center"/>
      </w:pPr>
      <w:r>
        <w:rPr>
          <w:rFonts w:ascii="Calibri" w:cs="Calibri" w:eastAsia="Calibri" w:hAnsi="Calibri"/>
          <w:b/>
          <w:bCs/>
          <w:i w:val="false"/>
          <w:iCs w:val="false"/>
          <w:strike w:val="false"/>
          <w:color w:val="0D2A5E"/>
          <w:sz w:val="52"/>
          <w:szCs w:val="52"/>
        </w:rPr>
        <w:t xml:space="preserve">QueryBook Bible</w:t>
      </w:r>
      <w:r>
        <w:rPr>
          <w:rFonts w:ascii="Calibri" w:cs="Calibri" w:eastAsia="Calibri" w:hAnsi="Calibri"/>
          <w:b/>
          <w:bCs/>
          <w:i w:val="false"/>
          <w:iCs w:val="false"/>
          <w:color w:val="0D2A5E"/>
          <w:sz w:val="52"/>
          <w:szCs w:val="52"/>
        </w:rPr>
        <w:br/>
      </w:r>
      <w:r>
        <w:rPr>
          <w:rFonts w:ascii="Calibri" w:cs="Calibri" w:eastAsia="Calibri" w:hAnsi="Calibri"/>
          <w:b/>
          <w:bCs/>
          <w:i w:val="false"/>
          <w:iCs w:val="false"/>
          <w:strike w:val="false"/>
          <w:color w:val="0D2A5E"/>
          <w:sz w:val="52"/>
          <w:szCs w:val="52"/>
        </w:rPr>
        <w:t xml:space="preserve">Canonical Core Technology Specification</w:t>
      </w:r>
    </w:p>
    <w:p>
      <w:pPr>
        <w:spacing w:after="720" w:line="360" w:lineRule="auto"/>
        <w:jc w:val="center"/>
      </w:pPr>
      <w:r>
        <w:rPr>
          <w:rFonts w:ascii="Calibri" w:cs="Calibri" w:eastAsia="Calibri" w:hAnsi="Calibri"/>
          <w:b w:val="false"/>
          <w:bCs w:val="false"/>
          <w:i/>
          <w:iCs/>
          <w:strike w:val="false"/>
          <w:color w:val="2B5797"/>
          <w:sz w:val="26"/>
          <w:szCs w:val="26"/>
        </w:rPr>
        <w:t xml:space="preserve">Authoritative Architecture, Terminology, and Patent Reference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1"/>
                <w:szCs w:val="21"/>
              </w:rPr>
              <w:t xml:space="preserve">Document Date:</w:t>
            </w:r>
          </w:p>
        </w:tc>
        <w:tc>
          <w:tcPr>
            <w:tcW w:type="pct" w:w="76%"/>
            <w:shd w:fill="DCE6F0" w:color="auto" w:val="clear"/>
          </w:tcPr>
          <w:p>
            <w:r>
              <w:rPr>
                <w:rFonts w:ascii="Calibri" w:cs="Calibri" w:eastAsia="Calibri" w:hAnsi="Calibri"/>
                <w:b/>
                <w:bCs/>
                <w:i w:val="false"/>
                <w:iCs w:val="false"/>
                <w:strike w:val="false"/>
                <w:color w:val="0D2A5E"/>
                <w:sz w:val="21"/>
                <w:szCs w:val="21"/>
              </w:rPr>
              <w:t xml:space="preserve">August 1, 2026</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Classification:</w:t>
            </w:r>
          </w:p>
        </w:tc>
        <w:tc>
          <w:tcPr>
            <w:tcW w:type="pct" w:w="76%"/>
          </w:tcPr>
          <w:p>
            <w:r>
              <w:rPr>
                <w:rFonts w:ascii="Calibri" w:cs="Calibri" w:eastAsia="Calibri" w:hAnsi="Calibri"/>
                <w:b/>
                <w:bCs/>
                <w:i w:val="false"/>
                <w:iCs w:val="false"/>
                <w:strike w:val="false"/>
                <w:color w:val="0D2A5E"/>
                <w:sz w:val="21"/>
                <w:szCs w:val="21"/>
              </w:rPr>
              <w:t xml:space="preserve">Confidential — Proprietary and Patent-Sensitive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By:</w:t>
            </w:r>
          </w:p>
        </w:tc>
        <w:tc>
          <w:tcPr>
            <w:tcW w:type="pct" w:w="76%"/>
          </w:tcPr>
          <w:p>
            <w:r>
              <w:rPr>
                <w:rFonts w:ascii="Calibri" w:cs="Calibri" w:eastAsia="Calibri" w:hAnsi="Calibri"/>
                <w:b/>
                <w:bCs/>
                <w:i w:val="false"/>
                <w:iCs w:val="false"/>
                <w:strike w:val="false"/>
                <w:color w:val="0D2A5E"/>
                <w:sz w:val="21"/>
                <w:szCs w:val="21"/>
              </w:rPr>
              <w:t xml:space="preserve">QueryBook Core Technology Group</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Version:</w:t>
            </w:r>
          </w:p>
        </w:tc>
        <w:tc>
          <w:tcPr>
            <w:tcW w:type="pct" w:w="76%"/>
          </w:tcPr>
          <w:p>
            <w:r>
              <w:rPr>
                <w:rFonts w:ascii="Calibri" w:cs="Calibri" w:eastAsia="Calibri" w:hAnsi="Calibri"/>
                <w:b/>
                <w:bCs/>
                <w:i w:val="false"/>
                <w:iCs w:val="false"/>
                <w:strike w:val="false"/>
                <w:color w:val="0D2A5E"/>
                <w:sz w:val="21"/>
                <w:szCs w:val="21"/>
              </w:rPr>
              <w:t xml:space="preserve">1.0 — Initial Canonical Release</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Document Status:</w:t>
            </w:r>
          </w:p>
        </w:tc>
        <w:tc>
          <w:tcPr>
            <w:tcW w:type="pct" w:w="76%"/>
          </w:tcPr>
          <w:p>
            <w:r>
              <w:rPr>
                <w:rFonts w:ascii="Calibri" w:cs="Calibri" w:eastAsia="Calibri" w:hAnsi="Calibri"/>
                <w:b/>
                <w:bCs/>
                <w:i w:val="false"/>
                <w:iCs w:val="false"/>
                <w:strike w:val="false"/>
                <w:color w:val="0D2A5E"/>
                <w:sz w:val="21"/>
                <w:szCs w:val="21"/>
              </w:rPr>
              <w:t xml:space="preserve">Authoritative — Single Source of Truth</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Audience:</w:t>
            </w:r>
          </w:p>
        </w:tc>
        <w:tc>
          <w:tcPr>
            <w:tcW w:type="pct" w:w="76%"/>
          </w:tcPr>
          <w:p>
            <w:r>
              <w:rPr>
                <w:rFonts w:ascii="Calibri" w:cs="Calibri" w:eastAsia="Calibri" w:hAnsi="Calibri"/>
                <w:b/>
                <w:bCs/>
                <w:i w:val="false"/>
                <w:iCs w:val="false"/>
                <w:strike w:val="false"/>
                <w:color w:val="0D2A5E"/>
                <w:sz w:val="21"/>
                <w:szCs w:val="21"/>
              </w:rPr>
              <w:t xml:space="preserve">Patent Attorneys, Senior Engineers, AI Researchers, Product Architects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Location:</w:t>
            </w:r>
          </w:p>
        </w:tc>
        <w:tc>
          <w:tcPr>
            <w:tcW w:type="pct" w:w="76%"/>
          </w:tcPr>
          <w:p>
            <w:r>
              <w:rPr>
                <w:rFonts w:ascii="Calibri" w:cs="Calibri" w:eastAsia="Calibri" w:hAnsi="Calibri"/>
                <w:b/>
                <w:bCs/>
                <w:i w:val="false"/>
                <w:iCs w:val="false"/>
                <w:strike w:val="false"/>
                <w:color w:val="0D2A5E"/>
                <w:sz w:val="21"/>
                <w:szCs w:val="21"/>
              </w:rPr>
              <w:t xml:space="preserve">Los Angeles, CA, United States</w:t>
            </w:r>
          </w:p>
        </w:tc>
      </w:tr>
      <w:tr>
        <w:trPr>
          <w:tblHeader w:val="false"/>
        </w:trPr>
        <w:tc>
          <w:tcPr>
            <w:tcW w:type="pct" w:w="24%"/>
          </w:tcPr>
          <w:p>
            <w:r>
              <w:rPr>
                <w:rFonts w:ascii="Calibri" w:cs="Calibri" w:eastAsia="Calibri" w:hAnsi="Calibri"/>
                <w:b/>
                <w:bCs/>
                <w:i w:val="false"/>
                <w:iCs w:val="false"/>
                <w:strike w:val="false"/>
                <w:color w:val="0D2A5E"/>
                <w:sz w:val="21"/>
                <w:szCs w:val="21"/>
              </w:rPr>
              <w:t xml:space="preserve">Prepared for:</w:t>
            </w:r>
          </w:p>
        </w:tc>
        <w:tc>
          <w:tcPr>
            <w:tcW w:type="pct" w:w="76%"/>
          </w:tcPr>
          <w:p>
            <w:r>
              <w:rPr>
                <w:rFonts w:ascii="Calibri" w:cs="Calibri" w:eastAsia="Calibri" w:hAnsi="Calibri"/>
                <w:b/>
                <w:bCs/>
                <w:i w:val="false"/>
                <w:iCs w:val="false"/>
                <w:strike w:val="false"/>
                <w:color w:val="0D2A5E"/>
                <w:sz w:val="21"/>
                <w:szCs w:val="21"/>
              </w:rPr>
              <w:t xml:space="preserve">CTO, QueryBook Core Technology Group</w:t>
            </w:r>
          </w:p>
        </w:tc>
      </w:tr>
    </w:tbl>
    <w:p>
      <w:pPr>
        <w:spacing w:after="200" w:before="0"/>
      </w:pPr>
    </w:p>
    <w:p>
      <w:pPr>
        <w:spacing w:after="240" w:line="360" w:lineRule="auto"/>
        <w:jc w:val="center"/>
      </w:pPr>
      <w:r>
        <w:rPr>
          <w:rFonts w:ascii="Calibri" w:cs="Calibri" w:eastAsia="Calibri" w:hAnsi="Calibri"/>
          <w:b/>
          <w:bCs/>
          <w:i w:val="false"/>
          <w:iCs w:val="false"/>
          <w:strike w:val="false"/>
          <w:color w:val="CC0000"/>
          <w:sz w:val="22"/>
          <w:szCs w:val="22"/>
        </w:rPr>
        <w:t xml:space="preserve">CONFIDENTIAL — PROPRIETARY AND PATENT-SENSITIVE</w:t>
      </w:r>
      <w:r>
        <w:rPr>
          <w:rFonts w:ascii="Calibri" w:cs="Calibri" w:eastAsia="Calibri" w:hAnsi="Calibri"/>
          <w:b/>
          <w:bCs/>
          <w:i w:val="false"/>
          <w:iCs w:val="false"/>
          <w:color w:val="CC0000"/>
          <w:sz w:val="22"/>
          <w:szCs w:val="22"/>
        </w:rPr>
        <w:br/>
      </w:r>
      <w:r>
        <w:rPr>
          <w:rFonts w:ascii="Calibri" w:cs="Calibri" w:eastAsia="Calibri" w:hAnsi="Calibri"/>
          <w:b/>
          <w:bCs/>
          <w:i w:val="false"/>
          <w:iCs w:val="false"/>
          <w:strike w:val="false"/>
          <w:color w:val="CC0000"/>
          <w:sz w:val="22"/>
          <w:szCs w:val="22"/>
        </w:rPr>
        <w:t xml:space="preserve"> DO NOT DISTRIBUTE WITHOUT EXPLICIT WRITTEN AUTHORIZATION</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Version 1.0 — August 1,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LEGAL NOTICE</w:t>
            </w:r>
            <w:r>
              <w:rPr>
                <w:rFonts w:ascii="Calibri" w:cs="Calibri" w:eastAsia="Calibri" w:hAnsi="Calibri"/>
                <w:b/>
                <w:bCs/>
                <w:i w:val="false"/>
                <w:iCs w:val="false"/>
                <w:strike w:val="false"/>
                <w:color w:val="333333"/>
                <w:sz w:val="24"/>
                <w:szCs w:val="24"/>
              </w:rPr>
              <w:t xml:space="preserve">This document constitutes the canonical, authoritative specification of the QueryBook system and all its proprietary subsystems, algorithms, protocols, data formats, and terminology. All content herein is the exclusive intellectual property of the QueryBook Core Technology Group. Unauthorized reproduction, distribution, reverse engineering, or use of any specification, algorithm, or terminology defined in this document is strictly prohibited and may constitute misappropriation of trade secrets and infringement of pending and issued patents. This document is designated as a confidential trade secret. It is intended solely for use by authorized patent attorneys, licensed engineers, and designated product architects operating under non-disclosure obligations.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MERGE-ONLY REVISION</w:t>
            </w:r>
            <w:r>
              <w:rPr>
                <w:rFonts w:ascii="Calibri" w:cs="Calibri" w:eastAsia="Calibri" w:hAnsi="Calibri"/>
                <w:b/>
                <w:bCs/>
                <w:i w:val="false"/>
                <w:iCs w:val="false"/>
                <w:strike w:val="false"/>
                <w:color w:val="333333"/>
                <w:sz w:val="24"/>
                <w:szCs w:val="24"/>
              </w:rPr>
              <w:t xml:space="preserve">The additions below were merged into this Bible following a technical audit. Nothing in the original document was removed, reworded, or reordered — all changes are additive, and each is marked inline as a “merge note” or “added in Version 1.0 merge review” at its point of insertion so original and added text remain distinguishable.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Domain 0 — The Prime Directive: full D0.1–D0.8 content added (Part I). Previously present only as a Table of Contents heading with no body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§3.1.1 — Implementation note reconciling the FUID's deterministic, content-derived generation with standard RFC 9562 UUIDv7 semantics, plus a cross-reference added to the Chapter 2 glossary entry.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Acronym disambiguation notes added at all three definitions of “ARE” (§7.2.3 Associative Recall Engine, Chapter 52 Adaptive Response Engine, §39.6 App Recommendation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Appendix C, §C.11 — Methodology and Assumptions section added, documenting the workload, comparison, cost, and energy basis behind the quantitative claims in §C.10.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§15.8 — AEM-7: Constraint Satisfaction and Optimization Module, a new AGI Extension Module added to Chapter 15.</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in this pass: Chapters 21–38 and 40–58 remain Table-of-Contents-only stubs, as do Appendices A, B, D, E, F, and G. These require substantive new drafting rather than a merge edit and are recommended as a follow-up pass.</w:t>
      </w:r>
      <w:r>
        <w:rPr>
          <w:rFonts w:ascii="Calibri" w:cs="Calibri" w:eastAsia="Calibri" w:hAnsi="Calibri"/>
          <w:b/>
          <w:bCs/>
          <w:i/>
          <w:iCs/>
          <w:strike w:val="false"/>
          <w:color w:val="B23B2E"/>
          <w:sz w:val="20"/>
          <w:szCs w:val="20"/>
        </w:rPr>
        <w:t xml:space="preserve"> [Corrected in Pass 3: this claim was wrong about Appendices A, B, D, E, F, G and about Chapters 53–59 specifically — both actually exist in the original document. See the Pass 3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Additions in this pass (also merge-only; nothing removed or reworded):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§9.5.3 — Unified Audit API: a new consolidated section merging the audit capabilities previously scattered across §5.4 (Provenance Ledger audit/compliance), §8.5 (Safety Audit Log), and the two AUDITOR-role endpoints already in §9.5.1, into five callable endpoints (/v1/audit/export, /v1/audit/export/{export_id}, /v1/audit/verify/{export_id}, /v1/audit/log, /v1/audit/soc2-trail). Cross-reference notes were added at each original location (§5.4.1, §8.5.1, §9.5.1) pointing to the new consolidated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§19.8 — Q&amp;A: a new feature, the Specification Assistant Agent — a dedicated AI chatbot for asking questions about this Bible's own design, built on QueryBook's own Fact Graph, ARE, and MRE stack applied self-referentially to the Bible's text, with a new /v1/qa/ask and /v1/qa/sections/{section_id}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same Chapters 21–38, 40–58 and Appendices A, B, D, E, F, G gap noted in Pass 1 remains open.</w:t>
      </w:r>
      <w:r>
        <w:rPr>
          <w:rFonts w:ascii="Calibri" w:cs="Calibri" w:eastAsia="Calibri" w:hAnsi="Calibri"/>
          <w:b/>
          <w:bCs/>
          <w:i/>
          <w:iCs/>
          <w:strike w:val="false"/>
          <w:color w:val="B23B2E"/>
          <w:sz w:val="20"/>
          <w:szCs w:val="20"/>
        </w:rPr>
        <w:t xml:space="preserve"> [Corrected in Pass 3: this repeated the same error as Pass 1. See the Pass 3 note below for the accurate gap list.]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corrects two errors from Pass 1 and Pass 2 (both marked inline above where they occurred) and closes the real gaps those errors obscured. Nothing removed; corrections are additive markers plus new content, per the same merge-only rule as all prior passes.</w:t>
      </w:r>
    </w:p>
    <w:p>
      <w:pPr>
        <w:spacing w:after="120" w:line="360" w:lineRule="auto"/>
      </w:pPr>
      <w:r>
        <w:rPr>
          <w:rFonts w:ascii="Calibri" w:cs="Calibri" w:eastAsia="Calibri" w:hAnsi="Calibri"/>
          <w:b w:val="false"/>
          <w:bCs w:val="false"/>
          <w:i w:val="false"/>
          <w:iCs w:val="false"/>
          <w:strike w:val="false"/>
          <w:color w:val="000000"/>
          <w:sz w:val="22"/>
          <w:szCs w:val="22"/>
        </w:rPr>
        <w:t xml:space="preserve">Correction: Appendices A, B, D, E, F, and G are not missing — they exist in the original document as fully-populated tables, formatted as bold inline headings rather than document headings, which is why a heading-pattern search missed them. Chapters 53–59 (the “World Intelligence and Cognitive Architecture” part) are not missing either — they exist in full, but the body text internally numbers them Chapters 25–31 (a consistent off-by-28 defect) instead of matching the Table of Contents' 53–59.</w:t>
      </w:r>
    </w:p>
    <w:p>
      <w:pPr>
        <w:spacing w:after="120" w:line="360" w:lineRule="auto"/>
      </w:pPr>
      <w:r>
        <w:rPr>
          <w:rFonts w:ascii="Calibri" w:cs="Calibri" w:eastAsia="Calibri" w:hAnsi="Calibri"/>
          <w:b w:val="false"/>
          <w:bCs w:val="false"/>
          <w:i w:val="false"/>
          <w:iCs w:val="false"/>
          <w:strike w:val="false"/>
          <w:color w:val="000000"/>
          <w:sz w:val="22"/>
          <w:szCs w:val="22"/>
        </w:rPr>
        <w:t xml:space="preserve">Genuine gap identified and closed in this pass: Chapters 48, 49, 50, and 51 have no body content anywhere under any numbering scheme, despite being cited by section number from content that already exists — Chapter 52 cites “Chapter 50, Section 50.4.3” and “Chapter 51” directly; Domain 0, the Unified Audit API, and this Bible's own Q&amp;A feature (§19.8) all cite specific §49.x subsections. All four are now drafted in full and merged into this document, positioned immediately before Chapter 52: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48 — QueryBook as a Semantic Programming Platform (QBQL, QBPL, NLPL), including the two added QBPL primitives (ASSERT/RETRACT, REPEAT-UNTIL-BOUND) and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49 — The Live Fact Graph, Universal Ingestion Architecture (all six source types), WATCH programs, and the Continuous Query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50 — NLIL, the Natural Language Interaction Layer. This also resolves a naming inconsistency: the existing text called this layer both “NLGE” and “NLIL” in different places without defining either; NLGE is retained as one component's name within the NLIL chapter, consistent with both usages already in the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51 — The Fact Universe architecture (the Fact Universe Slice and Slice Resolver the ARE's own pipeline table already assumed existed).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Navigation fix: a merge note has been added to each of Chapters 25–31's body headings cross-referencing the correct Table of Contents chapter number (53–59), since the underlying off-by-28 defect is original document content and is not altered here — only annotated — per the merge-only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added: Table of Contents entries for Chapters 36 (Cross-Book Query History Analysis) and 37 (Conversational Intelligence Layer), which have real body content but were never listed in the Table of Contents.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yet addressed: the internal off-by-28 numbering within Chapters 25–31's body text is annotated, not corrected at the source, since correcting it would mean altering original section numbers throughout seven chapters — recommended as a dedicated renumbering pass with its own review, done separately from a content-merge pass.</w:t>
      </w:r>
      <w:r>
        <w:rPr>
          <w:rFonts w:ascii="Calibri" w:cs="Calibri" w:eastAsia="Calibri" w:hAnsi="Calibri"/>
          <w:b/>
          <w:bCs/>
          <w:i/>
          <w:iCs/>
          <w:strike w:val="false"/>
          <w:color w:val="2E7D4F"/>
          <w:sz w:val="20"/>
          <w:szCs w:val="20"/>
        </w:rPr>
        <w:t xml:space="preserve"> [Done in a later audit-fix pass: this renumbering was subsequently completed at the source. See the note near the end of this Version History for details.]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Passes 4 and 5 merged external content without a formal changelog entry at the time; this note covers both, plus Pass 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4: merged Chapters 40 (Specification Validation Framework) and 41 (Predictive Cognitive Architecture) from an external draft, plus a Fact Universe (FU-verse) glossary entry (§2), cross-referenced against the pre-existing Chapter 51 Fact Universe Slice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5: merged Chapter 42 (Proprietary Technologies), documenting UFCS, FQL, WVM, and ten other cognitive technologies from an external submission, with disambiguation notes added where terms overlapped with existing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6 (this pass): reverses part of Pass 5. UFCS and FQL have been fully removed from this Bible — they are not referenced anywhere in this document, including Chapter 42 (renumbered §42.2.1–§42.2.11 to close the gap) and Appendix C, which previously used “UFCS” as shorthand for QueryBook’s own native architecture and now uses “QueryBook Native” instead — no numeric content in Appendix C changed, only the label. All other Chapter 42 technologies (WVM, Ontology Layer, Causal Graph Layer, Temporal Model, Semantic Consistency Engine, Reasoning Engine, Interpretation Layer, Narrative Engine, Deterministic Creativity Engine, Ontology Evolution System, Cognition Boundary System) remain, unchanged in substance, as natively QueryBook technologies with no dependency on any external or independently-operable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Universal Ingestion Architecture (Chapter 49) and its REST/gRPC API surface (Chapter 9, §9.5.3) are unaffected by this pass — they are QueryBook's own native integration layer for all source types and never depended on UFCS or FQL.</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7–11</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five passes had no formal changelog entry until now; this note covers all of them.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7: merged Chapter 43 (Integration of Hoffman-Derived Mathematical Structures) — Markovian perceptual transitions, trace-logic coarse-graining, observer-window inheritance, adopted as pure mathematics with associated metaphysical claims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8: rescoped Chapter 43 per explicit instruction — all four integration pathways (MATM, TLCM, POIE, ACOWM) were rewritten to touch only the Scenario Graph's agent-simulation instances and the WASM/RMD embodied-agent subsystem, explicitly not the core Fact Graph, Ontology Mesh, NCL, or Multimodal Ingestion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9: merged Chapter 44 (QueryBook Video Colorization &amp; Upscaling Module, VCUM) as an applied World-Model System, consuming WVM/NCL/Scenario Graph without modifying their core specifications, consistent with the Pass 8 scoping precedent applied proactively. Also found and fixed a bold-lead bullet text-duplication bug affecting 20 bullets across Chapters 44 and 48 (the latter dating back to Pass 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10: merged Chapter 45 (VCUM Agent Specifications) — the six agents (SEA, MRA, LPA, TCA, HCA, ERA) that operationally execute Chapter 44's pipeline, cross-referenced in both directions.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11 (this pass, an audit-fix pass): closed every open item from the technical audit performed after Pass 10 — added a Table of Contents entry for Chapter 39 (real content existed but had never been listed, the same gap already fixed for Chapters 36–37 in Pass 3); corrected Chapter 43's §7.2.2 citation, which pointed to a subsection that does not actually discuss the cited mechanism; and completed the Chapters 25–31 → 53–59 renumbering at the source (see the note added directly to the Pass 3 entry above) — the internal off-by-28 defect is now fully resolved rather than merely annotated.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related correction, external to this document: the Redesign dashboard tool's reference data had incorrectly stated this renumbering was already complete as of Pass 8. That claim described work done in a separate, abandoned draft that was never merged into this document's lineage. It has been corrected in the dashboard to match this Bible's actual state as of each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pass implements a Redesign Engine analysis (Performance, Efficiency, Economy) against the Pass 11 document, cross-checked against an independently-produced adversarial technical audit provided separately. That audit's findings were verified individually against this document before use — several did not apply (referencing a much larger, ~216-chapter draft this Bible's lineage never included, and one, Chapter 16's grounding claim, was already appropriately hedged as a scored metric rather than an absolute guarantee). Eight findings were confirmed to apply and were addressed as additive notes at each relevant location, not as rewrites of the underlying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§14.3.1.1 (Performance) — flagged the HNSW vector index's memory footprint at 4096-dim/10B+ scale as very large and previously unstated as an explicit constraint; recommended product/scalar quantization as a standard mitigation, pending benchmarking.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(Economy, Performance) — scoped the Safety Substrate's "non-bypassable" guarantee explicitly to QueryBook's own software architecture, not kernel/hardware/insider compromise, reducing misrepresentation risk; and added an explicit throughput/parallelism sizing note for synchronous gating at scale.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§15.4.2.1 (Efficiency) — flagged AEM-3's PC Algorithm as O(n³) and computationally intractable at full Fact Graph scale without domain partitioning; added that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§15.1 (Economy) — closed a chained-inference risk where uncorroborated AEM output could feed further AEM operations with no visible signal of compounding confidence; added a disclosure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14 storage tier table (Performance, Economy) — named the CAP-theorem latency/partition tradeoff implicit in synchronous RPO=0 cross-region replication for the Provenance Ledger and Safety Audit Log; concluded the existing scope (limited to those two stores) is the right call, not an error, and left the specified targets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§58.4.1 (Performance) — named the Semantic Brain / World Brain interface's implicit consistency model as eventual rather than synchronous, consistent with its own "continuously enriched" language, to prevent a future implementer from reading in a stricter, CAP-theorem-violating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13, end of framing section (Economy) — flagged QBF's dual dependency on Protocol Buffers varint field encoding and a separate custom frame format as two independently-versionable surfaces; recommended they be tracked as one coupled compatibility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Also verified independently and found NOT to apply to this document: an overclaimed "hallucination-free" guarantee (Chapter 16 already uses a scored Factual Groundedness metric, not an absolute claim) and several findings referencing chapters or scale figures ("50 parts, 216 chapters") that do not exist in this Bible's lineage. The same external audit also independently identified two issues already fixed in this document as of Pass 1 — the FUID/UUIDv7 contradiction (§3.1.1) and the "ARE" acronym collision — which is treated here as corroboration those fixes addressed real issues, not as new findings.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13–14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13: added §7.6 NCL Integrity and Robustness to the existing Chapter 7 — weight-update integrity for the Synaptic Weight Store, adversarial query resistance for the Associative Recall Engine, and explicit capacity bounds for the Attractor Network, all implemented through mechanisms already specified elsewhere (Provenance Ledger, Safety Substrate, Transport Layer) rather than new machinery. Also corrected a Pass 11 citation error: attractor dynamics was said to be unspecified in Chapter 7 when it is in fact specified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14: added Chapter 46, Immersive Query Response Rendering (IQR) — an applied World-Model System that renders an eligible query response as a navigable 3D/VR scene (for example, an underwater cave environment for a cave-diving query), built entirely from already-specified components: the WASM Object Layer (§53.3) for environment and material data, VCUM (Chapters 44–45) for material/lighting/detail synthesis, and standard open delivery formats (glTF/USD over WebXR) rather than an invented container format. States plainly that composed scenes are representative reconstructions grounded in general topic facts, not literal reconstructions of one specific real, unphotographed place — deliberately not claiming the bit-identical determinism that is meaningful for VCUM's video-restoration use case but is not meaningful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in Pass 14: added §49.3.3, the Source Connector Registry — filling a gap that existed in the original document's own Table of Contents outline but was never written when Chapter 49 was first drafted in Pass 3. This formalizes QueryBook's “universal API” (§9.5.3) as a real extension point for third-party or QueryBook-owned external systems, via a four-part connector contract (capability declaration, authentication, data mapping, health reporting), with an explicit governance note that external connectors receive no trust-boundary exemption — all data crossing the boundary passes through the same Safety Substrate and Prime Directive review as any other source. An external cognitive-substrate system is used as the illustrative example (§49.3.3.3) without QueryBook defining, redefining, or absorbing that external system's own architecture into this Bible.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separate finding surfaced while drafting Pass 14, noted for a future pass rather than addressed here since it is unrelated to what was requested: Chapter 52 (§52.5, §52.6) cites a “QBCL-CMS (Chapter 47)” twice — a runtime configuration management system for Discipline Mode Registry and operator baseline Response Profile settings — that was outlined in the original Table of Contents but, like §49.3.3 before this pass, was never actually written. This is a real, load-bearing gap distinct from the already-resolved Chapters 48–51 gap, and is recommended as the next chapter-completion priority.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15</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Extends Chapter 46 (IQR) with two new sections, closing the gap between “one scene from one query” and “a curated multi-scene tour an author builds once.”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§46.9 Tour and Exhibition Mode: a new TOUR Fact Unit type sequencing ordered or Scenario-Graph-branching Waypoints across a topic, chapter, or book; a Coverage Map (§46.9.2) so authors know which topics are scene-eligible before building rather than by trial and error; an authoring interface distinct from the reader-facing Q&amp;A interface, with author overrides to IQR's automatic composition recorded as such in the Provenance Ledger rather than disguised as automatic output; camera/pacing choreography and narration synchronization; and a multi-viewer delivery model for educator-led group sessions.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§46.10 Presenter Mode: QueryBook's Interactive Modes grouping for Tours, offering Voice-Only, Face-Only, and Face-on-Avatar AI-generated presenter options, per explicit user request. Because all three synthesize a real, identifiable person's voice and/or likeness, this section was built with the authorization architecture as a mandatory precondition, not an optional setting: an Author Authorization Record (§46.10.1), scoped per presenter mode and immediately and retroactively revocable (§46.10.2), gated as a Safety Substrate enforcement point (§8.1.1) with no bypass path, plus a persistent, non-removable AI-generated disclosure on every presenter-mode output (§46.10.6). Face-on-Avatar mode reuses VCUM's existing material/lighting compositing (§44.3) rather than introducing a new visual pipeline.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Passes 16–19</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four passes had no formal changelog entry until now; this note covers all of them, closing a gap discovered while reconciling the Feature Notes dashboard's corpus data against this document's actual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16: added §52.13, Interactive Mode Registry — 23 reader-facing session-type modes (Q&amp;A, Discussion, Tutorial, Quiz, and others), each independent of Pedagogical Mode (§52.9, which governs response shape, not session type) and Discipline Mode (§52.5, subject-domain conventions). “Immersive VR Mode” and “Author VR Tour Mode” from the source material were deliberately not made separate catalog entries — they route to Chapter 46 (IQR, Tour and Exhibition Mode, Presenter Mode), which already specifies that functionality, avoiding duplication. Discussion Mode was given full treatment (§52.13.3) given its expanded critical-analysis latitude, bounded by the same Safety Substrate review as every other output. §52.12 Patent Significance was renumbered to §52.14 to make room, after verifying zero external citations of §52.12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17: Chapter 1.1 (“What QueryBook Is”) rewritten to lead with QueryBook's actual origin — a Q&amp;A companion for a single ebook — with the existing enterprise/AGI-scale technical description preserved verbatim as what that architecture generalized into, bridging to the Interactive Mode Registry (§52.13).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18: per explicit instruction, added Fact-Unit-atom language and verifiable neuromorphic parallels — grounded only in mechanisms actually specified elsewhere in this Bible (STDP, Hebbian strengthening, the Sensory Abstraction Pipeline §55) — to §1.1, §4.1 (Ingestion Pipeline), and §7.1 (NCL Design Philosophy).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19: confirmed and made explicit in §4.1 that QueryBook's eight-modality ingestion pipeline (§4.2) already covers audiobooks, video, web pages, live data feeds (via Chapter 49's STREAM/SENSOR source types), applications, and sensor data — verified against the actual modality table before being confirmed, not assumed true.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tooling bugs were caught and fixed during this span before reaching delivery, not after: a 14-of-24-row table structure bug in the Interactive Mode Registry (Pass 16), and, separately, an unescaped ampersand and a literal unicode escape sequence typed instead of real characters in the Chapter 1 and Chapter 4/7 narrative additions (Pass 18–19) — both caught by the same pre-build verification pass run before every delivery since the Chapter 58 rendering incident.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Known open item, flagged and not yet fixed: Chapter 52 cites a “QBCL-CMS (Chapter 47)” twice — a runtime configuration management system for the Discipline Mode Registry and operator Response Profile settings — outlined in the original Table of Contents but never written. First flagged during the Pass 11 audit-fix pass. [Closed in Pass 21 — see the note below.]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21</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Closes the QBCL-CMS gap flagged since the Pass 11 audit and re-confirmed during the Feature Notes dashboard reconciliation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47, QBCL-CMS — Configuration Language and Management System. Defines QBCL, a small declarative configuration format (not Turing-complete, reusing the JSON/YAML/TOML structured-data formats already specified in §4.2 rather than a new file format), and the store itself: Discipline Mode Registry template storage (§47.3, serving §52.5) and operator baseline Response Profile storage (§47.4, serving §52.7.1 and §52.7.4 Step 1) — both dependencies Chapter 52 has cited by this chapter number since Pass 3.</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Consistent with the standing instruction to retain the Bible's current purpose and design: this chapter introduces no new execution model, no new transport, and no new governance mechanism. Configuration reads and writes go through the existing REST/gRPC API (Chapter 9); writes are gated by the existing Safety Substrate (§8.1) and logged to the existing Provenance Ledger (Chapter 5); the Safety Override Level floor constraint already stated at §52.7.1 (may be raised, never lowered below STANDARD) is enforced redundantly at both schema validation and the Safety Substrate gate, rather than relying on a single checkpoint.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mistake was caught and corrected during this pass: the first attempt at inserting Chapter 47's Table of Contents entry used an anchor string that matched an earlier, structurally-identical entry (Chapter 36's, not Chapter 37's, since both share closing text), landing the entry ten chapters too early. Caught by direct verification of the surrounding text before validation, not left for a future audit to find.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22</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all 201 unique features from a synced, deduplicated external feature/function registry (245 original rows, cross-referenced against a separate 1,730-row Function Register) for validity and architectural compatibility, per explicit instruction to integrate what checks out. The full triage and reasoning is documented in a standalone report; summarized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18 features (not 12 as first estimated) were excluded for genuine cause: eight explicitly named after NFT rights-minting or SERE (Self-Evolution Registry Entry), plus six more identified during a closer pass whose names did not contain "SERE" but whose function matches and section origin confirmed they were the same self-evolution proposal/simulate/activate/rollback/telemetry cluster (Proposal engine, Rollback engine, Simulation tester, Evolution telemetry, Evolution provenance, Controlled self-evolution), plus Activation engine and Substrate gating, confirmed via their section-of-origin field to be SERE components despite generic-sounding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123 features were already covered by existing chapters — the eight ingestion modalities (Chapter 4), the Provenance Ledger (Chapter 5), the Safety Substrate (Chapter 8), the Scenario Graph (Chapter 11), WASM's World Model Domain (§53.3), and others — and were not re-specified.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 features were the external draft's own internal architecture labels (its D0–D22 domain numbering, “Prime Directive Cortex,” “RSMA,” “MFEM”), not end-user capabilities, and had nothing to integrate.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features (Substrate engine, Substrate integrity audits, Admin governance flow/panel, Prime Directive enforcement logs) were too thin or redundant with the existing Safety Substrate (Chapter 8) to warrant separate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features (Rights prechecker, Rights validation, Rights validator) named the same underlying concept three times and were consolidated into one gate (§60.2), deliberately excluding the source material's proposal to represent validated rights as a minted NFT.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33 features were genuine, non-duplicate candidates and were built into two new chapters plus two Interactive Mode Registry additions: Chapter 60 (Publisher and Print-on-Demand Distribution — submission intake, the consolidated Rights Validation Gate, print production, external distribution routing via the Source Connector Registry, localization preview, market reporting) and Chapter 61 (Author Drafting Tools — applying Discussion Mode's existing analytical capability and the Scenario Graph's existing branching capability to an in-progress manuscript, one lifecycle stage before publication, rather than specifying new reasoning capabilities). Contextual Footnotes and Social Annotations were added to the Interactive Mode Registry (§52.13.2.1).</w:t>
      </w:r>
    </w:p>
    <w:p>
      <w:pPr>
        <w:spacing w:after="120" w:line="360" w:lineRule="auto"/>
      </w:pPr>
      <w:r>
        <w:rPr>
          <w:rFonts w:ascii="Calibri" w:cs="Calibri" w:eastAsia="Calibri" w:hAnsi="Calibri"/>
          <w:b w:val="false"/>
          <w:bCs w:val="false"/>
          <w:i w:val="false"/>
          <w:iCs w:val="false"/>
          <w:strike w:val="false"/>
          <w:color w:val="000000"/>
          <w:sz w:val="22"/>
          <w:szCs w:val="22"/>
        </w:rPr>
        <w:t xml:space="preserve">A duplication bug identical to the one fixed in Pass 9 was reintroduced and caught during this pass's own drafting (two bold-lead bullets in the Interactive Mode Registry addendum) — found and fixed via the same detection regex before this document was rebuilt, not after.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Nothing in Chapters 60–61 reintroduces UFCS, FQL, a second NCL, or any rights-tokenization/NFT mechanism. Both chapters consume only already-specified components.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23</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Responds to four specific points raised about a rejected external document (the Author VR Tour / Web Portal / License Management / Distribution Territory material declined last turn, for reasons including a reintroduced UFCS dependency, an author-avatar system with no consent model, and hardcoded third-party API integrations bypassing the Source Connector Registry).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1 (remove UFCS by name): verified, not newly fixed — all 6 remaining UFCS occurrences in this document are historical changelog record of its Pass 6 removal, this changelog's own confirmation of non-reintroduction, or the one pre-existing, deliberately-labeled external-vendor example at §49.3.3.3. No live UFCS architecture exists anywhere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2 (author authorization for avatar presentation): verified, not newly built — §46.10.1's Author Authorization Record, §46.10.2's revocation, and §46.10.6's mandatory disclosure were already fully specified in Pass 15 and remain intact. This already covers author-facing, opt-in, per-mode authorization for exactly the avatar-presentation use case described in the rejected document's "Author Avatar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3 (personal annotations / "post-it" notes): added as a new Personal Notes entry in the Interactive Mode Registry (§52.13.2.1), distinct from the existing Social Annotations mode — private by default, color-coded categories, tags, and full-text search, stored as reader-scoped Fact Units. Further specification was offered and is expected in a future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Point 4 (author-created collaboration events — Google Classroom, Google Meet, Zoom, and others): added as Chapter 62, Author-Hosted Reader Events. The full requested capability is specified — authors create events, invite readers, readers join and replay them — built on the Source Connector Registry (§49.3.3) already in this Bible rather than hardcoded, company-specific API endpoints. This is a strictly more general outcome: any collaboration platform that registers as a connector works identically, not only the three named in the source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bold-lead bullet duplication bug (the same pattern originally found across 20 instances in Pass 9, and again in 2 instances during Pass 22) was reintroduced a third time while drafting the new Personal Notes entry, and caught immediately by the same detection regex before this document was rebuilt. Given the recurrence, bold-label bullets in this pass's Chapter 62 content were written as separate explicit runs rather than using the pattern that keeps causing this.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63, Reader Annotation System, from a real, detailed specification provided directly — data model, four anchor types, sync behavior, and a four-level sharing model. Verified against the existing architecture before building: no UFCS, NFT, or SERE content anywhere in the source material (unlike prior submissions this pass), no conflict with the already-specified Social Annotations mode (§52.13.2.1).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thin Personal Notes bullet added in Pass 23 was replaced with a cross-reference to this chapter rather than left as a duplicate, shorter description sitting alongside the full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specification's data model, anchor types, and sharing modes are preserved in full. Two explicit privacy guarantees from the source — that an author cannot view a reader's private notes, and a publisher cannot view any reader's notes regardless of sharing mode — were carried forward and stated as Safety Substrate enforcement, not merely a policy line, consistent with how every other access boundary in this Bible is 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Sync and storage were deliberately NOT specified as new architecture: a note is a Fact Unit, versioned through the existing Provenance Ledger (Chapter 5), not a new sync protocol. The source material's “instant” sync claim was flagged as an unvalidated design target, consistent with how this Bible already treats unbenchmarked latency figures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source material's reference to sharing notes on “message boards” was explicitly called out as outside this chapter's scope (§63.6) — message boards are not yet specified anywhere in this Bible, and PUBLIC-mode note visibility was not stretched to imply a message-board subsystem that doesn't exist.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bugs from the recurring bold-lead duplication pattern were introduced this pass — verified before insertion, consistent with the change in drafting approach noted in the Pass 23 entry.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64, Message Board System, from a real, detailed specification provided directly — board registry, thread/post engine, permissions, moderation, and integration with Personal Notes and events. This is the exact capability Chapter 63 (§63.6) explicitly flagged as out of scope one pass earlier; it is now specified on its own terms, as recommended at the time, rather than assumed as a side effect of the notes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clean before building: no UFCS, FQL, NFT, or SERE content anywhere in the source material.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build a new Territory Registry despite the source material's “territory enforcement” language. Regional board visibility (§64.5) reuses the regional capability concept already established for distribution routing in Chapter 60 (§60.4), scoped to what a discussion board actually needs. A prior, separately-declined specification proposed a full territory/pricing/rights-conflict system; nothing from that was inherited here, and §64.5 says so explicitly rather than silently building toward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63's SharingMode field now has a real second consumer: §64.6 specifies that a PRIVATE note cannot be shared to a board without the reader first changing its SharingMode — the note-to-thread conversion path this Bible was missing, closing the gap named in Chapter 63 by cross-reference rather than duplication.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62's events now generate an associated Event Thread automatically (§64.7) — an ordinary thread distinguished only by an EventID reference, not a separate event-discussion subsystem.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storage layer, search index, or permissions engine was introduced. Boards, threads, and posts are Fact Units; moderation routes through the existing Safety Substrate; search reuses the existing Associative Recall Engine.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65, Portal Access and Role Model, in response to a request to integrate the just-added Message Board System (Chapter 64) into “the portal description” with access based on four named roles: license owners (readers), authors, publishers, and partners.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Found, while researching this, that a real Reader Portal already existed in the original document — §36.8's History Interface (Timeline, By-Book, Thematic Map, and Annotation Library views, ZKE-respecting), predating every chapter added this session. This was not previously cross-referenced from any of the newer author/publisher/partner-facing chapters.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65 does not build a new portal UI, login system, or permissions engine. It formalizes License Owner as the umbrella identity, defines the four Roles, and maps each to its actual existing specification: Reader to §36.8/Chapter 46/Chapter 63/Chapter 64, Author to Chapter 61/§46.10/Chapter 62/§64.3, Publisher to Chapter 60/§64.3, and Partner to §49.3.3/§64.3.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was deliberately specified as a contextual, per-class capability (Chapter 62's existing event-ownership model) rather than a fifth top-level Role, since the request named only four roles and a per-class-scoped capability already fit Chapter 62 without requiring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§65.4 restates, in one place, three access principles that were previously implicit across several chapters: no portal-specific bypass of the Safety Substrate, every Role action logged to the Provenance Ledger, and the explicit private-note exclusions from §63.4 (author cannot view private notes, publisher cannot view any notes) carried forward unchanged.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Appendix H, Representative Runtime Flows, as the recommended alternative to a declined Runtime Architecture / Sequence Diagram / State Machine submission built entirely on UFCS, FQL, and a blockchain-based NFT ownership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Six flows are formalized, each citing only real, already-specified components: a Q&amp;A response through the actual five-stage ARE Pipeline (§52.8, not a generic “semantic engine”), Personal Note creation and cross-device sync through the Provenance Ledger's existing VersionChain (§63, not a new sync protocol), Message Board thread creation through the existing AccessControlList and Role model (§64–§65), Author-Hosted Event creation through the actual Source Connector Registry (§62, not hardcoded platform APIs), and Tour playback through the real Author Authorization Record chain (§46.10,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§H.6 states the one enforcement pattern shared by all five flows — Safety Substrate gating before a consequential action takes effect, with a specific denial reason and Provenance Ledger logging — once, rather than repeating it in each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insertion: the only occurrences of “UFCS,” “FQL,” and “blockchain” in this appendix are the scope note's own explicit statement that none of them are used — not live architecture. Zero occurrences of NFT, wallet, or minting anywhere in the appendix.</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introduces no new component. It is a cross-cutting reference showing how Chapters 4 through 65 and Appendix A already interoperate at runtime.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66, Improvement Proposal Pipeline, implementing the legitimate engineering pattern from a declined fully-autonomous self-evolution proposal — structured proposals, sandboxed simulation, staged deployment, monitoring feedback — rebuilt with a mandatory human review gate the original lacked.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§66.5, the Human Review Gate, has no automated approval path at any Fitness Score or Risk Profile. A named reviewer's approval or rejection is logged to the Provenance Ledger with their identity and reasoning — the same discipline Appendix H (§H.6) already established as this Bible's shared enforcement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§66.8, Permanent Exclusions, is the section this chapter exists to make possible: the Safety Substrate, the Prime Directive, this pipeline's own review gate, and the Presenter Mode and private-note guarantees from earlier chapters can never be a valid Proposal Scope, checked automatically at pre-screening (§66.4) before any proposal reaches a human reviewer. This closes the specific gap that made the original submission's “Substrate &amp; Safety Domain (SERE)” unacceptable — a system that could propose changes to its own safety constraints.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clean before insertion: zero occurrences of UFCS, FQL, blockchain, NFT, wallet, or the declined proposal's own terminology anywhere in this chapter — it did not need to reference what it was built in response to.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29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42-item audit of an external “comprehensive feature inventory” against this Bible's actual current state (not assumed coverage) and implemented the confirmed gaps, per explicit instruction to build the entitlement item without territory, plus a separately-provided offline/sync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result: 2 items excluded for cause (UFCS, FQL, unchanged), 5 items unverifiable (references to an external artifact ID and patent figures/algorithms this Bible has no access to), 30 items already covered and mapped to specific existing chapters, and 4 confirmed genuine gaps.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67, License and Entitlement Management, covering License Types (mapped directly to Chapter 65's four Roles), Seat Management, Entitlement Enforcement, and aggregate Usage Analytics — explicitly excluding territory, pricing, and rights-tokenization, the two categories of content already declined earlier in this Bible's history for cause.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68, Synchronization and Offline Operation Layer, from a specification provided directly: four sync modes (Real-Time, Deferred, Batch, Air-Gapped), four consistency mechanisms (version vectors, CRDT merges, deterministic merge rules, provenance-verified checkpoints) built on the existing Provenance Ledger VersionChain rather than a new versioning system, and six offline capabilities (querying, provenance verification, RBAC, template execution, media rendering, edition comparison) scoped to what a device has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three Interactive Mode Registry entries (§52.13.2.2): Flashcard Generation, Fact Graph Visualization (an explicit graph rendering layered on the existing Semantic Exploration mode's data, not a duplicate mode), and Inline Fact Previews.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the only NFT and DRM occurrences in Chapter 67 are its own scope note explicitly excluding them. Zero occurrences of UFCS, FQL, Territory Registry, or blockchain anywhere in either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69, Processor Slice Measurement Model, extracting a genuinely useful idea from a three-document external submission — a bounded, deterministic, four-phase compute measurement unit replacing opaque LLM token counting — while declining the naming and authority the source material bundled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Categories (§69.2) are named for and measure real chapters — Ingestion (Chapter 4), Reasoning (Chapters 7, 15), Response Generation (§52.8), Rendering (Chapters 44, 46), Safety Gate (Chapter 8), Sync (Chapter 68) — replacing the source material's fictional “FQL Engine” and “UFCS fact graph” subsystem names.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Slice logging (§69.3) writes to the existing Provenance Ledger (Chapter 5); no new telemetry store was introduced, unlike the source material's separate “Telemetry Slice”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§69.5 makes the actual connection the source material called “billing” explicit: slice logs are the granular data behind Chapter 67's Usage Analytics (§67.4) aggregate counts. This chapter still specifies no pricing model, consistent with §65.5 and §67's existing scope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§69.6 connects slice telemetry to Candidate Identification (§66.1) as one more input source, explicitly stating that a slice-derived Candidate Record still passes through the full Chapter 66 pipeline — sandbox, pre-screening, and a named human's approval at the Human Review Gate (§66.5) — with no shortcut. The source material's “Deployment Slice” (canary rollout, auto-rollback, no human step) was not carried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ambiguity (two identical-looking anchor matches, the same risk that caused the Chapter 47 mistake earlier in this project) was caught before insertion this time — both candidate positions were checked directly, and the entry was placed at the verified TOC location, not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31</w:t>
      </w:r>
    </w:p>
    <w:p>
      <w:pPr>
        <w:spacing w:after="120" w:line="360" w:lineRule="auto"/>
      </w:pPr>
      <w:r>
        <w:rPr>
          <w:rFonts w:ascii="Calibri" w:cs="Calibri" w:eastAsia="Calibri" w:hAnsi="Calibri"/>
          <w:b w:val="false"/>
          <w:bCs w:val="false"/>
          <w:i w:val="false"/>
          <w:iCs w:val="false"/>
          <w:strike w:val="false"/>
          <w:color w:val="000000"/>
          <w:sz w:val="22"/>
          <w:szCs w:val="22"/>
        </w:rPr>
        <w:t xml:space="preserve">Extended Chapter 69 with §69.2.1 and §69.2.2, an event-level addendum built from an external Event → Slice mapping submission, per the analysis presented before this pass — seven of that submission's eight sections were redundant restatements of §69.2's existing categories at finer grain, folded into one 8-row event table rather than reproduced as a separate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§69.2.1 names two new Slice Categories — Scheduler Slice and Recovery Slice — which §69.2 had already left room for but never instantiated; Recovery Slice ties directly to the existing Rollback Plan (§66.2) and offline conflict resolution (§68.2) rather than introducing new recovery semantics.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§69.2.2 covers the four legitimate Improvement Proposal Pipeline events from the source material (anomaly detection, proposal construction, sandbox simulation, fitness scoring) by mapping each to an existing Slice Category rather than inventing “Proposal Slice,” “Simulation Slice,” and “Fitness Slice” as the source material did — each is an instance of Reasoning Slice work happening inside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event was deliberately excluded and the exclusion stated explicitly rather than left implicit: the source material's “Deployment Rollout → Deployment Slice” reintroduced, as an event trigger, the same autonomous-deployment gap §69.6 and §66.8 already close from the slice-type direction. A callout in §69.2.1 states this was excluded and why, rather than silently omitting the event with no record of the decision.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32</w:t>
      </w:r>
    </w:p>
    <w:p>
      <w:pPr>
        <w:spacing w:after="120" w:line="360" w:lineRule="auto"/>
      </w:pPr>
      <w:r>
        <w:rPr>
          <w:rFonts w:ascii="Calibri" w:cs="Calibri" w:eastAsia="Calibri" w:hAnsi="Calibri"/>
          <w:b w:val="false"/>
          <w:bCs w:val="false"/>
          <w:i w:val="false"/>
          <w:iCs w:val="false"/>
          <w:strike w:val="false"/>
          <w:color w:val="000000"/>
          <w:sz w:val="22"/>
          <w:szCs w:val="22"/>
        </w:rPr>
        <w:t xml:space="preserve">Audited an external “8 (then 9) Ingestion Sources” list against this Bible's actual current state before adding anything. Five items (Documents, Images, Audio, Video, Sensors/Streams) were already fully covered by Chapter 4's modality list and Chapter 49's UIA source types — nothing added for these. Three items (Web Pages, APIs, Databases) were confirmed as genuine gaps at the ingestion-mechanism level, not the modality level: Chapter 4 already covers the data formats these produce, but no example connector explicitly covered live web fetching, live database connections, or general API feeds. One item (AI-Generated Content) was confirmed as a genuine gap in provenance tagging.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§49.3.3.5, three concrete Source Connector examples — Web Page, Database, and API Feed — all following the existing §49.3.3.1 contract exactly (capability declaration, authentication, data mapping, health reporting) and subject to the existing Trust Boundary (§49.3.3.4). No new registration process or governance exception was introduced for any of the three; a live database connector is explicitly distinguished from importing a static SQL dump, already covered as a Structured Data format in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§51.4.1, the AI-Origin Flag — a fourth, orthogonal Fact Unit property alongside the three §52.10 already reads, recording whether a Fact Unit's source content was itself AI-generated at its point of origin, independent of which of the six UIA source types delivered it. Explicitly does not affect ConfidenceScore — AI-generated source content is labeled, not presumptively downgraded, the same evenhanded treatment already applied to Social Media's existing Source Advisory.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33</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Analyzed a “Slice Mapping Specification” submission before implementing anything. Most of it (Sections I–III) was a redundant restatement of §69.2/§69.2.1/§69.2.2 at finer grain, reintroducing the fragmented one-category-per-event naming (Parse Slice, Proposal Slice, Simulation Slice, Fitness Slice) already consolidated in Pass 31, plus FQL naming; none of that was implemented. “Deployment Rollout → Deployment Slice” reappeared unchanged from the exclusion already recorded in §69.2.1; still excluded,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Section IV's formal mapping function was genuinely new, and contained a real problem, not a naming one: an “AgentOverrides” parameter with the stated rule that “Agent override slices supersede scheduler defaults” — a live runtime channel for an agent to unilaterally change system execution, independent of what the mapping table says. Not implemented, for the same reason §66.5's Human Review Gate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valid and implemented: the underlying idea of a formal, deterministic assignment process (event in, category out, via a defined function rather than an implied lookup) was a real gap. Added §69.2.3, Slice Assignment Process — Event Classification, Profile Resolution, Category Assignment — using only the eight Slice Categories already named in §69.2/§69.2.1, with no new categories and no agent-override input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§69.2.4, Priority Ordering — Safety Gate Slices first, Recovery Slices next, all other categories unordered relative to each other — an operationalization of the Safety Substrate's existing “embedded at every layer” principle (§8.1.1) applied to scheduling contention, not a new safety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callout in §69.2.3/§69.2.4 states explicitly that no agent-override channel exists in this process, verified before insertion: zero occurrences of “AgentOverrides,” “Deployment Slice,” or FQL naming anywhere in the new content.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34</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completeness audit of NLPL (§48.4) against the rest of this Bible, per direct request, before changing anything.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already complete and not touched: the five-stage compilation pipeline itself, the ambiguity-halts-rather-than-guesses behavior, the VCG safety gate requiring human confirmation for any ASSERT/RETRACT program, and — checked specifically because it seemed like a plausible gap — WATCH program versioning and access control, which turned out to already be fully covered (§49.5.1: PROGRAM Fact Units, “versioned and access-controlled like everything else”). Also confirmed: WATCH programs are re-checked against the Prime Directive on every trigger firing, not only at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real gap: Stage 3's ambiguity halt (§48.4.1) previously specified an unformatted “return to the requester” with no connection to Chapter 37's already-specified Clarification Generation Engine, which handles exactly this situation for ordinary queries. Now routes through the CGE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Closed a second real gap: NLPL compilation had no assigned Slice Category under Chapter 69's measurement model, making it the one operation in this Bible that wasn't actually measurable. Assigned to Response Generation Slice, the same category the ARE Pipeline uses.</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Flagged, not fixed, as out of scope for this chapter: “Template Debug Mode” is named in the Interactive Mode Registry (§52.13.2) as an operator tool but was never specified anywhere — the same named-but-empty pattern QBCL-CMS was before Chapter 47 closed it. Relevant to NLPL/QBPL debugging but recommended as its own future pass rather than absorbed silently into this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35</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general-purpose, any-programming-language code generation submission for NLPL, then implemented the actual, safe version of what was being asked for — “say a natural-language instruction and get a working application, and modify it later.” Rather than build a new subsystem, found that this was already almost entirely specified: §39.7's lattice growth mechanism (2), “user-requested custom apps,” already has the QAG building an app a user asks for that doesn't yet exist in the library.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§39.11, NLPL-Driven On-Demand App Composition, connecting NLPL's Intent Decomposition stage (§48.4.1) to QAG as a routing target, and closing two real gaps found in how §39.7's existing mechanism was specified: whether the requesting user gets to use their own app immediately (yes — the QueryBook team's review only governs promotion to the shared library, not personal use) and how a user modifies an app after creation (a further NLPL instruction, versioned through the same Fact Unit VersionChain already used for WATCH programs and Personal Notes).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not implemented: arbitrary programming-language code generation. §39.11.2 states directly that QAG composes from the same fixed six-feature standard anatomy every QAL app already has (§39.4), applied to a new domain schema — not machine-written source code in Python, Rust, or any other general-purpose language. The Narrow Scope Rule (§39.2) applies to on-demand apps exactly as it does to library apps.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Renumbered §39.11 (Patent Significance) to §39.12 to make room, after verifying its only citation was its own heading (learned discipline from the Chapter 47 renumbering mistake, applied without incident here) — except one: a self-reference written into the new §39.11.2 content itself incorrectly pointed to “§39.11's own Patent Significance claim” instead of §39.12. Caught and fixed before this document was rebuilt,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36</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small asymmetry found while answering a direct question about query scope: §64.8 has always stated explicitly that Message Board content is retrievable through the Associative Recall Engine (§7.2.3); Chapter 62 never made the equivalent statement for Author-Hosted Events, despite events already being Fact Units (§62.1) and therefore already retrievable in practice. §62.1 now states this explicitly, matching §64.8's pattern — a reader asking about an event is served by the same single retrieval mechanism as any other query, not a separate events search. No new retrieval mechanism was introduced; this was a documentation gap, not a functional one.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70, Precision Color and Geometric Registration, from a real, technically sound submission covering device-independent color matching and constraint-based geometric alignment for authored diagrams, figures, and VR objects. Rebuilt entirely on Fact Units per explicit instruction — no UFCS, and no FQL query syntax, since FQL does not exist in this Bible; querying routes through the real QBQL (Chapter 18) and the Associative Recall Engine (§7.2.3)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this was genuinely new before building: distinct from VCUM's Semantic Colorization Engine (§44.3.1), which synthesizes plausible color for content with no reliable color information, versus this chapter's problem of reproducing an author's already-specified exact color within tolerance across output modes. Also distinct from WASM's Object Layer (§53.3), which models conceptual spatial relationships, versus this chapter's production-precision geometric coordinates and tolerances. Neither existing system was modified; §70.3's calibration explicitly defers to VCUM's SCE rather than duplicating synthesis logic where actual color invention is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Registration Constraint Graph (§70.4) — a three-pass solver (absolute resolution, relative resolution, drift detection) — is the most genuinely novel piece and was kept close to the source specification's design, restated over Geometry and Constraint Fact Units rather than a standalone UFCS-based graph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registration (§70.5) anchors to the Tour Waypoints already specified in §46.9 rather than introducing a separate VR anchor concept, and reuses the same Constraint Fact Unit type and Tolerance field from §70.2 rather than VR-specific parallel fields.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and registration drift detection are both specified as never failing silently — either produces a queryable ColorDrift or RegistrationDrift Fact Unit the moment tolerance is exceeded, and §70.7 ties this into Chapter 60's print production pipeline as a pre-flight check before Batch Printing proceeds.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TOC-placement check was performed before insertion, consistent with the discipline established after the Chapter 47 mistake: two identical-looking anchor matches were found, their byte positions compared against this session's established TOC range, and the entry was placed only after that position was explicitly verified against the real Chapter 69 TOC text.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38</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a ~30-fact-type photorealistic avatar reconstruction and animation stack (pore-level facial geometry, individual hair-strand physics, FACS muscle simulation, physically-simulated cloth, distributed cluster execution, and a governance/quota/arbitration layer sitting above it), built on UFCS and FQL. Consent was proposed as the mitigation; declined on the grounds that reconstruction fidelity at that level is not a problem consent resolves — the specification is the same general-purpose capability regardless of which authorized likeness a given instance points to.</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instead the bounded, safe version of the underlying goal — better presentation quality for the presenter capability that already exists and is already fully consented under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§46.10.8, Color and Registration Stability, connecting Face-on-Avatar mode (§46.10.5) to Chapter 70's already-existing Color and Geometry Fact Units: ΔE-validated color consistency for the author's authorized likeness across a Tour's Waypoints, and Registration Constraint Graph-governed positioning so the avatar doesn't drift as it moves through a scene. Both reuse infrastructure built for an unrelated purpose (print and diagram registration) rather than introducing avatar-specific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callout in §46.10.8 states explicitly what was not added: no pore-level detail, no hair-strand simulation, no muscle or FACS simulation, no physics-based cloth, no rigging beyond what Face-on-Avatar mode already does. This is an accuracy-and-stability improvement to existing, disclosed, consented compositing — not new reconstruction fidelity.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every declined-technology term (hair-strand, muscle, pore-level, rigging, FACS) appears exactly once in the new content — inside the exclusion statement itself, not as newly introduced architecture.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39</w:t>
      </w:r>
    </w:p>
    <w:p>
      <w:pPr>
        <w:spacing w:after="120" w:line="360" w:lineRule="auto"/>
      </w:pPr>
      <w:r>
        <w:rPr>
          <w:rFonts w:ascii="Calibri" w:cs="Calibri" w:eastAsia="Calibri" w:hAnsi="Calibri"/>
          <w:b w:val="false"/>
          <w:bCs w:val="false"/>
          <w:i w:val="false"/>
          <w:iCs w:val="false"/>
          <w:strike w:val="false"/>
          <w:color w:val="000000"/>
          <w:sz w:val="22"/>
          <w:szCs w:val="22"/>
        </w:rPr>
        <w:t xml:space="preserve">Evaluated a “Geometric Reasoning Upgrade” submission built on the declined manifold-layer concept (SML/GML/TML/RML) and largely duplicating Chapter 70's already-existing Geometry and Constraint Fact Units under new names (GeometricObject, SceneTopology, SpatialRelation). Neither was carried forward. Found one genuinely new, safely-boundable capability inside the submission and implemented it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§70.9, Geometric Proof Engine — formal, deductive reasoning (angle rules, triangle rules, circle theorems, parallel-line rules) over Geometry and Constraint Fact Units already specified in §70.1–§70.2, not a parallel geometric ontology. The rule set is fixed and enumerable, the same bounded-primitive discipline already applied to QBPL (§48.5).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§70.9.3 carries forward the safety principle already established throughout this Bible: a proof step can derive a new relationship between existing Geometry Fact Units, but cannot introduce a new geometric entity —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Explicitly declined to carry forward: any dependency on a Semantic/Geometric/Temporal/Robotics Manifold Layer (declined in this Bible's history and not reintroduced under a different name here), and a claimed “400%–19,900%” compression improvement figure with no stated methodology — §70.9.4 states directly that this number was not carried forward and that any real compression benefit should be measured and given the same design-target caveat already used for other unvalidated figures (Appendix C, §C.11).</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§70.9 (Summary) to §70.10 to make room, after verifying its only citation was its own heading — continuing the discipline established after the Chapter 47 renumbering mistake.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40</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Implemented a submission directly addressing the seven gaps named in this Bible's own end-of-Pass-39 self-assessment — unlike most submissions this session, this one responded to gaps this Bible itself identified rather than proposing new architecture. Verified rather than assumed clean: two references to the declined manifold-layer concept (“manifold alignment errors” in the debug-mode proposal, “manifold benchmarks” in the validation proposal) were found and not carried forward; everything else in the submission was substantively sound.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71, Universal Accessibility Layer — accessible equivalents (alt-text, scene descriptions, captions, tactile export) required as part of content production, generated from existing Fact Units at the same production stage, not a separate accessibility pass. Reuses the Narrative Graph, ARE Pipeline, and Chapter 70's Geometry Fact Units rather than a parallel content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72, Data Portability and Exit — a comprehensive export guarantee across notes, board activity, ingestion history, and licensed content, in open formats (JSON, EPUB, CSV, glTF/USD), with provenance preserved. Explicitly scoped within Chapter 60's existing rights model, not a bypass of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73, Template Debug Mode — closing the gap flagged twice previously (Pass 34, Pass 39). Observes real execution of QBPL, the ARE Pipeline, and IQR composition with additional visibility, deliberately not a simulated environment that could diverge from real behavior. The submission's “manifold alignment errors” inspection view was dropped along with the concept it depended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74, Multi-Author Collaboration — optimistic concurrency with explicit Fact-level locking, and conflict resolution reusing each content type's own existing detection mechanism (VersionChain divergence for text, Registration drift detection for geometry, branch preservation for Scenario Graphs) rather than a new diff engine per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75, Moderation Appeals — a formal appeals workflow with mandatory human review, explicitly scoped to reviewing how a Safety Substrate rule was applied to a specific case, not whether the rule should exist — that question remains Chapter 66's Improvement Proposal Pipeline, with its own separate human gate.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76, Platform Internationalization — localizes platform UI and mandatory disclosures, explicitly not a book's own authored content (a publisher decision, Chapter 60) and explicitly one safety standard expressed correctly in every language, not different rules per locale — stated directly since the distinction is easy to misread.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Chapter 77, Validation and Benchmarking — a formal process for validating or retracting the many design-target figures already scattered through this Bible (Appendix C, Chapter 4, §7.2.3, Chapter 10, Chapter 16, Chapter 70), reusing Chapter 69's existing Slice measurement rather than a separate benchmarking mechanism. Introduces no new performance claims of its own.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table-formatting bug (a row missing its third column, in §77.1's benchmark table) was caught during this pass's own bug-check pipeline and fixed before insertion,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78, QueryBook AI Evolution, in response to a request for agents assigned to every major system, developing improvements in a sandbox, and recommending integration after testing and human admin approval. That request describes the Improvement Proposal Pipeline (Chapter 66) already fully specified in this Bible — this chapter names and organizes it, rather than building a new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§78.1 assigns seven representative System Agents to already-specified subsystems (Ingestion, Reasoning, Response Generation, Rendering, Geometry, Robotics, Accessibility), each scoped to that subsystem's own existing telemetry — Chapter 69's Slice Categories, Chapter 70's drift findings, Chapter 71's accessibility coverage. The list is explicitly representative, not exhaustive, following the same extensibility pattern already established for Slice Categories.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§78.3 states directly, three separate times in three separate ways, that no System Agent approves its own proposal, can target another agent's scope or Chapter 66's own gate, or can touch anything on §66.8's Permanent Exclusions list. This repetition is deliberate: the chapter's name (“AI Evolution”) could otherwise be read as implying broader autonomy than what's actually being specified.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Unicode encoding error (an angle-bracket character, ⟨, inserted in place of an apostrophe in the TOC entry's descriptive note) was introduced while writing this pass and caught during placement verification, before the document was rebuilt — not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§78.6, Human-Directed Proposals, in response to a direct question about whether a person can specify an improvement direction before sandbox development happens, rather than waiting for a System Agent's telemetry to surface it. This was a real, narrow gap: §66.1's Candidate Identification was framed entirely around agents noticing patterns in existing telemetry.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License Owner with an entitled Role (Chapter 65, Chapter 67) can now submit a Proposal Fact Unit (§66.2) directly, stating what they want investigated before any telemetry pattern exists. From that point, the proposal enters the exact same pipeline as any System Agent's — Simulation Sandbox (§66.3), automated pre-screening against §66.8's Permanent Exclusions (§66.4), and the Human Review Gate (§66.5). No expedited path, no different threshold.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§78.6.2 states explicitly that directing a proposal and approving it are two separate steps even when the same admin holds both roles — the review step still has to actually happen, not be assumed satisfied because the same person asked for the investigation.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§78.6 (Summary) to §78.7 to make room, after verifying its only citation was its own heading.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79, Formal Verification Layer, integrating Lean-based formal proof with QBPL (Chapter 48), WATCH programs (§49.4), the Improvement Proposal Pipeline (Chapter 66), and QueryBook AI Evolution (Chapter 78) — additive to every mechanism it touches, per the standing discipline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§79.1 scopes what is actually formally tractable: termination of REPEAT-UNTIL-BOUND loops, well-formedness and Scope compliance of WATCH program triggers, and non-interference between a proposal's Scope and §66.8's Permanent Exclusions list — all precisely specifiable properties over QBPL's fixed, non-Turing-complete primitive set (§48.5), which is what makes formal verification tractable here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§79.2 places verification inside existing gates rather than creating new ones: the Verification and Confirmation Gate (§48.4.1) for compiled programs, WATCH Program Registry admission (§49.5) for triggers, and Automated Pre-Screening (§66.4) for proposals touching QBPL or WATCH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§79.5 states directly what does not change: the Human Review Gate (§66.5) still evaluates every proposal, with a proof as additional evidence rather than a substitute for judgment; the Permanent Exclusions list (§66.8) remains unreachable by any proposal regardless of whether a proof could theoretically be constructed for it, because such a proposal never passes pre-screening far enough to reach the verification step; and natural-language generation (Discussion Mode, the Narrative Graph) is explicitly out of scope, governed by the Factual Groundedness metric already specified elsewhere, not by a Lean proof.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insertion: no existing chapter's specification was modified; verification runs as an added step inside pipelines that already existed.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44</w:t>
      </w:r>
    </w:p>
    <w:p>
      <w:pPr>
        <w:spacing w:after="120" w:line="360" w:lineRule="auto"/>
      </w:pPr>
      <w:r>
        <w:rPr>
          <w:rFonts w:ascii="Calibri" w:cs="Calibri" w:eastAsia="Calibri" w:hAnsi="Calibri"/>
          <w:b w:val="false"/>
          <w:bCs w:val="false"/>
          <w:i w:val="false"/>
          <w:iCs w:val="false"/>
          <w:strike w:val="false"/>
          <w:color w:val="000000"/>
          <w:sz w:val="22"/>
          <w:szCs w:val="22"/>
        </w:rPr>
        <w:t xml:space="preserve">Made a small, historically-motivated terminology correction to §7.1 and §7.2.4, prompted by a legitimate point raised in an unrelated video comment: John Hopfield's 1982 paper was not the first description of the associative-memory-network formalism popularly named after him. Materially similar or identical models were proposed earlier by Marr (1971), Nakano (1972), Amari (1972), Little (1974), and Stanley (1976). This is attribution precision, not an architecture change — the Attractor Network's dynamics, equation, and capacity bound are all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§7.1's introductory NCL description and §7.2.4's Attractor Network definition now name the mechanism as an associative memory network, of the class popularly known as Hopfield networks, with the fuller lineage cited once at §7.2.4.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Left unchanged, deliberately: the 0.14N capacity bound citation at §7.6.3, since that specific figure is Hopfield's own attributed 1982 result, not the broader formalism generally; and the prior-art comparison list citing “Hopfield Networks” by its common industry name, appropriate in a comparison-to-existing-technology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Also evaluated and declined in the same review: an unbounded “Lean Agent Network” proposal whose “AI-Assisted Proof Repair” component described an AI generating candidate fixes and Lean verifying them with no human step anywhere in the loop — the same autonomous-self-modification shape already declined multiple times in this Bible's history, this time with formal verification attached to it rather than a Fitness Score. Chapter 79, added the previous pass, already specifies the sound version: Lean proof as evidence for the existing Human Review Gate (§66.5), never a replacement for it. Also declined: treating an unrelated third party's investor-outreach messaging as relevant to this Bible, particularly where doing so would have required treating UFCS and FQL as QueryBook's proprietary technology — both were permanently removed from this architecture in Pass 6 and confirmed absent repeatedly since.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80, Human Reasoning and Motivation Modeling, in response to a direct question about whether QueryBook could be used to understand self-motivated, goal-driven human reasoning — distinguished carefully from a separately-evaluated proposal for QueryBook itself to become an autonomous, self-motivated agent, which was declined in the same review that identified this chapter's real, safe alternative.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§80.1 adds Goal and Motivation Fact Unit types, each requiring a Subject reference — every instance describes a documented person, character, or entity in the Fact Graph, never QueryBook's own state. A StatedOrInferred field keeps a directly-stated goal distinguishable from an inferred one, rather than collapsing both into a single confidence number.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§80.2 reuses the Scenario Graph's existing PLANNING type (Chapter 11) and WASM's Affordance layer (§53.3) to represent how a subject pursued a goal — grounded in what options were actually documented as available to them, not open-ended hypothetical psychology.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§80.3 wires this into four already-existing surfaces — Standard Q&amp;A, Discussion Mode, Tutorial Mode and Comprehension Check, and Semantic Exploration — rather than adding a new Interactive Mode; a Goal or Motivation Fact Unit is queryable and connects into the Ontology Mesh the same way any other fact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chapter's opening callout states the safety distinction directly and names the declined proposal by consequence rather than assuming the distinction is self-evident: this models a subject, never QueryBook itself, and is not a narrower version of the declined autonomous-agent proposal wearing an academic framing.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literal Unicode escape sequence (\u27e8 typed instead of an apostrophe) was caught in the TOC entry's descriptive note before it was written to the document, not after — the same class of error made once already in Pass 41 and, this time, using explicit character codes instead of literal escape text to avoid a third occurrence.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46</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resubmission of a document already fully analyzed two passes earlier (same 13 categories, same Prime-Directive-first framing, same content word-for-word). Did not re-run the full comparison; focused specifically on the one requested area — ingestion — and the one term from that list not previously resolved: “Open Claw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Confirmed a real, narrow gap: §4.2's eight modalities end at Bit 7 (Code) with no stated behavior for content that doesn't cleanly resolve to any of them. Added §4.2.1, Content Outside the Eight Modalities, specifying best-effort classification first, and a non-silent halt — not a silent drop, not a forced fit — where no reasonable classification exists, consistent with the same non-silent-failure discipline already applied to ΔE validation (§70.3), registration drift (§70.4), and NLPL's ambiguity halt (§48.4.1).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Deliberately did not adopt “Open Claw” as terminology — it isn't a grounded term I could verify the meaning of, and §4.2.1's callout states explicitly that this is a classification fallback for the existing eight modalities, not a ninth, open-ended ingestion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else in the resubmitted document — the AGI-convergence category (self-motivated goals, curiosity, memory reset) — remains addressed as already established: the safe, content-modeling version is Chapter 80; an autonomous, self-motivated QueryBook itself remains declined, unchanged from the prior review.</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§49.3.3.6 and §49.3.3.7, an Autonomous Agent Connector, after a request to give QueryBook “OpenClaw type control” — native login, browser automation, and general device manipulation — was verified (OpenClaw is a real, fast-growing, open-source autonomous agent platform) and declined for the same reason a general-purpose account/device-control capability has been declined throughout this Bible's history: unscoped, human-mimicking authority with no declared action boundary.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 specified instead directs specific, QBPL-compiled actions (§48.3) through a registered external agent, following the existing §49.3.3.1 contract exactly — capability declaration, authentication, data mapping — rather than QueryBook adopting the connected platform's own broad authority. §49.3.3.6 states this distinction as the connector's defining property: directed delegation, never adopted authority.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§49.3.3.7 records the specific reasoning for declining native integration, including a concrete, current research finding: an independent study evaluating this exact class of tool's controllability found that safety-oriented guardrails produced only marginal reductions in unsafe-action rates, with several risk categories remaining high even with mitigation applied — cited here as a documented, present-day limitation, not a hypothetical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action directed through this connector is logged to the Provenance Ledger (Chapter 5) with the specific request and result, the same audit discipline already required of every other consequential action in this Bible.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48</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an actual, professional patent search report for UFCS — real prior-art citations, a patent attorney's letterhead, standard USPTO patentability analysis — the first genuinely verifiable technical source for this technology in this Bible's history, after 47 passes in which every prior submission mentioning UFCS/FQL was either an unverified feature list or was declined outright. Added Chapter 81, UFCS/FQL as an Optional External Resource, built directly from this document's actual technical claims rather than from a feature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§81.1 describes UFCS/FQL accurately from the source report: a hypergraph-substrate retrieval system with the Fact Atom as its retrieval unit, supporting hyperedge pattern matching, predictive fact retrieval, contradiction-cluster retrieval, domain-calibrated ranking, and hyperchain-path explainability.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§81.2 states directly, for every capability that overlaps conceptually with something QueryBook already does, which existing chapter already covers it and how the mechanisms differ — predictive retrieval against the Predictive Inference Engine (Chapter 10) and AEM (Chapter 15), explainability against the Provenance Ledger (Chapter 5), multi-entity relationships against the Ontology Mesh (Chapter 6) — so connecting UFCS is understood as adding a second, alternative resource, not completing something QueryBook otherwise lacks.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§81.3 connects UFCS through the existing Source Connector Registry (§49.3.3), following the identical contract already used for the Database, API Feed, and Autonomous Agent Connector examples — no new registration model, Fact Unit schema, or retrieval mechanism was introduced into QueryBook's 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§81.4 states explicitly that this chapter offers no patent-strategy or claim-drafting advice for either QueryBook's or UFCS/FQL's own patent applications — that judgment belongs to qualified patent counsel, not this specification.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after insertion: every one of the 29 UFCS/FQL references elsewhere in this document remains historical changelog text documenting the Pass 6 removal and subsequent declines — none of Chapters 1 through 80 were modified to reference or depend on Chapter 81.</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49</w:t>
      </w:r>
    </w:p>
    <w:p>
      <w:pPr>
        <w:spacing w:after="120" w:line="360" w:lineRule="auto"/>
      </w:pPr>
      <w:r>
        <w:rPr>
          <w:rFonts w:ascii="Calibri" w:cs="Calibri" w:eastAsia="Calibri" w:hAnsi="Calibri"/>
          <w:b w:val="false"/>
          <w:bCs w:val="false"/>
          <w:i w:val="false"/>
          <w:iCs w:val="false"/>
          <w:strike w:val="false"/>
          <w:color w:val="000000"/>
          <w:sz w:val="22"/>
          <w:szCs w:val="22"/>
        </w:rPr>
        <w:t xml:space="preserve">Closed a genuine gap flagged in conversation, not in a submitted document: whether the design makes clear that primary initial ingestion is an author uploading an already-complete ebook at the Author Portal. It did not — §61.1 connected the Author Portal to the Ingestion Pipeline only through the Manuscript Editor, an incremental in-app drafting surface, leaving the far more common case of a finished-file upload undocumented as a distinct path.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§61.1.1, Uploading an Existing, Complete Manuscript, stating directly that this is the primary initial ingestion pathway for the repository, not a secondary case — most authors arrive with a finished file, not a blank page.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section introduces no new mechanism: same Multimodal Ingestion Pipeline (§4.2), same DraftStatus: DRAFT tagging, same classification fallback (§4.2.1) for content that doesn't cleanly resolve, same Rights Validation Gate (§60.2) before repository entry. Its callout states this explicitly — same pathway, different cadence, one ingestion event instead of many.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Recommends applying Narrative Coherence Checking (§61.2) to a freshly-uploaded manuscript specifically to verify accurate extraction before submission — a large single-event ingestion has more surface area for a misclassified chapter than an incremental edit does, worth naming as a practical use of an already-existing tool rather than leaving it unstated.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82, Supplemental Content and Private Messaging, closing two gaps surfaced while grounding a description of the portal experience: neither capability existed before this pass, though both were described as if they already did.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§82.1 lets an author attach supplemental material — behind-the-scenes commentary, production notes, added context — to a published book through the identical pathway already specified for manuscript upload (§61.1.1), distinguished only by a new ContentRole field (CORE vs. SUPPLEMENTAL). Explicitly not a second book: no separate Submission Intake cycle, no separate Rights Validation Gate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§82.2 adds a DirectMessage Fact Unit type for private, one-to-one communication — the first messaging capability in this Bible that isn't board-scoped (Chapter 64). Subject to identical Safety Substrate enforcement, a block mechanism enforced at the AccessControlList level, and the existing Moderation Appeals process (Chapter 75) for disputes.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Declined in the same review, pending a deliberate scoping decision rather than built unilaterally: general merchandise sales beyond the book itself. Chapter 60 is specifically print production and distribution of the work; a broader commerce marketplace involves payment processing and physical fulfillment considerations this Bible has not yet scoped, and folding it in without that discussion would repeat the exact mistake this Bible's history has repeatedly corrected — describing a capability into existence rather than deciding to build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83, Instructor-Created Tours and Teaching Material, after verifying a real gap before writing a requested book section on author and educator portal use: Tours (§46.9) are explicitly author-curated, and Supplemental Content (§82.1) is explicitly author-scoped, leaving an instructor teaching a book they didn't write with no way to build their own teaching material from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§83.1 lets an instructor — the contextual capability already defined at §65.3, not a new role — build an Instructor Tour (resequencing existing IQR scenes) and Instructor Notes (class-scoped annotations), both requiring no permission from the book's author because neither touches the author's own content or rights.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§83.2 requires non-removable attribution distinguishing instructor-created material from the author's own curation, using the identical disclosure discipline already established for Presenter Mode (§46.10.6) — a student always knows whose curation they're experiencing.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§83.3 keeps Presenter Mode strictly author-exclusive: an instructor narrating their own Tour must hold their own separate Presenter authorization and cannot invoke the book author's voice or likeness merely by virtue of teaching that author's work.</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52</w:t>
      </w:r>
    </w:p>
    <w:p>
      <w:pPr>
        <w:spacing w:after="120" w:line="360" w:lineRule="auto"/>
      </w:pPr>
      <w:r>
        <w:rPr>
          <w:rFonts w:ascii="Calibri" w:cs="Calibri" w:eastAsia="Calibri" w:hAnsi="Calibri"/>
          <w:b w:val="false"/>
          <w:bCs w:val="false"/>
          <w:i w:val="false"/>
          <w:iCs w:val="false"/>
          <w:strike w:val="false"/>
          <w:color w:val="000000"/>
          <w:sz w:val="22"/>
          <w:szCs w:val="22"/>
        </w:rPr>
        <w:t xml:space="preserve">Responded to a broad “fill in all gaps” request by scoping it explicitly to the Portal Experience domain actually under discussion — Author, Reader, Publisher, and Instructor — rather than an unbounded audit of the full Bible, consistent with this project's standing discipline against inventing architecture nobody asked for. Confirmed §60.6 Market Analytics is already fully specified, not a gap. Found one genuine, well-evidenced gap and closed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§74.3's Multi-Author Collaboration conflict-resolution table was built in Pass 40, before Tours (§46.9) or Instructor Tours (§83, added this session) existed as author-curated objects — leaving no specified conflict handling for two co-authors, or two co-instructors, concurrently editing the same Tour's Waypoint sequence. Added a fourth table row extending the identical VersionChain-divergence-and-preservation mechanism already used for narrative text, rather than inventing new conflict logic.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new row states explicitly that Presenter narration authorization is never merged or transferred between conflicting Tour versions — each preserved version retains only the narration its own author or instructor actually authorized, consistent with §46.10.1 and §83.3's existing rule that authorization is never inherited.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gap in this domain was identified with comparable evidence during this pass; nothing else was added speculatively to appear more thorough.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53</w:t>
      </w:r>
    </w:p>
    <w:p>
      <w:pPr>
        <w:spacing w:after="120" w:line="360" w:lineRule="auto"/>
      </w:pPr>
      <w:r>
        <w:rPr>
          <w:rFonts w:ascii="Calibri" w:cs="Calibri" w:eastAsia="Calibri" w:hAnsi="Calibri"/>
          <w:b w:val="false"/>
          <w:bCs w:val="false"/>
          <w:i w:val="false"/>
          <w:iCs w:val="false"/>
          <w:strike w:val="false"/>
          <w:color w:val="000000"/>
          <w:sz w:val="22"/>
          <w:szCs w:val="22"/>
        </w:rPr>
        <w:t xml:space="preserve">Received a large patent-style submission built around blockchain- and NFT-anchored provenance as its central mechanism (“NFT Certification Layer,” “NFT Registry,” “Deferred Minting Mode,” multi-chain anchoring across Ethereum, Polygon, and Solana). None of it was adopted — this is the same rights-tokenization concept declined at this Bible's earliest passes and every time it has resurfaced since, under whatever name. Chapter 5's Merkle DAG Provenance Ledger already provides tamper-evident, cryptographically verifiable provenance with no blockchain dependency, continuous or deferred.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genuinely novel, narrow, non-blockchain-dependent ideas were extracted and added as Chapter 84. §84.1, Session Books, gives a reader a temporary, purgeable, task-scoped subset of the Fact Graph for short-term research — built on the existing reference-based pattern already used for Scenario Graph Knowledge State Snapshots (Chapter 11), not a copy of the underlying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§84.2, Instructor-Customized Assessment Templates, lets an instructor (§65.3) define a reusable Comprehension Check format — difficulty, question count, structure — scoped to their own class. A template constrains structure, never content; every generated question remains grounded in the book's own Fact Graph exactly as Comprehension Check (§52.13.2) already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chapter's opening callout explains directly why several ideas in the source submission weren't gaps at all — they solve a connectivity problem for a blockchain mechanism this Bible has never had, when §68's Offline Operation Layer already handles offline provenance verification without blockchain of any kind.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54</w:t>
      </w:r>
    </w:p>
    <w:p>
      <w:pPr>
        <w:spacing w:after="120" w:line="360" w:lineRule="auto"/>
      </w:pPr>
      <w:r>
        <w:rPr>
          <w:rFonts w:ascii="Calibri" w:cs="Calibri" w:eastAsia="Calibri" w:hAnsi="Calibri"/>
          <w:b w:val="false"/>
          <w:bCs w:val="false"/>
          <w:i w:val="false"/>
          <w:iCs w:val="false"/>
          <w:strike w:val="false"/>
          <w:color w:val="000000"/>
          <w:sz w:val="22"/>
          <w:szCs w:val="22"/>
        </w:rPr>
        <w:t xml:space="preserve">Directly addressed a follow-up argument that ebooks now and in the future will require NFTs, rather than repeating the prior pass's decline unchanged. Verified the premise by search rather than asserting from either side: NFT-based ebook distribution is real and has genuine, if minority, adoption (one platform alone has sold over 130,000), but the most current source found states plainly that the industry conversation has moved from “every book belongs on a blockchain” to a narrower question — confirming NFTs are one optional distribution model, not an emerging requirement.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Separated three needs that had been bundled together as if they required one solution: ownership verification (already solved, blockchain-free, by Chapter 67's License and Entitlement Management), media packaging (already solved by Chapter 4's ingestion pipeline and §82.1's Supplemental Content), and resale/transfer of a digital copy — the one genuine capability conventional licensing doesn't provide, and the only one of the three actually addressed by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§49.3.3.8, a Blockchain Ownership-Verification Connector, following the identical external-connector pattern already established for UFCS/FQL (Chapter 81) and the Autonomous Agent Connector (§49.3.3.6) — a publisher may register an external NFT-verification service for a specific title's resale capability, with Chapter 67 remaining the default, blockchain-free entitlement system for every other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new section's callout states explicitly that this is not a reversal of the standing exclusion on blockchain as QueryBook's own rights-tracking mechanism, declined at this Bible's earliest passes and reaffirmed the previous pass: QueryBook remains the requesting party asking an external service to verify a transfer, never the operator of blockchain infrastructure itself, and registering the connector is a per-title publisher choice, never a platform default.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55</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Reconsidered directly whether Instructor should become a fifth top-level Role, prompted by a request to resolve “the lack of instructor role” while minimizing complexity. Concluded the opposite of the premise: converting to a formal Role would mean retrofitting four already-built chapters (Chapter 62, §64.1, Chapter 83, §84.2) that all depend on the contextual-capability model working exactly as §65.3 already specifies, and the new Role would still need the identical per-class scoping logic bolted back on. §65.3 was reaffirmed, not changed.</w:t>
      </w:r>
    </w:p>
    <w:p>
      <w:pPr>
        <w:spacing w:after="120" w:line="360" w:lineRule="auto"/>
      </w:pPr>
      <w:r>
        <w:rPr>
          <w:rFonts w:ascii="Calibri" w:cs="Calibri" w:eastAsia="Calibri" w:hAnsi="Calibri"/>
          <w:b w:val="false"/>
          <w:bCs w:val="false"/>
          <w:i w:val="false"/>
          <w:iCs w:val="false"/>
          <w:strike w:val="false"/>
          <w:color w:val="000000"/>
          <w:sz w:val="22"/>
          <w:szCs w:val="22"/>
        </w:rPr>
        <w:t xml:space="preserve">Identified the real underlying gap instead: no way to see every class a person currently holds instructor privileges for in one place. Added Chapter 85, Instructor Grant Visibility, to close it — a read-only dashboard, not a new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§85.1 aggregates existing per-class grant records into a single view — class name, Class Board activity, Instructor Tours, and assessment templates for each class the viewer currently teaches — querying data that already exists through Chapters 62, 64, 83, and 84 rather than duplicating or restructuring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§85.2 states directly what this chapter refuses to add: no Instructor Role, no new permission, no cross-class merging of what remain genuinely separate, per-class-scoped objects. The chapter's own callout notes it would have nothing left to display if every underlying grant it reads from were deleted — it has no independent existence apart from §65.3's grants.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86, System Identity and Positioning, after an external summary of QueryBook was submitted for adoption “wherever QueryBook is summarized” and, on review, contained multiple overclaims and one significant reintroduction of previously-declined territory. Declined wholesale adoption; built a corrected, canonical consolidation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§86.2 restates five real differentiators — structural groundedness, the Dual-Brain Architecture, human-gated self-improvement, bounded natural-language programming, and directed delegation to external systems — each cited to its actual chapter, correcting imprecise or invented framings along the way (“meaning-level vs. world-model reasoning” for the Dual-Brain Architecture is not accurate; the real architecture is the Semantic Brain / World Brain Predictive Coding hierarchy of §41.11.2 and Chapter 58).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§86.3 corrects four specific mischaracterizations by name: “no hallucinations” as an absolute claim (the real claim is the scoped, structural groundedness property); “encrypted Fact Units” (not a real schema property — only opt-in reader history encryption, §36.8, is real); “teacher-in-a-box” (the real Instructor capability is additive to human instruction, never a replacement); and “control robots,” “coordinate multi-robot fleets,” and “scan multi-camera feeds for hazards” — general, unscoped device and surveillance authority that does not exist in this Bible. The real capability, §49.3.3.6's directed delegation of specific declared actions, is the same distinction already drawn when a comparable proposal was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§86.5 states this chapter's intended role directly: future summaries of QueryBook, wherever they occur,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57</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genuine gap surfaced while declining a submission that fabricated a “hypergraph world-view model” by conflating WVM (§42.2.1, real) with the Attractor Network (Chapter 7, real, but a different system) and reintroducing the same broad robotics-control claims already declined and corrected in Chapter 86. Verified §42.2.5, the Semantic Consistency Engine, is a genuine one-sentence stub — named and functionally scoped, but with no specified trigger or mechanism, unlike §42.2.6 immediately following it, which already redirects to existing chapters rather than standing unspecified.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§42.2.5.1, specifying the engine as event-triggered, deterministic validation logic running whenever WVM's Ontology Layer, Causal Graph, or Temporal Model changes — not a continuously-running process, and explicitly not a dynamical system with its own attractors or convergence behavior.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of the engine's four named checks now reuses an already-specified mechanism rather than inventing new logic: non-contradiction reuses the Cross-Domain Rule Engine's existing Conflict Index (Chapter 17); causal coherence, temporal alignment, and ontological validity each validate against WVM's own existing Causal Graph, Temporal Model, and Ontology Layer respectively.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before insertion: no reference to “hypergraph,” “world-view model” as a cognitive-dynamics system, or unscoped robotics control appears anywhere in the new content — the fabricated framing from the declined submission was not carried forward in any form.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87, Live Interaction Voice Signal Analysis, after a scoping conversation about voice/emotion inference across two related submissions — one of which had already misdescribed this as a much larger, elaborately brain-region-mapped system. Verified first that ingested-content prosody analysis already exists (§4.3.4, sentiment and prosody analysis from speech); no new architecture was needed there. The genuine gap was narrower: nothing analyzed a live, present user's own voice during an active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§87.2 requires the analyzed user's own explicit, opt-in, revocable consent before any live voice analysis occurs — disabled by default, disclosed in plain terms before opt-in, and halting immediately on revocation. This is the same authorization discipline already established for Presenter Mode (§46.10.1), adapted for analysis input rather than generation output; the distinction from ingested-content analysis (which requires no additional consent, being already governed by Chapter 60's rights model) is stated explicitly in the chapter's opening callout.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§87.3 reuses the Clarification Generation Engine's existing trigger mechanism (§37.4) rather than building a parallel decision system — a detected prosodic signal becomes an additional, optional input alongside CGE's existing query-ambiguity and coreference-failure triggers, with no change to CGE's existing behavior otherwise.</w:t>
      </w:r>
    </w:p>
    <w:p>
      <w:pPr>
        <w:spacing w:after="120" w:line="360" w:lineRule="auto"/>
      </w:pPr>
      <w:r>
        <w:rPr>
          <w:rFonts w:ascii="Calibri" w:cs="Calibri" w:eastAsia="Calibri" w:hAnsi="Calibri"/>
          <w:b w:val="false"/>
          <w:bCs w:val="false"/>
          <w:i w:val="false"/>
          <w:iCs w:val="false"/>
          <w:strike w:val="false"/>
          <w:color w:val="000000"/>
          <w:sz w:val="22"/>
          <w:szCs w:val="22"/>
        </w:rPr>
        <w:t xml:space="preserve">Declined in the same review, per explicit instruction: incorporating NFT minting, autonomous self-evolution, unscoped robotics control, or manifold-based world modeling from either submission under corrected terminology. These were identified as substantive, previously-declined capabilities, not naming problems, and a naming-only correction does not reopen them.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59</w:t>
      </w:r>
    </w:p>
    <w:p>
      <w:pPr>
        <w:spacing w:after="120" w:line="360" w:lineRule="auto"/>
      </w:pPr>
      <w:r>
        <w:rPr>
          <w:rFonts w:ascii="Calibri" w:cs="Calibri" w:eastAsia="Calibri" w:hAnsi="Calibri"/>
          <w:b w:val="false"/>
          <w:bCs w:val="false"/>
          <w:i w:val="false"/>
          <w:iCs w:val="false"/>
          <w:strike w:val="false"/>
          <w:color w:val="000000"/>
          <w:sz w:val="22"/>
          <w:szCs w:val="22"/>
        </w:rPr>
        <w:t xml:space="preserve">Ran a full Bible-wide integrity sweep at the user's request: structural XML validity, chapter and pass numbering uniqueness, cross-reference validity, and terminology contamination (FQL/QBQL boundary, NFT scoping, blanket-encryption and absolute-hallucination-prevention claims). Structural integrity, pass numbering, FQL/QBQL, and NFT scoping all checked clean across the full document. Two real defects found and fixed; one significant error in this session's own recent work identified and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broken citation — “Zero-Knowledge Encryption scheme (§36.7)” — pointed to a chapter that does not exist. Investigation found ZKE was referenced throughout Chapter 36 (§36.2's SAFU schema, §36.7's Right-to-Erasure Protocol, §36.8's History Interface) but never formally defined anywhere. Added §36.1.1, a proper definition consolidating what those three sections already established, and corrected the citation to point to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genuine naming collision was confirmed: “ARE” refers to two distinct, real, independently-specified systems — the Associative Recall Engine (§41.4.2, pre-activation) and the Adaptive Response Engine (§52.8, response composition). Added §2.2 to the Canonical Terminology Glossary disambiguating both by name, with a standing instruction to cite the full name or section number rather than the bare acronym in any context intended to stand alone.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significantly: this sweep surfaced that Chapter 41, “QueryBook Predictive Cognitive Architecture (PCA),” already and legitimately specifies nearly everything this session declined two passes ago as fabricated — TMM, CSW, HEP, PPRE, SCV, AIQG, and the broader Thousand Brains/Predictive Coding framing, organized as “eight existing mechanisms, four additions, and three amplifications,” explicitly stated in the chapter's own text as “a patentable architectural claim in its own right.” This session's characterization of that content as unverified was incorrect. The cautionary note in the most recently-delivered patent document, declining to describe a point-by-point neuroscience correspondence, was accordingly too conservative and will be corrected when the new provisional patent application is built next.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One item remains genuinely unresolved rather than force-closed: chapter numbers 21–35 and 38 do not exist as titled chapters. Appendices A–H exist and may account for this reserved range, but this could not be fully verified from the current file alone and is flagged for confirmation rather than assumed.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60</w:t>
      </w:r>
    </w:p>
    <w:p>
      <w:pPr>
        <w:spacing w:after="120" w:line="360" w:lineRule="auto"/>
      </w:pPr>
      <w:r>
        <w:rPr>
          <w:rFonts w:ascii="Calibri" w:cs="Calibri" w:eastAsia="Calibri" w:hAnsi="Calibri"/>
          <w:b w:val="false"/>
          <w:bCs w:val="false"/>
          <w:i w:val="false"/>
          <w:iCs w:val="false"/>
          <w:strike w:val="false"/>
          <w:color w:val="000000"/>
          <w:sz w:val="22"/>
          <w:szCs w:val="22"/>
        </w:rPr>
        <w:t xml:space="preserve">Investigated a request to elevate several features (Prime Directive, WVM, Fact Unit examples, multi-language, encryption/access control, directed-delegation connectors) to “core, primary, prioritized” status. Checked each against its actual current position before changing anything, rather than assuming the premise. Most were already appropriately core: the Prime Directive is already Domain 0 with universal, no-exemption scope; multi-language (Chapter 16), encryption (§36.1.1), access control (Chapter 65), and directed delegation (§49.3.3.6) are all already in core-numbered chapters, not buried anywhere. Two genuine gaps were found and closed.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3 (Fact Unit Structure), 132,000+ characters specifying the Fact Unit schema in complete precision, contained zero worked examples anywhere. Added §3.2, a worked example applying the schema to a concrete assertion — entity resolution, Fact Unit construction, deterministic retrieval, and version-chained revision — immediately following the schema table it illustrates.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(World-View Model, §42.2.1) is real, native, foundational architecture, but was mentioned nowhere outside Chapter 42's technology inventory — not in Chapter 1's own introduction. Added §1.4, naming the Fact Unit, Ontology Mesh, and WVM together as the three foundational systems a first-time reader should know about, with a pointer to §44's Video Colorization and Upscaling Module as a concrete example of a later chapter already building on WVM directly.</w:t>
      </w:r>
    </w:p>
    <w:p>
      <w:pPr>
        <w:spacing w:after="120" w:line="360" w:lineRule="auto"/>
      </w:pPr>
      <w:r>
        <w:rPr>
          <w:rFonts w:ascii="Calibri" w:cs="Calibri" w:eastAsia="Calibri" w:hAnsi="Calibri"/>
          <w:b w:val="false"/>
          <w:bCs w:val="false"/>
          <w:i w:val="false"/>
          <w:iCs w:val="false"/>
          <w:strike w:val="false"/>
          <w:color w:val="000000"/>
          <w:sz w:val="22"/>
          <w:szCs w:val="22"/>
        </w:rPr>
        <w:t xml:space="preserve">No other structural changes were made. Elevating already-correctly-positioned content would have been change for its own sake, not a genuine correction.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88, Contextual Commerce Layer, after a scoping conversation about including ecommerce and advertising, based on query subject matter, in the design. Confirmed neither existed anywhere in the Bible before building — general merchandise sales had been explicitly declined pending a scoping decision that was never made, and query-linked advertising had never been evaluated. Built to preserve, rather than weaken, the structural-groundedness guarantee (Chapter 16) and the Prime Directive (Domain 0) that commercial content could otherwise put pressure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§88's opening callout states the core design discipline directly: the grounded answer's retrieval, ranking, and ConfidenceScore computation complete and finalize before the commerce layer is invoked at all, which receives only the query's resolved concept_id as read-only input with no write path back into the answer pipeline. This is enforced by pipeline ordering, not by a policy instruction an operator could misconfigure.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explicit instruction, both real commerce models are supported at the operator's per-deployment choice: author/publisher-linked content, and third-party affiliate/ad network content connected through the same capability-declared connector architecture (§49.3.3) used for any other external system — with the external network never given access to the query text, the grounded answer, or any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§88.4 requires full operator visibility per explicit instruction: every commercial display event is logged with the triggering concept_id, the content shown, its source, and a timestamp — the same logged-with-identity-and-reason discipline already applied to moderation actions and improvement-proposal decisions.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§88.5's non-interference guarantee is stated as non-configurable, distinct from §88.2's source-type selection — an operator may choose which commerce sources are active, but may not disable the barrier between commercial signal and the grounded answer under any configuration.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§88.8 and §88.9 to Chapter 88 after explicit direction that ecommerce/advertising is a real monetization requirement, and that processing needs metering weights. Renumbered the chapter's existing §88.6 (Integration Requirements) and §88.7 (Summary) to §88.10 and §88.11 to keep Summary last, consistent with every other chapter's convention — only two headings needed renumbering, both single-occurrence, verified before editing.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§88.8 defines a Commerce Slice under Chapter 69's own extension pattern — §69.2 already states a chapter may name its own Slice Category without modifying Chapter 69 itself, and §69.2.1 already demonstrates this precedent (Scheduler Slice, Recovery Slice). The Commerce Slice's priority is set strictly below every safety-relevant category, non-configurably, and its failure mode is specified as silent omission of the commerce region — a slow or failed third-party network call never delays or degrades the grounded answer.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§88.9 adds the selection mechanism a real bid/auction-style monetization model actually requires: where multiple candidates match a resolved concept, a weighted combination of relevance, an operator-configurable source-priority weight, and a third-party bid or revenue-share value determines which candidate is shown. The weights themselves are operator-configurable, since monetization strategy legitimately varies by deployment — what is not configurable is that this weighting operates only on candidates already gathered after the grounded answer completed, with no access to and no effect on Fact Unit retrieval, ranking, or ConfidenceScore. §88.5's non-interference guarantee governs §88.9 exactly as it governs the rest of the chapter.</w:t>
      </w:r>
    </w:p>
    <w:p>
      <w:pPr>
        <w:spacing w:after="120" w:line="360" w:lineRule="auto"/>
      </w:pPr>
      <w:r>
        <w:rPr>
          <w:rFonts w:ascii="Calibri" w:cs="Calibri" w:eastAsia="Calibri" w:hAnsi="Calibri"/>
          <w:b w:val="false"/>
          <w:bCs w:val="false"/>
          <w:i w:val="false"/>
          <w:iCs w:val="false"/>
          <w:strike w:val="false"/>
          <w:color w:val="000000"/>
          <w:sz w:val="22"/>
          <w:szCs w:val="22"/>
        </w:rPr>
        <w:t xml:space="preserve">Selection outcomes and their contributing weighted factors are added to the same operator-queryable audit log already required at §88.4, so monetization tuning and safety auditing share one visibility mechanism rather than two.</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63</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a full advertising technology stack was reviewed and found to reproduce, largely unchanged and with an embedded instruction to skip verification, terminology this Bible's own changelog already records as declined — specifically a “Deployment Slice” meaning autonomous canary rollout with no human step, consolidated and rejected in an earlier pass and confirmed absent since. Per explicit instruction, the underlying capability — continuous, agent-assisted optimization of commerce targeting, bidding, and placement — was not discarded; the bypass was removed by routing it through the pipeline that already exists for exactly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§88.10, Commerce Optimization Proposals, requiring every commerce optimization change — targeting weights, source-priority defaults, bidding behavior — to pass through the Improvement Proposal Pipeline already specified at Chapter 66 in full: Simulation Sandbox (§66.3), Automated Pre-Screening (§66.4), and named human approval at the Human Review Gate (§66.5), with deployment only through §66.6 after approval. No commerce-specific fast path, autonomous rollout, or agent deployment authority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reuses the subsystem-scoped monitoring agent pattern already specified at Chapter 78, with the same no-self-approval, no-peer-approval constraint already established there — nothing new was invented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§88.5's non-interference guarantee and §88.8's Commerce Slice priority ordering are now stated as joining Chapter 66's own §66.8 Permanent Exclusions on identical terms: never a valid Proposal Scope, regardless of Fitness Score, Risk Profile, reviewer judgment, or demonstrated commercial benefit. This closes a real gap — without this addition, a sufficiently persuasive, human-approved commerce optimization proposal could in principle have targeted the non-interference guarantee itself; it now cannot, structurally, regardless of how compelling its business case.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§88.10 (Integration Requirements) and §88.11 (Summary) to §88.11 and §88.12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64</w:t>
      </w:r>
    </w:p>
    <w:p>
      <w:pPr>
        <w:spacing w:after="120" w:line="360" w:lineRule="auto"/>
      </w:pPr>
      <w:r>
        <w:rPr>
          <w:rFonts w:ascii="Calibri" w:cs="Calibri" w:eastAsia="Calibri" w:hAnsi="Calibri"/>
          <w:b w:val="false"/>
          <w:bCs w:val="false"/>
          <w:i w:val="false"/>
          <w:iCs w:val="false"/>
          <w:strike w:val="false"/>
          <w:color w:val="000000"/>
          <w:sz w:val="22"/>
          <w:szCs w:val="22"/>
        </w:rPr>
        <w:t xml:space="preserve">Reviewed the Rejected Proposals Inventory's 8 “resolved” items against the current Bible directly rather than assuming they were still intact after four subsequent passes: all 8 confirmed present and correct, no drift found. The one genuinely pending item — general merchandise sales — received the same real scoping conversation Chapter 88 itself got before being built, rather than being implemented on assumption.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§88.12, Merchandise Commerce and Fulfillment Handoff, closing the pending item narrowly: merchandise, author/publisher-branded or third-party at the operator's choice, is a valid commerce content type under Chapter 88, subject to the same non-interference guarantee, source labeling, and audit logging already specified for every other commerce content type. No new subsystem was built — this extends what already existed.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specific reason this item had been pending — payment processing and physical fulfillment — is resolved by the same requesting-party-only posture already established elsewhere in this Bible (§49.3.3.8's blockchain connector, §49.3.3.6's directed delegation): QueryBook never captures payment card data, never acts as merchant of record, and never operates fulfillment or shipping logistics, under any operator configuration. This is stated as non-configurable, the same discipline already applied to §88.5's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§88.12 (Summary) to §88.13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89, Native QueryBook Reader, as the deployment embodiment specified after a scoping conversation covering EPUB 3.3 conformance specifically. Verified current W3C status directly before committing to it as a requirement: EPUB 3.3 is the current Recommendation; EPUB 3.4 is in Candidate Recommendation stage, not expected before October 2026, with the specification's own stated backward-compatibility pattern making 3.3 a low-risk foundation for it. Verified separately that EPUB Accessibility 1.1 is now formally part of the EPUB 3.3 standard rather than a companion document.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§89.1 states standards conformance as a hard requirement — the Native Reader is a conformant EPUB Reading System per EPUB Reading Systems 3.3, and QueryBook-specific behavior is carried entirely as ignorable custom data attributes (§89.1.1) over otherwise-valid EPUB 3.3 markup, so a non-QueryBook-aware reader always renders the underlying content correctly.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substantive section (§89.2–§89.10) is deliberately citation-only: each reuses an already-specified mechanism (Chapters 6, 48, 50, 63–64, 68–69, 71, 88; §36.1.1, §36.8, §52.13.x) and introduces nothing new of its own. This was a deliberate scope discipline, not an oversight — §89's opening callout states directly that this chapter's own content is limited to how existing capabilities are surfaced, not what they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§89.8 (Commerce Integration) explicitly carries forward, rather than silently drops, two exclusions already identified in an earlier scoping conversation: no reader-profile-based ad targeting, and no VR-specific ad placement. Both remain flagged as needing their own separate scoping, consistent with how Chapter 88 itself was built.</w:t>
      </w:r>
    </w:p>
    <w:p>
      <w:pPr>
        <w:spacing w:after="120" w:line="360" w:lineRule="auto"/>
      </w:pPr>
      <w:r>
        <w:rPr>
          <w:rFonts w:ascii="Calibri" w:cs="Calibri" w:eastAsia="Calibri" w:hAnsi="Calibri"/>
          <w:b w:val="false"/>
          <w:bCs w:val="false"/>
          <w:i w:val="false"/>
          <w:iCs w:val="false"/>
          <w:strike w:val="false"/>
          <w:color w:val="000000"/>
          <w:sz w:val="22"/>
          <w:szCs w:val="22"/>
        </w:rPr>
        <w:t xml:space="preserve">§89.10 names a Reader Interaction Slice under Chapter 69's own established extension pattern — the same pattern already used for the Commerce Slice at §88.8 — without modifying Chapter 69's specification.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90, Deployment Modes and Domain Packages, from a submission marked critical and high-priority. Applied the same UFCS/FQL correction already made many times in this Bible's history (a native, not UFCS-backed, Fact Service; NLPL compiling to QBPL, not FQL) without re-litigating it at length, since the pattern is now well-established. Verified the submission's proposed “Classroom license” and “Institution license” types against the real Chapter 67 before building anything: the actual license types are Reader, Author, Publisher, and Partner, mapped to Chapter 65's four Roles, with SeatCount governing multi-user capacity. Classroom and institution scenarios are already fully supported by an appropriately-sized seat count combined with the existing Instructor grant (§65.3) — no new license type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§90.1–§90.2 and §90.4–§90.6 are deliberately citation-only, reusing Chapter 19 (Deployment Architecture), Chapter 67 (License and Entitlement Management), and Chapter 68 (Synchronization and Offline Operation Layer) exactly as already specified. This chapter's opening callout states directly that no new license type, synchronization mechanism, or parallel Fact Service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 Domain Packages, is the one genuinely new mechanism: a versioned, signed, installable bundle scoping content, language (via the existing Multilingual Regeneration Engine, Chapter 16), and optional commerce registration (via the existing Contextual Commerce Layer, Chapter 88, with its non-interference guarantee explicitly carried forward) to a specific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signing is stated explicitly as a software-integrity control, not a rights-management mechanism, to avoid inadvertently reopening the DRM/territory/pricing boundary Chapter 67 already closed for cause.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changes were made to Chapter 19, 65, 67, 68, or 88 — Chapter 90 builds entirely on their existing specifications.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91, Personal Object Location, as the narrow, safety-appropriate extraction from a broader “Anomaly Detection Mode” submission declined the same session. Verified the submission's own framing before responding: it claimed the feature was “in the original spec but removed”; a direct search found no trace of real-world visual interrogation, spectral matching, or search-and-rescue capability anywhere in this Bible's history, and the only real match was “anomaly detection” as a narrow, already-human-gated Improvement Proposal Pipeline event-trigger name (§69.2.2) — unrelated to what was claimed.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declined submission's “Proposal Slice, Simulation Slice, Fitness Slice, Deployment Slice” agent loop, with no human step, is the same autonomous-deployment shape declined at this Bible's Pass 31 and again two passes ago in an advertising submission — a third occurrence of the identical pattern, declined again for the same reason.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person detection, and heat-signature analysis were declined as their own category, distinct from a terminology or governance fix — §91's opening callout states this directly and requires any future extension toward that territory to undergo its own dedicated safety review rather than being treated as a natural extension of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What was built instead: locating a lost personal object from a user's own live, consented camera feed, classified through the already-real WASM Object Layer (§53.3.1) and Multimodal Ingestion's sensor modality (Chapter 4), scoped explicitly to inanimate objects only — a candidate classified as a person or animal is discarded from the result set, not surfaced.</w:t>
      </w:r>
    </w:p>
    <w:p>
      <w:pPr>
        <w:spacing w:after="120" w:line="360" w:lineRule="auto"/>
      </w:pPr>
      <w:r>
        <w:rPr>
          <w:rFonts w:ascii="Calibri" w:cs="Calibri" w:eastAsia="Calibri" w:hAnsi="Calibri"/>
          <w:b w:val="false"/>
          <w:bCs w:val="false"/>
          <w:i w:val="false"/>
          <w:iCs w:val="false"/>
          <w:strike w:val="false"/>
          <w:color w:val="000000"/>
          <w:sz w:val="22"/>
          <w:szCs w:val="22"/>
        </w:rPr>
        <w:t xml:space="preserve">§91.4 defaults detected objects to session-scoped, non-permanent Fact Units, following the same pattern already established for Session Books (§84.1), rather than permanently adding a scan of a user's own living space to the searchable Fact Graph. §91.6 requires any future accuracy improvement to route through Chapter 66's existing human-gated pipeline in full, restating rather than assuming the same discipline already applied to commerce optimization (§88.10).</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92, Sensory-Annotated Content Playback, as the narrow, safe extraction from a “Sensory Output Mode” submission that explicitly integrated with the real-world anomaly detection, person-detection, and search-and-rescue content declined the previous pass — the same declined capability, reached through a different chapter's integration section rather than reintroduced directly. Declined that connection again for the same reason; §92's opening callout states directly that §91's hazard-trigger exclusion applies identically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Verified before building: Chapter 46 already requires spatial audio and haptic cues as outputs of any VR scene. Chapter 92 generalizes that existing requirement to non-VR content — a book, timeline, diagram, or Fact Unit may carry the same kind of sensory profile — using the same underlying mechanism rather than a parallel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External hardware — scent/smell emitters, haptic vests and gloves, chemical signature mapping — was explicitly excluded per prior agreement, pending its own dedicated safety review. §92.3 scopes output to audio, in-surface visual effects, and standard on-device vibration only, relying on the operating system's own existing volume and vibration-intensity limits rather than a new, custom safety mechanism the submission had only asserted (a “Safety Slice”) without specifying.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four Slice names the original submission proposed (Sensory Trigger, Mapping, Output, and Safety Slice) were checked directly and confirmed to not exist anywhere in this Bible before being declined — the same fabrication pattern as two of the last three submissions reviewed.</w:t>
      </w:r>
    </w:p>
    <w:p>
      <w:pPr>
        <w:spacing w:after="120" w:line="360" w:lineRule="auto"/>
      </w:pPr>
      <w:r>
        <w:rPr>
          <w:rFonts w:ascii="Calibri" w:cs="Calibri" w:eastAsia="Calibri" w:hAnsi="Calibri"/>
          <w:b w:val="false"/>
          <w:bCs w:val="false"/>
          <w:i w:val="false"/>
          <w:iCs w:val="false"/>
          <w:strike w:val="false"/>
          <w:color w:val="000000"/>
          <w:sz w:val="22"/>
          <w:szCs w:val="22"/>
        </w:rPr>
        <w:t xml:space="preserve">§92.1 represents the sensory profile as an existing Fact Unit's auxiliary attribute, not a new fact type or parallel representation system, consistent with this Bible's established pattern of extending the existing schema (Appendix A) rather than introducing a second one alongside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69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93, Audio Narration, after a submission claiming an author-controlled voice cloning system (“WONVERSE AudioSphere™”) already existed in this Bible's design history, dated to specific prior drafts. Searched directly for every distinctive term in the submission — WONVERSE, AudioSphere, Author Services Blueprint, voice cloning, audio book — before responding: zero matches, confirming the claimed history was fabricated rather than merely unverified. Evaluated the underlying proposal on its own merits regardless of the false provenance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General-purpose voice cloning — age-shifting, accent-shifting, synthesizing an approximation of a specific real person's voice — was declined for the same reason the general-purpose photorealistic avatar reconstruction capability was declined earlier in this Bible's history: reconstruction fidelity at that level is not a problem consent resolves. §93.4 states this explicitly rather than leaving the boundary implicit, naming the precedent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instead, per explicit instruction to build both: §93.1, author-recorded narration, using the existing audio ingestion modality (Chapter 4) and Chapter 92's already-real playback mechanism — a genuine recording of a real person's actual voice, not a synthesized approximation of one; and §93.2, generic synthetic narration using stock, non-cloned voice profiles with no real-person referent, integrated directly with the Universal Accessibility Layer (Chapter 71) rather than specified as a separate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§93's opening callout states the structural distinction directly: neither mechanism can produce output sounding like a specific real person's voice unless that person recorded it themselves — this is a property of the architecture, not a policy statement that could be configured around.</w:t>
      </w:r>
    </w:p>
    <w:p>
      <w:pPr>
        <w:spacing w:after="120" w:line="360" w:lineRule="auto"/>
      </w:pPr>
      <w:r>
        <w:rPr>
          <w:rFonts w:ascii="Calibri" w:cs="Calibri" w:eastAsia="Calibri" w:hAnsi="Calibri"/>
          <w:b w:val="false"/>
          <w:bCs w:val="false"/>
          <w:i w:val="false"/>
          <w:iCs w:val="false"/>
          <w:strike w:val="false"/>
          <w:color w:val="000000"/>
          <w:sz w:val="22"/>
          <w:szCs w:val="22"/>
        </w:rPr>
        <w:t xml:space="preserve">No new consent, rights, or playback mechanism was introduced; §93.1 reuses Chapter 60's existing rights-holder authorization, §93.2 reuses Chapter 16's existing grounded generation and multilingual mechanisms, and both reuse Chapter 92's existing audio output pathway.</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70</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“Underwater Anomaly Detection Mode” requested one specific fix (removing UFCS as a required dependency) while reproducing the same declined pattern already addressed twice before: “Proposal Slice, Simulation Slice, Fitness Slice, Deployment Slice” with no human step — a fourth occurrence — and search-and-rescue framing (“locate the missing vessel,” a dedicated Search &amp; Rescue package) matching what was already excluded from Chapter 91. Both declined again, for the same reasons. A third element — real-time navigation guidance for divers, ROVs, and vessels — was identified as genuinely new territory, distinct from anything already scoped, and declined pending its own dedicated safety review rather than folded into this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 the submission's own framing — this application as one of many enabled by an already-general capability, not a bespoke new system — added §91.7 to Chapter 91 rather than a new chapter, extending object and material classification to sonar and magnetometric sensor input using the identical consent, scope, and exclusion rules already specified at §91.1–§91.6.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§91.7's opening callout states directly that extending to a new sensor type does not extend this chapter's scope: classification remains limited to inanimate objects, a person-resembling result is still discarded, and no vehicle, diver, or vessel guidance capability was added.</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§91.7 (Integration Requirements) and §91.8 (Summary) to §91.8 and §91.9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71</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directly challenged this Bible's own prior correction at §86.3, which had declared hypergraph structures exclusive to UFCS and absent from QueryBook's own architecture. Checked every occurrence of “hyperedge” in the Bible rather than repeat the prior position, and found the original correction was itself wrong: the World Aware System Model (Chapter 53) states, as one of its own non-negotiable design constraints, that all world model structures are stored as typed nodes and hyperedges within the Fact Universe, QueryBook-native, with no external world model database used. UFCS's own separate hypergraph substrate (Chapter 81) is real and unrelated; the error was concluding no other real hypergraph usage existed without checking thoroughly enough to find WASM's.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§86.6 to Chapter 86, correcting this chapter's own prior overcorrection directly rather than silently editing it — stating plainly that describing QueryBook's World Brain / World Model Domain as using hypergraph structures is accurate when attributed to WASM's native architecture, and that the actual error was attributing all hypergraph usage to UFCS, not the underlying technical claim.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§86.6 explicitly does not extend the correction to the other elements of the same originally-declined paragraph: unscoped robotics control and autonomous goal formation remain correctly declined on their own separately-verified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placement error was caught and fixed during this same edit: the intended insertion point matched two locations in the document — the real Chapter 86 body, and an earlier changelog entry quoting the same sentence — and the correction was initially inserted into the changelog quote rather than the chapter itself. Caught by verifying placement directly rather than trusting the insertion had succeeded, removed, and reinserted at the correct location before this pass was finalized.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72</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submission proposing hypergraph-based Fact Unit linking, Hopfield-attractor dynamics, and a new Geometric Fact Unit (GFU) subtype was evaluated carefully rather than reflexively accepted or rejected, given the hypergraph correction made the previous pass. Result: three real findings, one scope correction, and the same declined territory reappearing a third and fourth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Hypergraphs remain real, but the submission's claim that “Fact Units live in a multi-modal hypergraph” generally overstates the real, verified scope: hypergraph structures are specific to the World Aware System Model's world-model layers (Chapter 53), not a property of Fact Units broadly.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Hopfield-attractor dynamics required no new work at all — the real Attractor Network (Chapter 7) is already explicitly documented as “of the class popularly known as Hopfield networks,” already has its convergence equation in FIG. 2, and is already Claim 6 in the patent. The submission's proposal was already-built architecture under an unrecognized name.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proposed Geometric Fact Unit (GFU) was declined as redundant: Geometry and Constraint Fact Units already exist and are already used by the real Geometric Proof Engine (§70.9). A parallel type was not needed.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Search-and-rescue (human silhouettes, limb geometry, motion vectors) and underwater guidance reappeared and were declined again, the third and fourth occurrence of territory already excluded from Chapter 91 and its marine extension. All six proposed Slice names were checked directly and confirmed fabricated before being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§91.8, Geometric Shape Matching, as the genuinely buildable piece: a classification method using the already-real Geometry and Constraint Fact Units and the already-real Attractor Network, bound by the identical exclusions already governing every other classification method in Chapter 91. Renumbered §91.8 (Integration Requirements) and §91.9 (Summary) to §91.9 and §91.10 to make room; both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73</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asked why six proposed Slice names were declined as fabricated when Processor Slices are a real, established metering mechanism (Chapter 69). Confirmed the real mechanism directly — a bounded, atomic, four-phase (start, run, commit, log) measured event, with no partial or unmeasured state — and the real, currently-defined categories: Ingestion, Reasoning, Response Generation, Rendering, Safety Gate, Sync, Scheduler, Recovery, Commerce, and Reader Interaction. The distinction: the method is real; the six declined names had never been defined through it. Checking this directly surfaced a genuine gap — five chapters built this session had no metering category of their own.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five new Slice categories, each following the same extension pattern already used for Commerce Slice (§88.8) and Reader Interaction Slice (§89.10): Voice Analysis Slice (§87.6, Chapter 87); Domain Package Slice (§90.8, Chapter 90); Object Classification Slice (§91.10, Chapter 91, covering both personal object location and geometric shape matching); Sensory Playback Slice (§92.7, Chapter 92); and Narration Slice (§93.7, Chapter 93).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new Slice is scheduled strictly below every safety-relevant category, consistent with the priority ordering already established at Chapter 69 and reused at §88.8 — none is permitted to delay, preempt, or compete with a Safety Gate or Recovery Slice under any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Slice's failure-handling behavior is stated explicitly and differs by chapter's own risk profile: a failed Voice Analysis or Sensory Playback Slice degrades gracefully with the underlying interaction unaffected; a failed Domain Package Slice leaves previously-installed packages intact; a failed Object Classification Slice returns no result rather than a partial or unmeasured one, per §69.1's atomicity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the Summary section in all five chapters (§87.6→§87.7, §90.8→§90.9, §91.10→§91.11, §92.7→§92.8, §93.7→§93.8) to make room; all five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§53.7, Hyperedge Attention and Attractor-Based Hyperedge Completion, as the narrow, safe capability agreed on after reviewing a submission's claimed 2025–2026 hypergraph research breakthroughs. It extends the World Aware System Model's real hypergraph structure (Chapter 53) with relevance-weighted reasoning over a hyperedge's constituents and completion of a partially-observed hyperedge, reusing the Attractor Network's already-specified convergence dynamics (Chapter 7, Claim 6) at hyperedge granularity rather than introducing a new mechanism. §53.7's own opening callout states directly that it is not a new dynamical system, avoiding the exact misdescription risk already flagged at §42.2.5.1.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explicitly from WorldModel.Infer (§53.4.3), which already performs general scene completion using Schema, Physics, Affordance, and Relation layer rules: §53.7's completion is specifically geometric, hyperedge-granular, and Attractor-Network-based rather than schema-based. This distinction was checked before writing anything, to avoid duplicating an already-real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editing error occurred and was caught during this pass, worth recording plainly: an initial insertion attempt used an anchor string that did not actually match the document, and the resulting fallback position calculation (from a failed string search) placed the new content inside the document's XML namespace declarations near the very start of the file — corrupting the document header entirely. This was caught immediately by checking the anchor's occurrence count before trusting the insertion, rather than after. The corrupted state was discarded in full, and the document was reverted to the last independently verified good state (Pass 73) before reattempting the edit.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reattempt surfaced a genuine, pre-existing structural discovery: Chapters 53 through 58 are contained within a single large paragraph element with many separate text runs, rather than one paragraph per heading as in most of this Bible's other chapters — explaining why a standard end-of-paragraph search failed. The correct fix located a unique, exact anchor immediately before Chapter 54's heading run, closed the paragraph at that precise point, inserted §53.7 as its own complete paragraph, and reopened a paragraph so Chapter 54's existing content continues exactly as before. Verified directly afterward: §53.7 renders in the correct position, and Chapter 54's heading immediately follows it with no content lost or altered.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75</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“QueryBook Translation Mode” submission was reviewed and found to reuse AudioSphere — a term this Bible's own Pass 69 changelog already documents as fabricated and declined — alongside a Voice Persona Registry and accent-shifted narration (“Brooklyn accent”) directly violating §93.4's voice-cloning exclusion, three new Fact Unit subtypes (WFU/PFU/SFU) with zero grounding, and seven fabricated Slices, the sixth submission this session to propose an entirely invented Slice set. All declined. Per explicit instruction to find the best possible compromise, built §16.6 instead: domain-aware and disambiguated translation using three already-real, already-claimed mechanisms rather than new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§16.6.1 reuses the Ontology Mesh's real federated domain sub-ontologies (Claims 19–20) for domain-aware terminology resolution — the submission's own “deck—ship vs. deck—cards” example, solved with real architecture instead of a new lexicon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§16.6.2 reuses the Attractor Network's real convergence dynamics (Claim 6, already extended to hyperedge completion at §53.7) for lexical ambiguity resolution — the same mechanism the submission called “Hopfield-style disambiguation,” already real and already claimed, applied to a new input type rather than invented fresh.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§16.6.3 extends MRE's existing grounded generation to diagram and timeline surfaces already defined elsewhere in this Bible, and explicitly ties audio narration of translated output to §93.2's existing non-cloned synthetic narration only — restating, not loosening, the voice-cloning exclusion in the one place this submission most directly tried to cross it.</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before writing anything that §16.5 (Cross-Lingual Fact Equivalence) does not already cover this ground: it verifies translation preserves original meaning via Semantic Hash comparison, a quality-assurance check distinct from domain resolution or ambiguity handling. Located Chapter 16's true body precisely after an initial anchor attempt matched a TOC-region false positive rather than real content — confirmed via a second, independent search before inserting, avoiding a repeat of the Chapter 53 placement error two passes prior.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94, NFT Integration Layer, after a dedicated scoping conversation — the same discipline already applied to commerce, voice signal analysis, and other consequential additions — given full NFT support, including minting, was previously declined repeatedly throughout this project's history for cause. This is not a reversal of those prior declines: it is a substantively different design, built specifically around two explicit constraints stated by the requester: NFTs remain strictly secondary to conventional ownership verification, never primary; and the existing entitlement system, reflecting real-world copyright, trademark, and registration rights, remains authoritative under every configuration.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§94's opening callout states the secondary-only guarantee as a structural property, not a configurable policy: every NFT-related read is resolved against the Chapter 67 entitlement record first, and where the two disagree, Chapter 67 governs automatically, with the conflicting NFT state flagged rather than silently trusted.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Custody and chain architecture followed explicit direction: non-custodial (§94.1) — QueryBook orchestrates minting through a registered external service but never holds a wallet, key, or token on any party's behalf, with tokens transferring directly to the rights holder's own wallet; and chain-agnostic (§94.2) — no blockchain is named in this chapter, and new minting services register through the existing Source Connector Registry (§49.3.3) as the market changes, without modifying this chapter's own specification.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§94.6 explicitly reconciles this chapter with the pre-existing, narrower Blockchain Ownership-Verification Connector (§49.3.3.8): that connector remains valid and unmodified: a publisher may use it, this chapter's fuller minting capability, both, or neither, per title.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§94.8, an NFT Minting Slice, following the same extension pattern used throughout this Bible, scheduled below every safety-relevant category with an explicit failure-handling rule: a failed or unconfirmed minting request never affects the underlying Chapter 67 entitlement, and no token is presented as minted unless the registered external service actually confirms it.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§82.2.1, Encryption Scope, after an end-to-end encryption request refused for any channel reachable by a student: true E2EE with zero platform visibility is exactly the shape of secrecy grooming and abuse rely on, and that refusal held regardless of instruction to apply it everywhere.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Adult-only DirectMessage channels: true end-to-end encryption, platform holds no decryption key, Safety Substrate does not apply — built as originally requested for this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Classroom-reachable channels (any channel touching Chapter 83's education context): encrypted against external interception, but not unmonitorable — the Safety Substrate retains decrypt access, exercised only for enforcement, individually logged with accessing process and reason. This is the "minimal encryption, some protection must exist" compromise reached after refusing full E2EE for these channels.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Channel classification is context-based, not self-declared, so a Classroom-reachable channel cannot be reclassified as adult-only by participant claim.</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95 and §91.9 after a request to implement genuine neuromorphic/architectural enhancements. Verified both underlying citations externally before building, the same discipline applied to Hopfield networks earlier this session: Complementary Learning Systems theory (McClelland, McNaughton &amp; O'Reilly, 1995, Psychological Review 102:419–457) and grid cells (Hafting et al., 2005; 2014 Nobel Prize in Physiology or Medicine, O'Keefe/Moser/Moser) are both real, well-established, heavily-cited neuroscience. Two further proposed enhancements — precision-weighted prediction and a deeper Predictive Coding hierarchy — were not built this pass; both remain open, real candidates for a future pass rather than rejected.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95 formalizes a correspondence that already existed implicitly: session-scoped records (§91.4, §84.1) as the fast, episodic system; the permanent Fact Graph as the slow, consolidated system. §95.2 states explicitly where this diverges from the biological account — consolidation requires explicit user election, never automatic replay — so the correspondence is not overstated.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§91.9 adds grid-cell-inspired hexagonal indexing to the already-real Geometric Shape Matching (§91.8), stated explicitly as deterministic by construction, not learned — structurally distinct from, and not a re-introduction of, the trainable "manifold embedding" mechanism already declined multiple times this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escape-sequence bug was caught and fixed during this pass: an initial draft of Chapter 95 used JavaScript-style \u2014 notation from this session's patent-building scripts inside a Python-based Bible generator, where it isn't interpreted and renders as literal backslash-text rather than the intended character. Caught by direct inspection of the generated file before insertion, not after — the chapter was regenerated with actual Unicode characters and the ampersand in the McClelland citation was verified to render as the properly-escaped XML entity before proceeding.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§91.9–§91.11 to §91.10–§91.12 in reverse order to avoid collision during the renumbering itself; all three confirmed single-occurrence beforehand.</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79</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96, Forensic Analysis of External AI System Outputs, after a scoping conversation about analyzing LLM hallucinations, errors, and self-referential language. One term in that conversation — "sentient bouts" — was addressed directly before building anything: QueryBook may catalog self-referential or distress-adjacent language as an observed textual pattern, but this chapter specifies no mechanism for QueryBook to determine whether an analyzed system is actually sentient or conscious, since that question has no factual answer for any Fact Unit to cite. §96's opening callout states this as a permanent scope boundary on §96.3.5 specifically, not a general caveat.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entirely as an extension of Chapter 80's already-established, already-safe pattern — a documented external subject's content represented as grounded, cited Fact Units, never QueryBook's own state — applied to AI-generated output instead of human reasoning. One new Fact Unit type (AnalyzedOutput) and one new use of the existing Source Connector Registry (§49.3.3) for live comparison; no second prediction mechanism or intuitive/ungrounded generation mode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six-category forensic taxonomy (§96.3) reuses already-real mechanisms throughout rather than inventing new ones: fact-checking uses Claim 8's own grounding guarantee applied outward; internal-inconsistency detection reuses CDRE's existing contradiction logic (Chapter 17); the self-referential-language category is the one explicitly bounded by this chapter's opening callout.</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Forensic Analysis Slice (§96.5) following the same extension pattern used throughout this Bible, scheduled below every safety-relevant category with the same atomicity failure-handling rule as every other Slice added this session.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§10.4, Manifold-Based Trend Forecasting, after distinguishing this request from every previously-declined manifold submission on a real architectural basis: PIE (Chapter 10) is already explicitly a probabilistic forward-projection engine, so this Bible's determinism requirement — which governs grounded fact retrieval and answer generation specifically — was never a blanket prohibition on probabilistic forecasting of genuinely uncertain external phenomena. Verified externally before building: manifold learning for weather and financial time-series forecasting is real, established research with direct precedent (structured manifold learning recovering chaotic attractors from financial data; t-SNE weather pattern analysis; Isomap/LLE stock forecasting).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§10.4's opening callout states the structural-separation and labeling discipline directly, the same pattern already used for Commerce Layer and NFT Integration: this mechanism never produces, modifies, or influences a grounded Fact Unit, every output carries an explicit confidence interval, and forecasts are presented in a distinct, source-labeled region — never with the certainty of a retrieved fact.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§10.4.1 states scope in both directions: applicable to genuinely nonlinear, probabilistic time-series domains (weather, markets, reusing the Ontology Mesh's already-registered Finance domain); explicitly not applicable to any grounded Fact Unit content or the structural-groundedness guarantee (Claim 8).</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Located Chapter 10's true final content precisely before inserting, given two prior near-misses this session (Chapter 53, Chapter 16): confirmed the real Chapter 11 body position independently of a TOC-region false positive, and verified the exact anchor text's uniqueness before insertion.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97, Hypothesis Generation, after a conversation about mimicking how domain experts advance a field with new ideas. Distinguished this clearly from autonomous learning before building anything: a generated hypothesis is not, and cannot become, a verified fact through any automated process — validation requires a named, accountable domain expert, the same human-gate discipline already required for system changes under Chapter 66, applied here to generated ideas instead.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Assembled entirely from four already-real mechanisms, each reused for a new output type rather than modified: AIQG's existing low-confidence trigger, AEM's existing cross-domain synthesis, the Scenario Graph's existing hypothetical-state representation, and §10.4's forecasting, newly built the previous pass. No new reasoning subsystem was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§97's opening callout states the validation gate as a structural fact, not a policy: no automated process, agent, or mechanism specified anywhere in this Bible may transition a hypothesis to VALIDATED status. §97.1's three-state Status field (PROPOSED / UNDER_REVIEW / VALIDATED) makes this checkable rather than merely stated.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a Hypothesis Generation Slice (§97.5) following the same extension pattern used throughout this Bible, and a presentation requirement (§97.4) requiring any non-VALIDATED hypothesis to render in a distinct, labeled region — the same structural-separation discipline already applied to commercial content and trend forecasts, now applied to a third distinct output type.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§90.3.3, Admin-Initiated On-Demand Domain Creation, as the scoped alternative to a general-purpose reserved domain declined the previous pass. The distinction that made this version acceptable where the prior one wasn't: an administrator selects specific, already-real capabilities from a fixed menu at the moment a domain is created, rather than the domain existing unscoped and being assigned a purpose later. §90.3.3's opening callout states this as the explicit contrast with what was declined.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§90.3.3.1 fixes the capability menu to already-independently-specified mechanisms only — Ontology Mesh sub-ontology registration, MRE language scope, Geometric Shape Matching, Manifold-Based Trend Forecasting, Hypothesis Generation — and states directly that this section adds nothing new to that menu on its own; it only grows when a future chapter adds a genuinely new capability on its own terms.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§90.3.3.3 lists explicitly what this mechanism cannot do: no automated or agent-initiated domain creation, no selecting a capability that doesn't already exist, and no vague or broad capability selection used to functionally recreate an unscoped domain through this narrower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§90.3.3, extending the already-real Domain Package mechanism (§90.3) rather than as a new chapter, since domain creation is squarely within what §90.3 already governs. Verified the exact anchor's uniqueness before inserting, consistent with this session's established discipline after prior near-misses.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98, Cognitive Map Formalization, after verifying a submitted video's citations directly: Behrens et al. (2018, Neuron), Whittington et al. (2022, Nature Neuroscience), and the Tolman-Eichenbaum Machine are all real, well-established computational neuroscience. The verification surfaced a real, previously-unnamed connection: TEM's own architecture queries a Hopfield memory module, the same mechanism already real as QueryBook's Attractor Network (Chapter 7), and TEM's central finding — that grid-like coding generalizes beyond physical space to any relational knowledge — directly extends §91.9's grid-cell indexing, built two passes ago for geometric shape matching specifically.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§98's opening callout states the boundary explicitly: the cited research's own implementation is a trained recurrent neural network with learned representations, and none of that was adopted. Every mechanism this chapter names is deterministic by construction, the same guarantee already stated for §91.9 and Chapter 7 individually.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§98.3 is the one genuinely new piece: extending §91.9's deterministic hexagonal lattice indexing from geometric shapes specifically to the Ontology Mesh's concept space generally, reflecting TEM's real finding without adopting TEM's trained implementation. A concept's lattice coordinates are fixed by construction and support a proximity-search convenience; they do not alter how the Ontology Mesh already determines a concept's actual domain membership or classification (§6.1).</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of this chapter formalizes an existing correspondence rather than building something new, the same pattern already used for Chapter 95's Complementary Learning Systems formalization — naming that §91.9 and Chapter 7 were never two unrelated techniques that happened to separately cite real neuroscience.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Chapters 99 and 100 after a systematic 40-item feature audit against the original design intent identified roughly 28 gaps. Of those, one (bias detection) was excluded from this pass entirely rather than built — flagging ideological framing requires an independent judgment with no factual ground truth to check against, a fundamentally different operation than every other real mechanism in this Bible, which checks a claim against evidence. It remains unspecified pending its own dedicated scoping conversation, the same discipline already applied to external sensory hardware and other higher-risk additions.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99, Study and Learning Tools, specifies six presentation/organization capabilities — glossary generation, study guide assembly, spaced repetition scheduling, cognitive scaffolding, an explicit beginner/expert toggle, and concept clustering — each reusing an already-real mechanism (grounded generation, NLIL, the Ontology Mesh, Tutorial Mode) rather than introducing new generation or reasoning.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100, Content Verification and Argumentation Tools, specifies five capabilities — misconception correction, error-spotting, source triangulation display, argument analysis, and debate preparation — all scoped to checking a claim against the grounded Fact Graph rather than rendering independent judgment. §100.1 (misconception correction) is explicitly limited to a claim's direct, checkable contradiction with the Fact Graph, not a general “common misconceptions” mechanism. §100.5 (debate preparation) explicitly states it does not fabricate supporting content where the Fact Graph doesn't genuinely support a requested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Topic forecasting (“predicts conceptual evolution”) was raised during scoping and explicitly deferred at the requester's own direction, distinct from both Manifold-Based Trend Forecasting (§10.4) and Hypothesis Generation (Chapter 97), neither of which it matches precisely. Several audited items — multi-format output, context-bounded reasoning, fact extraction, concept expansion, cross-discipline analogies, knowledge compression, semantic lineage tracking — were confirmed already adequately covered by existing mechanisms and required no new chapter.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101, Verified Neuromorphic Correspondence Methodology, naming a process already followed consistently four times this session rather than introducing a new neuromorphic capability. The chapter states the five steps every real correspondence went through, in the same order, without exception: external verification against the primary publication, an implicit-correspondence check before building anything new, extraction of only the deterministic structural principle where the cited research's own implementation is a trained neural network, extension of already-claimed mechanism over new invention, and named formalization with citation.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§101.1's table cites the four demonstrated instances directly — Hopfield/Attractor Network (Chapter 7), Complementary Learning Systems (Chapter 95), grid-cell indexing (§91.9), and the Cognitive Map/TEM correspondence (Chapter 98) — rather than asserting the methodology exists without evidence.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§101.2 states what this methodology explicitly excludes: an unverified correspondence, regardless of how plausible its presentation, and a correspondence whose only real implementation is a trained, non-deterministic component with no separable structural principle. This is the same discipline that distinguished the four real correspondences from the fabricated “Neural Hypergraph Networks” and “Hypergraph World Models” framing declined earlier in this Bible's history.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escape-notation risk was checked and avoided during this pass: the McClelland, McNaughton \u0026 O'Reilly citation was written using an actual Unicode ampersand character in the Python source rather than escape notation, and verified directly in the generated file to render as the properly-escaped XML entity before insertion — the same category of bug caught and fixed in Chapter 95, checked proactively here rather than found after the fact.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 Extensibility and Taxonomy Evolution, after a user asked how Chapter 96 stays current as new AI systems are released — verified first that the underlying claim ("agents using LLM-type reasoning") was inaccurate before addressing the real question underneath it, given zero occurrences of any such mechanism anywhere in this Bible and Section 2 of the patent's own title stating the opposite.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 draws a real, useful distinction: a newly-released AI model requires no chapter update at all, since §96.1's Subject field is already a free parameter, not an enumerated list — only a genuinely new, documented failure-mode category requires extension, and that case follows Chapter 101's five-step methodology in full, built the previous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§96.7.1 restates the sentience boundary explicitly against future categories, not just the current six: a candidate category requiring a determination of actual internal experience does not qualify under Chapter 101's verification step, regardless of how the underlying technology changes.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§96.7 (Summary) to §96.8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87</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§96.7.3, Parallel Candidate Taxonomy Queue, after a proposal to let Chapter 96 autonomously stack and deploy forensic-taxonomy candidates on the reasoning that pure monitoring poses no risk. Declined that reasoning directly: autonomous self-modification risk is a property of a mechanism modifying its own rules without human review, not of the stated purpose behind the modification — and Chapter 96 specifically, whose function is processing adversarial and unreliable external content by design, is a worse candidate for that exception than most other systems, not a better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Built the throughput benefit instead through what already existed: the Simulation Sandbox (§66.3) already supports evaluating multiple candidates; this section names that capacity explicitly as a parallel testing queue rather than adding new sandboxing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§96.7.3's callout states the one property that cannot move regardless of queue size: sandboxed parallel testing is explicitly not batch approval. Every candidate reaches the Human Review Gate individually, requires its own named reviewer, and is logged separately — a reviewer clearing five candidates makes five separate, individually-logged decisions, never one.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closes the loop opened two passes ago: Chapter 101's methodology governs what a new forensic category must satisfy to be verified; §96.7.3 governs how many candidates can be tested at once while that verification happens; neither changes who has to say yes.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88</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to factor UFCS into the core scaling/transport architecture, via a term ("UFCS-TCP/IP") not found anywhere in this Bible, was declined directly: making UFCS load-bearing for QueryBook's own core query path would break the optional, non-dependency guarantee established at Chapter 81 and reinforced when QBQL was confirmed never to switch to FQL under any configuration. Closed a real gap identified in that same conversation instead: added §19.9, Fact Graph Domain Sharding at High Query Volume, specifying the concrete sharding key and replica topology §19.1's per-service scaling policies had not yet addressed.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 reuses the Ontology Mesh's already-existing federated domain classification (§6.1) as the shard key rather than introducing new partitioning metadata — a domain-heavy query load routes to an independently-scaled replica pool using classification that already exists on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§19.9.2 states a real structural consequence of the grounding guarantee (Claim 8) that hadn't been made explicit before: because grounded output is deterministic given a fixed Fact Graph state, cache invalidation can be keyed to a Fact Unit's own version change via the Provenance Ledger, rather than an approximate time-based expiry.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§19.9.3 states explicitly that Safety Substrate capacity is the true throughput ceiling for the whole system, not a service sized after the rest — consistent with Chapter 8's existing synchronous, mandatory requirement, made explicit for capacity-planning purposes at this scale.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other items flagged across this session — bias detection, external sensory hardware, diver/vehicle guidance, VR ad targeting — were explicitly not bundled into this pass; each remains pending its own dedicated scoping conversation rather than being folded into an unrelated request.</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89</w:t>
      </w:r>
    </w:p>
    <w:p>
      <w:pPr>
        <w:spacing w:after="120" w:line="360" w:lineRule="auto"/>
      </w:pPr>
      <w:r>
        <w:rPr>
          <w:rFonts w:ascii="Calibri" w:cs="Calibri" w:eastAsia="Calibri" w:hAnsi="Calibri"/>
          <w:b w:val="false"/>
          <w:bCs w:val="false"/>
          <w:i w:val="false"/>
          <w:iCs w:val="false"/>
          <w:strike w:val="false"/>
          <w:color w:val="000000"/>
          <w:sz w:val="22"/>
          <w:szCs w:val="22"/>
        </w:rPr>
        <w:t xml:space="preserve">Resolved three of the four items deferred last pass through their own dedicated scoping conversation. Vehicle/diver/ROV direct control was declined outright rather than scoped down: real-time physical vehicle control requires hard real-time control loops, redundant sensor fusion, and vehicle-specific safety certification that a knowledge-and-reasoning architecture is not built to provide, an architectural mismatch rather than a policy line. Bias detection's user-optional judgment mode was proposed a second time and declined a second time: opt-in consent resolves risk for real-but-sensitive content, not for content with no factual ground truth to check against in the first place — a user's choice to view an ungrounded judgment does not make it grounded.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§92.7, External Sensory Hardware (Smell and Haptic Emitters), to Chapter 92: user-initiated and explicitly content-tied only, with system-inferred triggers — including inferred emotional state — permanently excluded, not merely defaulted off. Renumbered §92.7–§92.8 to §92.8–§92.9 to make room.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§100.6, Source Framing Signals, to Chapter 100, splitting bias detection into what's real and what isn't: §100.6.1 surfaces a source's own documented editorial position as a grounded, cited fact; §100.6.2 surfaces quantifiable, checkable facts about a source's citation composition without attaching a conclusory bias judgment QueryBook has no grounding to make. §100.6's opening callout states directly that no configuration of this chapter enables QueryBook's own bias or framing judgment. Renumbered §100.6–§100.7 to §100.7–§100.8 to make room, and updated the renumbered §100.7's dependency list to include Claim 8 for the new 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duplication risk was caught before insertion: an initial draft of §100.6 included its own Integration Requirements subsection, which would have produced two §100.7 headings in the same chapter given the section immediately before it had already been renumbered to that number. Caught by checking the draft's own headings against the renumbering already performed, not after building; the duplicate subsection was removed and its one new dependency (Claim 8) merged into the existing, renumbered Integration Requirements instead.</w:t>
      </w:r>
    </w:p>
    <w:p>
      <w:pPr>
        <w:spacing w:after="120" w:line="360" w:lineRule="auto"/>
      </w:pPr>
      <w:r>
        <w:rPr>
          <w:rFonts w:ascii="Calibri" w:cs="Calibri" w:eastAsia="Calibri" w:hAnsi="Calibri"/>
          <w:b w:val="false"/>
          <w:bCs w:val="false"/>
          <w:i w:val="false"/>
          <w:iCs w:val="false"/>
          <w:strike w:val="false"/>
          <w:color w:val="000000"/>
          <w:sz w:val="22"/>
          <w:szCs w:val="22"/>
        </w:rPr>
        <w:t xml:space="preserve">VR ad targeting remains the one item from the original four not yet addressed, pending its own turn.</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§88.13, VR-Specific Commerce Presentation, closing the last of the four items deferred across the previous two passes. The user confirmed a proposed narrow interpretation before this was built: VR treated as one more presentation surface for the already-real Commerce Layer mechanism, not a new targeting capability — proposed explicitly rather than assumed, given no formal options had actually been presented for this item in the prior turn.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§88.13's opening callout states directly that this section adds a rendering surface, not a signal: gaze direction, dwell time, and spatial proximity within a VR scene are explicitly excluded as targeting inputs, and the reader-profile-based targeting exclusion from Chapter 89's original scoping remains in effect and is not reopened.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§88.13.1 extends §88.3's existing anti-confusion requirement (commercial content must never be mistaken for grounded output) to also cover VR specifically: commercial content must never be mistaken for authored scene content either, rendered as a spatially distinct region rather than overlaid on or blended into the immersive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four items raised for dedicated scoping — bias detection, external sensory hardware, vehicle/vessel control, and VR ad targeting — are now resolved: two built narrowly (§92.7, §100.6), one declined outright as an architectural mismatch (vehicle control), and one built as a pure presentation-surface extension of already-real mechanism (§88.13).</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§96.8, Vehicle-Control AI Feed Monitoring, after a request to monitor and alert on AI-controlled vehicle feeds — a materially different request from the direct-control-commands proposal declined two passes ago, and evaluated on its own terms rather than by association. The distinction is exact: that proposal asked QueryBook to issue control commands to a vehicle; this section asks QueryBook to read a telemetry feed and alert a human. Built as an extension of Chapter 96's already-established, already-safe pattern — analyzing a documented external AI system's output without adopting its function — applied to a vehicle-control system as the subject rather than a text-generating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§96.8's opening callout states the boundary as absolute, not withheld: no control interface, actuator connection, or command-issuing mechanism is specified anywhere in this section or elsewhere in this Bible for a vehicle-control system — there is no configuration path from monitoring to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§96.8.1 generalizes AnalyzedOutput's SourceOutput field from text to the structured and sensor ingestion modalities already real in the Multimodal Ingestion Pipeline (Chapter 4), checked against grounded reference facts — a documented safe-operating envelope, a registered geofencing boundary — using Claim 8's same grounding mechanism as every other claim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§96.8.2 treats alert delivery as a real exception to standard response-generation priority once a genuine anomaly is confirmed, while keeping the underlying analysis pipeline at ordinary Forensic Analysis Slice priority — avoiding resource contention with QueryBook's own core Safety Gate while still ensuring a confirmed vehicle-safety concern reaches a named human without delay. False-positive refinement routes through Chapter 66's human-gated pipeline only, explicitly ruling out automatic threshold adjustment.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§96.8 (Summary) to §96.9 to make room; confirmed single-occurrence before renumbering.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92</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§53.8, Biased Competition for Object Salience, after a user asked whether QueryBook's visual/auditory world-model building focuses on one object while suppressing others. Checked directly first: Chapter 55 (Sensory Abstraction Pipeline) had zero mentions of attention, focus, or suppression, and the one real "selective attention" reference in this Bible (§7.2, NCL) governs retrieval-path recall, not perception — confirmed as a genuine gap rather than an already-covered capability. Verified Biased Competition Theory externally before building, following Chapter 101's methodology: Desimone &amp; Duncan, 1995, Annual Review of Neuroscience 18:193–222, one of the most-cited papers in visual attention research.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§53.8's opening callout states the same boundary already established for every prior neuromorphic correspondence: the deterministic competitive-weighting principle is adopted; any trained-network implementation of biased competition in the cited literature is explicitly excluded.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§53.8.1 is precise about what "suppression" means here, since the literature's own language ("filtered out," "suppressing the firing") could be read as exclusion: no Object Layer node is removed or discarded on the basis of its SalienceWeight — every detected object remains a fully-represented, queryable Fact Graph node. Suppression is a property of relative weighting and presentation priority, never of representational existence, a deliberate and stated divergence from the literature's neuronal-suppression framing.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§53.8.2 distinguishes this from Hyperedge Attention (§53.7.1) explicitly: SalienceWeight operates on individual Object Layer nodes during perception, prior to and complementary with Hyperedge Attention's later weighting of a hyperedge's already-linked constituents — sequential, not overlapping or duplicative.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boundary directly given this section falls within the same large multi-chapter paragraph structure discovered at Chapter 53 several passes ago: confirmed the anchor closed cleanly with a real paragraph break this time, requiring no special reopening step.</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93</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§97.7, Boltzmann-Style Diverse Hypothesis Sampling, after confirming directly that QueryBook uses Hopfield formalism exclusively (zero Boltzmann, stochastic, or simulated-annealing references anywhere in this Bible) and then identifying the one place a stochastic alternative has genuine, separate justification rather than building it as a general-purpose addition. Verified the citation externally first: Ackley, Hinton &amp; Sejnowski, 1985, Cognitive Science 9:147–169 — Boltzmann machines were developed specifically to address a documented Hopfield limitation, convergence to a single local minimum, by adding temperature-governed stochastic noise to sample across several.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justification is specific to Hypothesis Generation and does not generalize: deterministic convergence to one fixed point is exactly correct for grounded retrieval (Claim 8), where the same input must always produce the same answer, but is a real limitation for generating diverse candidate hypotheses, where other plausible ideas sitting in different local minima of the same energy landscape are otherwise never surfaced.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§97.7's opening callout states the structural wall explicitly: this section does not modify the Attractor Network (Chapter 7, Claim 6), does not participate in grounded retrieval, and produces only PROPOSED-status Hypothesis Fact Units subject to the exact same human-validation gate as every other hypothesis in Chapter 97. Stochastic sampling is optional, never default, and confined to this one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§97.7.1 states the real formula from the cited source directly — p_i = 1/(1+e^(−βΔE_i)) — rather than describing the mechanism only in prose, and requires every stochastically-sampled hypothesis to carry an explicit label distinguishing it from the deterministic generation triggers already specified at §97.2, so a reviewer always knows which path produced a given candidate.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Renumbered §97.7 (Summary) to §97.8 to make room; confirmed single-occurrence before renumbering. Verified the Ackley/Hinton/Sejnowski citation's ampersand rendered as a proper escaped entity before insertion, consistent with the standing practice established after the Chapter 95 escape-notation bug.</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94</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§59.9, Developmental Parallel — Verified Correspondence, grounding Chapter 59's pre-existing, previously-uncited claim that its architecture "mirrors human cognitive development with structural precision." Verified two real citations before adding anything, following Chapter 101's methodology retroactively applied to a chapter that predated that methodology: Carey &amp; Bartlett, 1978 (fast mapping) and Yu &amp; Smith, 2007 / Smith &amp; Yu, 2008 (cross-situational word learning). The correspondence turned out precise, not approximate: fast mapping's single tentative, "skeletal" word-referent link maps directly to a single Cross-Modal Binding event (§59.4); cross-situational learning's resolution of referential ambiguity through tracked co-occurrence across many exposures maps directly to Temporal Concept Consolidation (§59.5–§59.6).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§59.9.1 states the boundary of the correspondence honestly rather than overclaiming it: real word-learning research identifies additional disambiguation heuristics — whole-object bias, gaze-direction inference, mutual exclusivity — that this chapter's mechanism does not currently incorporate. The verified correspondence is precise for the two-stage timing structure specifically, not claimed as a complete model of every human word-learning strategy.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real near-miss was caught and corrected during this pass: an initial search for the boundary before Chapter 60 landed over a million characters away, because Chapter 59 is followed immediately by Chapter 36 in this document's raw order, not Chapter 60, a consequence of this project's iterative merge history. Caught by checking what the located text actually said rather than trusting the distance, found the true boundary immediately following §59.8's own content, and used the same close-paragraph/insert/reopen technique already established for this document's known multi-chapter paragraph structure.</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95</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§55.2.1, Ego-Motion Compensation for Non-Stationary Capture, after a user clarified a body-worn-camera question was about general object detection robustness under significant camera motion — explicitly not tracking or re-identifying a specific individual. Verified the real technique externally before building: ego-motion compensation via optical flow (Elek et al., 2020; Hariyono, Hoang &amp; Jo, 2014, among others), a standard, peer-reviewed computer vision method for exactly this problem — body-worn and mobile-platform cameras where camera motion contaminates the differential-motion cues object detection depends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Located the precise, correct insertion point by finding §55.2's real eight-stage body directly rather than trusting an earlier TOC-style match: Stage 3 already extracts raw motion vectors as a pre-semantic feature; §55.2.1 inserts ego-motion compensation between Stage 3 and Stage 4, so Stage 4's object and scene segmentation receives motion vectors with camera-induced apparent motion already removed.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§55.2.1's callout states two boundaries explicitly: the classical optical-flow implementation is deterministic, not a trained model, consistent with Chapter 101's methodology; and this section improves single-frame detection and segmentation accuracy only — it introduces no tracking, re-identification, or persistent-identity capability, and does not alter or narrow §91's existing person/animal exclusion for Personal Object Location specifically. A detected child is classified as any other Agent-type Object Layer node under §53.3.1, nothing more.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the insertion sits within the same known multi-chapter giant-paragraph structure as §53.7–§53.8 and §59.9; used the same close-paragraph/insert/reopen technique, and verified the real Stage 4 heading immediately follows the new section intact, at a distance matching the generated content's length.</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96</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§59.10, Encyclopedia Content Ingestion, after a legal claim required two rounds of evaluation rather than one. The first framing — that storing graphs rather than text exempts ingestion from copyright generally — was declined directly: it doesn't match how the fact/expression dichotomy actually works, would have been inconsistent with the rights-validation posture already built into Chapter 60 and Chapter 93, and Claude is not positioned to make that determination unilaterally. A narrower reframing — that extracting historical facts specifically into Fact Units is not a copyright violation — was checked and confirmed accurate: Feist Publications, Inc. v. Rural Telephone Service Co., 499 U.S. 340 (1991), holds directly that raw facts are not copyrightable regardless of source, and "may be copied at will."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§59.10's callout states the real principle precisely rather than the broader claim first proposed: a fact is extracted freely because it was never protected in any format, not because storing it as a graph changes its legal status. The boundary Feist itself draws — facts versus an author's original selection, arrangement, and expression — is stated explicitly: a Fact Unit must capture the fact itself, not track the source's own specific wording.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Images are explicitly carved out from this section's fact-extraction principle and returned to Chapter 60's existing rights framework: an image is itself an original copyrighted work, and extracting a factual observation from it is a different act from reproducing it, consistent with how Chapter 4 and Chapter 60 already treat visual content generally.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Built as an extension of Chapter 59's Box Principle given encyclopedia entries are an unusually clean instance of the co-occurrence pattern Cross-Modal Binding already requires; verified the insertion sits within the same known giant-paragraph structure as §53.7–§53.8 and §59.9, and confirmed Chapter 36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97</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and built all four items requested in sequence, closing the gaps named across the last several passes. All four citations checked externally before anything was written: Bahrick &amp; Lickliter (2000, Developmental Psychology 36:190–201) for intersensory redundancy; Piaget (1954) for the precise definition of object permanence; Markman (1989, 1992) and Markman &amp; Wachtel (1988, Cognitive Psychology 20:121–157) for whole-object bias and mutual exclusivity; Baldwin (1991, Child Development 62:875–890) for gaze-direction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§55.2.2, Intersensory Redundancy Weighting, to Chapter 55: a genuinely new addition, elevating confidence for properties confirmed across simultaneously-available modalities at Stage 3, distinct from Cross-Modal Binding, which links a label to an object rather than weighting which properties get attentional priority.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§55.2.3, formalizing Stage 4's existing but imprecisely-worded object permanence tracking against Piaget's real definition — surviving full occlusion, not merely scene transitions — while its own callout states explicitly this adds no tracking, re-identification, or cross-session persistence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§59.11 to Chapter 59, building the three heuristics explicitly named as absent at §59.9.1: gaze-direction inference, whole-object bias, and mutual exclusivity, each as an evidence-overridable preference operating alongside Cross-Modal Binding's existing co-occurrence and semantic-consistency mechanism, never replacing it. §59.11.4 explicitly supersedes §59.9.1's prior statement that these heuristics were absent, rather than leaving the two sections in silent contradiction.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insertions verified against this document's known multi-chapter paragraph structure and giant-paragraph boundaries established across §53.7–§53.8, §55.2.1, and §59.9–§59.10; Stage 4 and Chapter 36 both confirmed intact immediately following their respective insertions.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98</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§36.7.1, Live-Session Erasure, closing the gap identified when a user asked whether QueryBook could offer a browser-history-style "erase my queries and responses" capability. Verified before building that a fabricated submission earlier this session (the elaborate RBAC/Portal claim, including SERE, Caile, and the Baconian Meta-Layer) had no bearing on this real question, and that this addition does not touch any of that declined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real gap: §36.7's existing erasure protocol operates on the SAFU, produced only after session-end condensation; the live Cognitive Context Window transcript during an active session had no explicit, user-triggerable erasure action of its own, even though §36.2 already establishes the full transcript was never retained past session end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§36.7.1's callout states plainly that this converts an implicit design property into an explicit, immediate, confirmed user action — available in real time during a session, the browser-history analogy the request was framed around, rather than only as an after-the-fact guarantee. A full clear, not a summarization: no partial or condensed record of cleared content is created, and the Provenance Ledger confirmation records that an erasure occurred without retaining the cleared content itself.</w:t>
      </w:r>
    </w:p>
    <w:p>
      <w:pPr>
        <w:spacing w:after="120" w:line="360" w:lineRule="auto"/>
      </w:pPr>
      <w:r>
        <w:rPr>
          <w:rFonts w:ascii="Calibri" w:cs="Calibri" w:eastAsia="Calibri" w:hAnsi="Calibri"/>
          <w:b w:val="false"/>
          <w:bCs w:val="false"/>
          <w:i w:val="false"/>
          <w:iCs w:val="false"/>
          <w:strike w:val="false"/>
          <w:color w:val="000000"/>
          <w:sz w:val="22"/>
          <w:szCs w:val="22"/>
        </w:rPr>
        <w:t xml:space="preserve">Verified the insertion sits within the same known giant-paragraph structure already encountered at §53.7–§53.8, §55.2.1, and §59.9–§59.11; confirmed §36.8 continues intact immediately after.</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99</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request framed as making QueryBook SaaS "immune to subpoena" was declined directly and explained rather than built around: a lawful subpoena is a legal obligation no architecture decision changes, and designing specifically to defeat compliance with one is different in kind from legitimate data minimization, with its own separate legal exposure. The user confirmed the legitimate direction — stronger, genuine data minimization — explicitly, and this pass builds that.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Added §36.7.3, reversing SAFU's default retention posture: a SAFU is now retained only where a reader has affirmatively elected reader-history retention, rather than created and persisted automatically at every session end. This extends the session-scoped-by-default pattern already formalized at Chapter 95 from Personal Object Location specifically to reader history generally — the same real principle, applied to a second real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Considered and explicitly declined to silently resolve a real trade-off: making Zero-Knowledge Encryption (§36.1.1) default-on would break Cross-Book Thematic Analysis (Chapter 36), which requires the platform to read reader history to compute cross-book thematic connections. Flagged this directly rather than picking a side unilaterally; §36.7.3's own retention election requires informing a reader, at the point of electing non-retention, which specific features depend on retained history, so the trade-off stays transparent rather than a silent loss.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§36.7.3 does not weaken §36.7 or §36.7.1's existing erasure mechanisms for any SAFU a reader does elect to retain — the change is to the default that precedes erasure, not to erasure itself.</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100</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§36.7.5, explicitly reversing §36.7.3's default from the previous pass, per direct instruction: reader queries and responses are once again retained automatically by default, with destruction and erasure remaining fully available as user-initiated options. Rather than silently rewrite §36.7.3, this correction uses the same explicit-supersession pattern already established at §59.11.4: the prior section's text and reasoning remain visible in the historical record, and this section states plainly what the currently operative default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§36.7.5's callout is direct about what changed and what didn't: retention becomes automatic again; §36.7's three-level erasure and §36.7.1's live-session erasure are both explicitly unweakened and unchanged — this correction moves which state is default, not which capabilities exist.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Distinguished this reversal from the subpoena-immunity request declined two passes prior: retaining data by default with a real, working, user-controlled destruction option is an ordinary, legitimate product posture — the same shape most consumer history features already take — not an attempt to defeat lawful process, which was the actual basis for that earlier decline.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Confirmed no interaction with the previously-flagged ZKE/Cross-Book-Thematic-Analysis trade-off: that tension concerns encryption specifically, not retention, and remains exactly as previously stated — unresolved, pending its own explicit decision, unaffected by this pass.</w:t>
      </w:r>
    </w:p>
    <w:p>
      <w:pPr>
        <w:pStyle w:val="Heading2"/>
        <w:spacing w:after="120" w:before="240" w:line="288" w:lineRule="auto"/>
      </w:pPr>
      <w:r>
        <w:rPr>
          <w:rFonts w:ascii="Calibri" w:cs="Calibri" w:eastAsia="Calibri" w:hAnsi="Calibri"/>
          <w:color w:val="000000"/>
          <w:sz w:val="36"/>
          <w:szCs w:val="36"/>
        </w:rPr>
        <w:t xml:space="preserve">Merge Revision Note — Version 1.0, Merge Review Pass 101</w:t>
      </w:r>
    </w:p>
    <w:p>
      <w:pPr>
        <w:spacing w:after="120" w:line="360" w:lineRule="auto"/>
      </w:pPr>
      <w:r>
        <w:rPr>
          <w:rFonts w:ascii="Calibri" w:cs="Calibri" w:eastAsia="Calibri" w:hAnsi="Calibri"/>
          <w:b w:val="false"/>
          <w:bCs w:val="false"/>
          <w:i w:val="false"/>
          <w:iCs w:val="false"/>
          <w:strike w:val="false"/>
          <w:color w:val="000000"/>
          <w:sz w:val="22"/>
          <w:szCs w:val="22"/>
        </w:rPr>
        <w:t xml:space="preserve">Added Chapter 102, Legal Exposure Minimization Through Structural Compliance, formalizing a real pattern already scattered across five prior chapters into one named posture, the same discipline already applied at Chapter 95, Chapter 98, and Chapter 101. No new mechanism is introduced; every component cited was already real.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Chapter 102's opening callout restates, at chapter level rather than only in a single prior exchange, the boundary that governs its entire scope: exposure reduction through genuine compliance and structural non-custody, never through defeating a lawful legal process. The already-declined “immune to subpoena” request is cited directly as the line this chapter does not cross.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Five real components are named: GDPR/CCPA-compliant erasure (§36.7); structural non-custody in NFT minting (Chapter 94) and merchandise commerce (§88.12); rights and IP discipline grounded in real law (Chapter 60, §59.10's Feist citation); the Provenance Ledger's dual function as both internal accountability and external protective evidence (Chapter 5); and the just-established consistent, documented retention policy (§36.7, §36.7.1, §36.7.5) — stated explicitly as reducing exposure through consistency, not through reducing what is lawfully producible.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ties together, rather than modifies, every cited section; none of their specifications change.</w:t>
      </w:r>
    </w:p>
    <w:p>
      <w:pPr>
        <w:pStyle w:val="Heading1"/>
        <w:spacing w:after="120" w:before="240" w:line="288" w:lineRule="auto"/>
      </w:pPr>
      <w:r>
        <w:rPr>
          <w:rFonts w:ascii="Calibri" w:cs="Calibri" w:eastAsia="Calibri" w:hAnsi="Calibri"/>
          <w:color w:val="000000"/>
          <w:sz w:val="48"/>
          <w:szCs w:val="48"/>
        </w:rPr>
        <w:t xml:space="preserve">Table of Contents</w:t>
      </w:r>
    </w:p>
    <w:p>
      <w:pPr>
        <w:spacing w:after="60" w:line="360" w:lineRule="auto"/>
      </w:pPr>
      <w:r>
        <w:rPr>
          <w:rFonts w:ascii="Calibri" w:cs="Calibri" w:eastAsia="Calibri" w:hAnsi="Calibri"/>
          <w:b/>
          <w:bCs/>
          <w:i w:val="false"/>
          <w:iCs w:val="false"/>
          <w:strike w:val="false"/>
          <w:color w:val="0D2A5E"/>
          <w:sz w:val="22"/>
          <w:szCs w:val="22"/>
        </w:rPr>
        <w:t xml:space="preserve">PART I — FOUNDATIONAL OVERVIEW</w:t>
      </w:r>
    </w:p>
    <w:p>
      <w:pPr>
        <w:spacing w:after="60" w:line="360" w:lineRule="auto"/>
      </w:pPr>
      <w:r>
        <w:rPr>
          <w:rFonts w:ascii="Calibri" w:cs="Calibri" w:eastAsia="Calibri" w:hAnsi="Calibri"/>
          <w:b/>
          <w:bCs/>
          <w:i w:val="false"/>
          <w:iCs w:val="false"/>
          <w:strike w:val="false"/>
          <w:color w:val="7B0000"/>
          <w:sz w:val="22"/>
          <w:szCs w:val="22"/>
        </w:rPr>
        <w:t xml:space="preserve">DOMAIN 0 — THE PRIME DIRECTIVE: The Foundational Harm-Prevention Rule (Supreme Authority — Supersedes All Other Rules)</w:t>
      </w:r>
    </w:p>
    <w:p>
      <w:pPr>
        <w:spacing w:after="60" w:line="360" w:lineRule="auto"/>
      </w:pPr>
      <w:r>
        <w:rPr>
          <w:rFonts w:ascii="Calibri" w:cs="Calibri" w:eastAsia="Calibri" w:hAnsi="Calibri"/>
          <w:b w:val="false"/>
          <w:bCs w:val="false"/>
          <w:i w:val="false"/>
          <w:iCs w:val="false"/>
          <w:strike w:val="false"/>
          <w:color w:val="000000"/>
          <w:sz w:val="20"/>
          <w:szCs w:val="20"/>
        </w:rPr>
        <w:t xml:space="preserve">D0.1 Statement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 Scope of the Prime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D0.2.1 Query Answers and Responses</w:t>
      </w:r>
    </w:p>
    <w:p>
      <w:pPr>
        <w:spacing w:after="60" w:line="360" w:lineRule="auto"/>
      </w:pPr>
      <w:r>
        <w:rPr>
          <w:rFonts w:ascii="Calibri" w:cs="Calibri" w:eastAsia="Calibri" w:hAnsi="Calibri"/>
          <w:b w:val="false"/>
          <w:bCs w:val="false"/>
          <w:i w:val="false"/>
          <w:iCs w:val="false"/>
          <w:strike w:val="false"/>
          <w:color w:val="000000"/>
          <w:sz w:val="20"/>
          <w:szCs w:val="20"/>
        </w:rPr>
        <w:t xml:space="preserve">D0.2.2 Commerce Signals and Product Recommendations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D0.2.3 AI-Generated Applications</w:t>
      </w:r>
    </w:p>
    <w:p>
      <w:pPr>
        <w:spacing w:after="60" w:line="360" w:lineRule="auto"/>
      </w:pPr>
      <w:r>
        <w:rPr>
          <w:rFonts w:ascii="Calibri" w:cs="Calibri" w:eastAsia="Calibri" w:hAnsi="Calibri"/>
          <w:b w:val="false"/>
          <w:bCs w:val="false"/>
          <w:i w:val="false"/>
          <w:iCs w:val="false"/>
          <w:strike w:val="false"/>
          <w:color w:val="000000"/>
          <w:sz w:val="20"/>
          <w:szCs w:val="20"/>
        </w:rPr>
        <w:t xml:space="preserve">D0.2.4 Fact Graph Content</w:t>
      </w:r>
    </w:p>
    <w:p>
      <w:pPr>
        <w:spacing w:after="60" w:line="360" w:lineRule="auto"/>
      </w:pPr>
      <w:r>
        <w:rPr>
          <w:rFonts w:ascii="Calibri" w:cs="Calibri" w:eastAsia="Calibri" w:hAnsi="Calibri"/>
          <w:b w:val="false"/>
          <w:bCs w:val="false"/>
          <w:i w:val="false"/>
          <w:iCs w:val="false"/>
          <w:strike w:val="false"/>
          <w:color w:val="000000"/>
          <w:sz w:val="20"/>
          <w:szCs w:val="20"/>
        </w:rPr>
        <w:t xml:space="preserve">D0.2.5 Automated and Scheduled Outputs</w:t>
      </w:r>
    </w:p>
    <w:p>
      <w:pPr>
        <w:spacing w:after="60" w:line="360" w:lineRule="auto"/>
      </w:pPr>
      <w:r>
        <w:rPr>
          <w:rFonts w:ascii="Calibri" w:cs="Calibri" w:eastAsia="Calibri" w:hAnsi="Calibri"/>
          <w:b w:val="false"/>
          <w:bCs w:val="false"/>
          <w:i w:val="false"/>
          <w:iCs w:val="false"/>
          <w:strike w:val="false"/>
          <w:color w:val="000000"/>
          <w:sz w:val="20"/>
          <w:szCs w:val="20"/>
        </w:rPr>
        <w:t xml:space="preserve">D0.3 Definition of Harm</w:t>
      </w:r>
    </w:p>
    <w:p>
      <w:pPr>
        <w:spacing w:after="60" w:line="360" w:lineRule="auto"/>
      </w:pPr>
      <w:r>
        <w:rPr>
          <w:rFonts w:ascii="Calibri" w:cs="Calibri" w:eastAsia="Calibri" w:hAnsi="Calibri"/>
          <w:b w:val="false"/>
          <w:bCs w:val="false"/>
          <w:i w:val="false"/>
          <w:iCs w:val="false"/>
          <w:strike w:val="false"/>
          <w:color w:val="000000"/>
          <w:sz w:val="20"/>
          <w:szCs w:val="20"/>
        </w:rPr>
        <w:t xml:space="preserve">D0.4 The Without-Information Rule</w:t>
      </w:r>
    </w:p>
    <w:p>
      <w:pPr>
        <w:spacing w:after="60" w:line="360" w:lineRule="auto"/>
      </w:pPr>
      <w:r>
        <w:rPr>
          <w:rFonts w:ascii="Calibri" w:cs="Calibri" w:eastAsia="Calibri" w:hAnsi="Calibri"/>
          <w:b w:val="false"/>
          <w:bCs w:val="false"/>
          <w:i w:val="false"/>
          <w:iCs w:val="false"/>
          <w:strike w:val="false"/>
          <w:color w:val="000000"/>
          <w:sz w:val="20"/>
          <w:szCs w:val="20"/>
        </w:rPr>
        <w:t xml:space="preserve">D0.5 The Two Permitted Adjustment Pathways</w:t>
      </w:r>
    </w:p>
    <w:p>
      <w:pPr>
        <w:spacing w:after="60" w:line="360" w:lineRule="auto"/>
      </w:pPr>
      <w:r>
        <w:rPr>
          <w:rFonts w:ascii="Calibri" w:cs="Calibri" w:eastAsia="Calibri" w:hAnsi="Calibri"/>
          <w:b w:val="false"/>
          <w:bCs w:val="false"/>
          <w:i w:val="false"/>
          <w:iCs w:val="false"/>
          <w:strike w:val="false"/>
          <w:color w:val="000000"/>
          <w:sz w:val="20"/>
          <w:szCs w:val="20"/>
        </w:rPr>
        <w:t xml:space="preserve">D0.5.1 Pathway 1 — Custom Ingestion Templates</w:t>
      </w:r>
    </w:p>
    <w:p>
      <w:pPr>
        <w:spacing w:after="60" w:line="360" w:lineRule="auto"/>
      </w:pPr>
      <w:r>
        <w:rPr>
          <w:rFonts w:ascii="Calibri" w:cs="Calibri" w:eastAsia="Calibri" w:hAnsi="Calibri"/>
          <w:b w:val="false"/>
          <w:bCs w:val="false"/>
          <w:i w:val="false"/>
          <w:iCs w:val="false"/>
          <w:strike w:val="false"/>
          <w:color w:val="000000"/>
          <w:sz w:val="20"/>
          <w:szCs w:val="20"/>
        </w:rPr>
        <w:t xml:space="preserve">D0.5.2 Pathway 2 — Custom System Settings</w:t>
      </w:r>
    </w:p>
    <w:p>
      <w:pPr>
        <w:spacing w:after="60" w:line="360" w:lineRule="auto"/>
      </w:pPr>
      <w:r>
        <w:rPr>
          <w:rFonts w:ascii="Calibri" w:cs="Calibri" w:eastAsia="Calibri" w:hAnsi="Calibri"/>
          <w:b w:val="false"/>
          <w:bCs w:val="false"/>
          <w:i w:val="false"/>
          <w:iCs w:val="false"/>
          <w:strike w:val="false"/>
          <w:color w:val="000000"/>
          <w:sz w:val="20"/>
          <w:szCs w:val="20"/>
        </w:rPr>
        <w:t xml:space="preserve">D0.6 Relationship to the Safety Substrate (Chapter 8)</w:t>
      </w:r>
    </w:p>
    <w:p>
      <w:pPr>
        <w:spacing w:after="60" w:line="360" w:lineRule="auto"/>
      </w:pPr>
      <w:r>
        <w:rPr>
          <w:rFonts w:ascii="Calibri" w:cs="Calibri" w:eastAsia="Calibri" w:hAnsi="Calibri"/>
          <w:b w:val="false"/>
          <w:bCs w:val="false"/>
          <w:i w:val="false"/>
          <w:iCs w:val="false"/>
          <w:strike w:val="false"/>
          <w:color w:val="000000"/>
          <w:sz w:val="20"/>
          <w:szCs w:val="20"/>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0"/>
          <w:szCs w:val="20"/>
        </w:rPr>
        <w:t xml:space="preserve">D0.8 Primacy Declaration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 Introduction and Purpose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 Canonical Terminology Glossary</w:t>
      </w:r>
    </w:p>
    <w:p>
      <w:pPr>
        <w:spacing w:after="60" w:line="360" w:lineRule="auto"/>
      </w:pPr>
      <w:r>
        <w:rPr>
          <w:rFonts w:ascii="Calibri" w:cs="Calibri" w:eastAsia="Calibri" w:hAnsi="Calibri"/>
          <w:b/>
          <w:bCs/>
          <w:i w:val="false"/>
          <w:iCs w:val="false"/>
          <w:strike w:val="false"/>
          <w:color w:val="0D2A5E"/>
          <w:sz w:val="22"/>
          <w:szCs w:val="22"/>
        </w:rPr>
        <w:t xml:space="preserve">PART II — FACT UNIT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 Fact Unit Structure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3.1 Fact Unit Schema</w:t>
      </w:r>
    </w:p>
    <w:p>
      <w:pPr>
        <w:spacing w:after="60" w:line="360" w:lineRule="auto"/>
      </w:pPr>
      <w:r>
        <w:rPr>
          <w:rFonts w:ascii="Calibri" w:cs="Calibri" w:eastAsia="Calibri" w:hAnsi="Calibri"/>
          <w:b w:val="false"/>
          <w:bCs w:val="false"/>
          <w:i w:val="false"/>
          <w:iCs w:val="false"/>
          <w:strike w:val="false"/>
          <w:color w:val="333333"/>
          <w:sz w:val="20"/>
          <w:szCs w:val="20"/>
        </w:rPr>
        <w:t xml:space="preserve">3.2 Fact Unit Lifecycle</w:t>
      </w:r>
    </w:p>
    <w:p>
      <w:pPr>
        <w:spacing w:after="60" w:line="360" w:lineRule="auto"/>
      </w:pPr>
      <w:r>
        <w:rPr>
          <w:rFonts w:ascii="Calibri" w:cs="Calibri" w:eastAsia="Calibri" w:hAnsi="Calibri"/>
          <w:b w:val="false"/>
          <w:bCs w:val="false"/>
          <w:i w:val="false"/>
          <w:iCs w:val="false"/>
          <w:strike w:val="false"/>
          <w:color w:val="333333"/>
          <w:sz w:val="20"/>
          <w:szCs w:val="20"/>
        </w:rPr>
        <w:t xml:space="preserve">3.3 Fact Unit Equivalence and Deduplication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3.4 Fact Bundle Structure</w:t>
      </w:r>
    </w:p>
    <w:p>
      <w:pPr>
        <w:spacing w:after="60" w:line="360" w:lineRule="auto"/>
      </w:pPr>
      <w:r>
        <w:rPr>
          <w:rFonts w:ascii="Calibri" w:cs="Calibri" w:eastAsia="Calibri" w:hAnsi="Calibri"/>
          <w:b w:val="false"/>
          <w:bCs w:val="false"/>
          <w:i w:val="false"/>
          <w:iCs w:val="false"/>
          <w:strike w:val="false"/>
          <w:color w:val="333333"/>
          <w:sz w:val="20"/>
          <w:szCs w:val="20"/>
        </w:rPr>
        <w:t xml:space="preserve">3.5 Fact Stream Structure</w:t>
      </w:r>
    </w:p>
    <w:p>
      <w:pPr>
        <w:spacing w:after="60" w:line="360" w:lineRule="auto"/>
      </w:pPr>
      <w:r>
        <w:rPr>
          <w:rFonts w:ascii="Calibri" w:cs="Calibri" w:eastAsia="Calibri" w:hAnsi="Calibri"/>
          <w:b/>
          <w:bCs/>
          <w:i w:val="false"/>
          <w:iCs w:val="false"/>
          <w:strike w:val="false"/>
          <w:color w:val="0D2A5E"/>
          <w:sz w:val="22"/>
          <w:szCs w:val="22"/>
        </w:rPr>
        <w:t xml:space="preserve">PART III — INGESTION PIPELINE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 Multimodal Ingestion Pipeline — Complete Specification</w:t>
      </w:r>
    </w:p>
    <w:p>
      <w:pPr>
        <w:spacing w:after="60" w:line="360" w:lineRule="auto"/>
      </w:pPr>
      <w:r>
        <w:rPr>
          <w:rFonts w:ascii="Calibri" w:cs="Calibri" w:eastAsia="Calibri" w:hAnsi="Calibri"/>
          <w:b w:val="false"/>
          <w:bCs w:val="false"/>
          <w:i w:val="false"/>
          <w:iCs w:val="false"/>
          <w:strike w:val="false"/>
          <w:color w:val="333333"/>
          <w:sz w:val="20"/>
          <w:szCs w:val="20"/>
        </w:rPr>
        <w:t xml:space="preserve">4.1 Pipeline Architecture Overview</w:t>
      </w:r>
    </w:p>
    <w:p>
      <w:pPr>
        <w:spacing w:after="60" w:line="360" w:lineRule="auto"/>
      </w:pPr>
      <w:r>
        <w:rPr>
          <w:rFonts w:ascii="Calibri" w:cs="Calibri" w:eastAsia="Calibri" w:hAnsi="Calibri"/>
          <w:b w:val="false"/>
          <w:bCs w:val="false"/>
          <w:i w:val="false"/>
          <w:iCs w:val="false"/>
          <w:strike w:val="false"/>
          <w:color w:val="333333"/>
          <w:sz w:val="20"/>
          <w:szCs w:val="20"/>
        </w:rPr>
        <w:t xml:space="preserve">4.2 Supported Input Modalities</w:t>
      </w:r>
    </w:p>
    <w:p>
      <w:pPr>
        <w:spacing w:after="60" w:line="360" w:lineRule="auto"/>
      </w:pPr>
      <w:r>
        <w:rPr>
          <w:rFonts w:ascii="Calibri" w:cs="Calibri" w:eastAsia="Calibri" w:hAnsi="Calibri"/>
          <w:b w:val="false"/>
          <w:bCs w:val="false"/>
          <w:i w:val="false"/>
          <w:iCs w:val="false"/>
          <w:strike w:val="false"/>
          <w:color w:val="333333"/>
          <w:sz w:val="20"/>
          <w:szCs w:val="20"/>
        </w:rPr>
        <w:t xml:space="preserve">4.3 Per-Modality Extraction Specifications</w:t>
      </w:r>
    </w:p>
    <w:p>
      <w:pPr>
        <w:spacing w:after="60" w:line="360" w:lineRule="auto"/>
      </w:pPr>
      <w:r>
        <w:rPr>
          <w:rFonts w:ascii="Calibri" w:cs="Calibri" w:eastAsia="Calibri" w:hAnsi="Calibri"/>
          <w:b w:val="false"/>
          <w:bCs w:val="false"/>
          <w:i w:val="false"/>
          <w:iCs w:val="false"/>
          <w:strike w:val="false"/>
          <w:color w:val="333333"/>
          <w:sz w:val="20"/>
          <w:szCs w:val="20"/>
        </w:rPr>
        <w:t xml:space="preserve">4.4 Ingestion Orchestrator</w:t>
      </w:r>
    </w:p>
    <w:p>
      <w:pPr>
        <w:spacing w:after="60" w:line="360" w:lineRule="auto"/>
      </w:pPr>
      <w:r>
        <w:rPr>
          <w:rFonts w:ascii="Calibri" w:cs="Calibri" w:eastAsia="Calibri" w:hAnsi="Calibri"/>
          <w:b w:val="false"/>
          <w:bCs w:val="false"/>
          <w:i w:val="false"/>
          <w:iCs w:val="false"/>
          <w:strike w:val="false"/>
          <w:color w:val="333333"/>
          <w:sz w:val="20"/>
          <w:szCs w:val="20"/>
        </w:rPr>
        <w:t xml:space="preserve">4.5 Entity Resolution and Linking</w:t>
      </w:r>
    </w:p>
    <w:p>
      <w:pPr>
        <w:spacing w:after="60" w:line="360" w:lineRule="auto"/>
      </w:pPr>
      <w:r>
        <w:rPr>
          <w:rFonts w:ascii="Calibri" w:cs="Calibri" w:eastAsia="Calibri" w:hAnsi="Calibri"/>
          <w:b w:val="false"/>
          <w:bCs w:val="false"/>
          <w:i w:val="false"/>
          <w:iCs w:val="false"/>
          <w:strike w:val="false"/>
          <w:color w:val="333333"/>
          <w:sz w:val="20"/>
          <w:szCs w:val="20"/>
        </w:rPr>
        <w:t xml:space="preserve">4.6 Confidence Calibration</w:t>
      </w:r>
    </w:p>
    <w:p>
      <w:pPr>
        <w:spacing w:after="60" w:line="360" w:lineRule="auto"/>
      </w:pPr>
      <w:r>
        <w:rPr>
          <w:rFonts w:ascii="Calibri" w:cs="Calibri" w:eastAsia="Calibri" w:hAnsi="Calibri"/>
          <w:b/>
          <w:bCs/>
          <w:i w:val="false"/>
          <w:iCs w:val="false"/>
          <w:strike w:val="false"/>
          <w:color w:val="0D2A5E"/>
          <w:sz w:val="22"/>
          <w:szCs w:val="22"/>
        </w:rPr>
        <w:t xml:space="preserve">PART IV — PROVENANCE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 Provenance Ledger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 — ONTOLOGY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 Ontology Mesh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 — NEUROMORPHIC COGNITIVE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 Neuromorphic Cognitive Layer (NCL)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 — SAFETY SUBSTRATE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 Safety Substrate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VIII — SEMANTIC TRANSPORT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 Semantic Transport Layer (STL)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IX — PREDICTIVE INFERENCE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 Predictive Inference Engine (PIE)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 — SCENARIO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11: Scenario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 — NARRATIVE GRAPH SYSTEM</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12: Narrative Graph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XII — QUERYBOOK FORMAT (QBF)</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13: QueryBook Format (QBF) — Complete Binary Specification</w:t>
      </w:r>
    </w:p>
    <w:p>
      <w:pPr>
        <w:spacing w:after="60" w:line="360" w:lineRule="auto"/>
      </w:pPr>
      <w:r>
        <w:rPr>
          <w:rFonts w:ascii="Calibri" w:cs="Calibri" w:eastAsia="Calibri" w:hAnsi="Calibri"/>
          <w:b/>
          <w:bCs/>
          <w:i w:val="false"/>
          <w:iCs w:val="false"/>
          <w:strike w:val="false"/>
          <w:color w:val="0D2A5E"/>
          <w:sz w:val="22"/>
          <w:szCs w:val="22"/>
        </w:rPr>
        <w:t xml:space="preserve">PART XIII — STORAGE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14: QueryBook Storage Architecture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XIV — AGI EXTENSION MODULES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15: AGI Extension Modules (AEM)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 — MULTILINGUAL REGENERATION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16: Multilingual Regeneration Engine (MRE)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 — CROSS-DOMAIN RULE ENGINE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17: Cross-Domain Rule Engine (CDRE)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 — QUERY LANGUAGE AND API</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18: QB-Query Language — Complete Specification</w:t>
      </w:r>
    </w:p>
    <w:p>
      <w:pPr>
        <w:spacing w:after="60" w:line="360" w:lineRule="auto"/>
      </w:pPr>
      <w:r>
        <w:rPr>
          <w:rFonts w:ascii="Calibri" w:cs="Calibri" w:eastAsia="Calibri" w:hAnsi="Calibri"/>
          <w:b/>
          <w:bCs/>
          <w:i w:val="false"/>
          <w:iCs w:val="false"/>
          <w:strike w:val="false"/>
          <w:color w:val="0D2A5E"/>
          <w:sz w:val="22"/>
          <w:szCs w:val="22"/>
        </w:rPr>
        <w:t xml:space="preserve">PART XVIII — SYSTEM INTEGRATION AND DEPLOYMENT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19: Deployment Architecture</w:t>
      </w:r>
    </w:p>
    <w:p>
      <w:pPr>
        <w:spacing w:after="60" w:line="360" w:lineRule="auto"/>
      </w:pPr>
      <w:r>
        <w:rPr>
          <w:rFonts w:ascii="Calibri" w:cs="Calibri" w:eastAsia="Calibri" w:hAnsi="Calibri"/>
          <w:b/>
          <w:bCs/>
          <w:i w:val="false"/>
          <w:iCs w:val="false"/>
          <w:strike w:val="false"/>
          <w:color w:val="0D2A5E"/>
          <w:sz w:val="22"/>
          <w:szCs w:val="22"/>
        </w:rPr>
        <w:t xml:space="preserve">PART XIX — PATENT REFERENCE FRAMEWORK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20: Patent Claim Reference Index</w:t>
      </w:r>
    </w:p>
    <w:p>
      <w:pPr>
        <w:spacing w:after="60" w:line="360" w:lineRule="auto"/>
      </w:pPr>
      <w:r>
        <w:rPr>
          <w:rFonts w:ascii="Calibri" w:cs="Calibri" w:eastAsia="Calibri" w:hAnsi="Calibri"/>
          <w:b/>
          <w:bCs/>
          <w:i w:val="false"/>
          <w:iCs w:val="false"/>
          <w:strike w:val="false"/>
          <w:color w:val="0D2A5E"/>
          <w:sz w:val="22"/>
          <w:szCs w:val="22"/>
        </w:rPr>
        <w:t xml:space="preserve">APPENDICES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 QueryBook as a Semantic Programming Platform: QBQL, QBPL, and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48.1 Introduction — The Three Language Forms</w:t>
      </w:r>
    </w:p>
    <w:p>
      <w:pPr>
        <w:spacing w:after="60" w:line="360" w:lineRule="auto"/>
      </w:pPr>
      <w:r>
        <w:rPr>
          <w:rFonts w:ascii="Calibri" w:cs="Calibri" w:eastAsia="Calibri" w:hAnsi="Calibri"/>
          <w:b w:val="false"/>
          <w:bCs w:val="false"/>
          <w:i w:val="false"/>
          <w:iCs w:val="false"/>
          <w:strike w:val="false"/>
          <w:color w:val="000000"/>
          <w:sz w:val="20"/>
          <w:szCs w:val="20"/>
        </w:rPr>
        <w:t xml:space="preserve">48.2 QBQL — QueryBook Query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48.2.1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48.2.2 QBQL Canonical Clause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48.2.3 QBQL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48.2.4 QBQL Data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48.2.5 QBQL Representative Examples</w:t>
      </w:r>
    </w:p>
    <w:p>
      <w:pPr>
        <w:spacing w:after="60" w:line="360" w:lineRule="auto"/>
      </w:pPr>
      <w:r>
        <w:rPr>
          <w:rFonts w:ascii="Calibri" w:cs="Calibri" w:eastAsia="Calibri" w:hAnsi="Calibri"/>
          <w:b w:val="false"/>
          <w:bCs w:val="false"/>
          <w:i w:val="false"/>
          <w:iCs w:val="false"/>
          <w:strike w:val="false"/>
          <w:color w:val="000000"/>
          <w:sz w:val="20"/>
          <w:szCs w:val="20"/>
        </w:rPr>
        <w:t xml:space="preserve">48.2.6 QBQL Execution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48.2.7 QBQL Error and Warning Model</w:t>
      </w:r>
    </w:p>
    <w:p>
      <w:pPr>
        <w:spacing w:after="60" w:line="360" w:lineRule="auto"/>
      </w:pPr>
      <w:r>
        <w:rPr>
          <w:rFonts w:ascii="Calibri" w:cs="Calibri" w:eastAsia="Calibri" w:hAnsi="Calibri"/>
          <w:b w:val="false"/>
          <w:bCs w:val="false"/>
          <w:i w:val="false"/>
          <w:iCs w:val="false"/>
          <w:strike w:val="false"/>
          <w:color w:val="000000"/>
          <w:sz w:val="20"/>
          <w:szCs w:val="20"/>
        </w:rPr>
        <w:t xml:space="preserve">48.3 QBPL — QueryBook Programming Language</w:t>
      </w:r>
    </w:p>
    <w:p>
      <w:pPr>
        <w:spacing w:after="60" w:line="360" w:lineRule="auto"/>
      </w:pPr>
      <w:r>
        <w:rPr>
          <w:rFonts w:ascii="Calibri" w:cs="Calibri" w:eastAsia="Calibri" w:hAnsi="Calibri"/>
          <w:b w:val="false"/>
          <w:bCs w:val="false"/>
          <w:i w:val="false"/>
          <w:iCs w:val="false"/>
          <w:strike w:val="false"/>
          <w:color w:val="000000"/>
          <w:sz w:val="20"/>
          <w:szCs w:val="20"/>
        </w:rPr>
        <w:t xml:space="preserve">48.3.1 The Two Added Primitives — Completing Turing Completeness</w:t>
      </w:r>
    </w:p>
    <w:p>
      <w:pPr>
        <w:spacing w:after="60" w:line="360" w:lineRule="auto"/>
      </w:pPr>
      <w:r>
        <w:rPr>
          <w:rFonts w:ascii="Calibri" w:cs="Calibri" w:eastAsia="Calibri" w:hAnsi="Calibri"/>
          <w:b w:val="false"/>
          <w:bCs w:val="false"/>
          <w:i w:val="false"/>
          <w:iCs w:val="false"/>
          <w:strike w:val="false"/>
          <w:color w:val="000000"/>
          <w:sz w:val="20"/>
          <w:szCs w:val="20"/>
        </w:rPr>
        <w:t xml:space="preserve">48.3.2 QBPL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48.3.3 QBPL Complete Keyword Set</w:t>
      </w:r>
    </w:p>
    <w:p>
      <w:pPr>
        <w:spacing w:after="60" w:line="360" w:lineRule="auto"/>
      </w:pPr>
      <w:r>
        <w:rPr>
          <w:rFonts w:ascii="Calibri" w:cs="Calibri" w:eastAsia="Calibri" w:hAnsi="Calibri"/>
          <w:b w:val="false"/>
          <w:bCs w:val="false"/>
          <w:i w:val="false"/>
          <w:iCs w:val="false"/>
          <w:strike w:val="false"/>
          <w:color w:val="000000"/>
          <w:sz w:val="20"/>
          <w:szCs w:val="20"/>
        </w:rPr>
        <w:t xml:space="preserve">48.3.4 QBPL Type System</w:t>
      </w:r>
    </w:p>
    <w:p>
      <w:pPr>
        <w:spacing w:after="60" w:line="360" w:lineRule="auto"/>
      </w:pPr>
      <w:r>
        <w:rPr>
          <w:rFonts w:ascii="Calibri" w:cs="Calibri" w:eastAsia="Calibri" w:hAnsi="Calibri"/>
          <w:b w:val="false"/>
          <w:bCs w:val="false"/>
          <w:i w:val="false"/>
          <w:iCs w:val="false"/>
          <w:strike w:val="false"/>
          <w:color w:val="000000"/>
          <w:sz w:val="20"/>
          <w:szCs w:val="20"/>
        </w:rPr>
        <w:t xml:space="preserve">48.3.5 QBPL Representative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48.3.6 QBPL Execution Model — Semantic Execution Plan and Program State Register</w:t>
      </w:r>
    </w:p>
    <w:p>
      <w:pPr>
        <w:spacing w:after="60" w:line="360" w:lineRule="auto"/>
      </w:pPr>
      <w:r>
        <w:rPr>
          <w:rFonts w:ascii="Calibri" w:cs="Calibri" w:eastAsia="Calibri" w:hAnsi="Calibri"/>
          <w:b w:val="false"/>
          <w:bCs w:val="false"/>
          <w:i w:val="false"/>
          <w:iCs w:val="false"/>
          <w:strike w:val="false"/>
          <w:color w:val="000000"/>
          <w:sz w:val="20"/>
          <w:szCs w:val="20"/>
        </w:rPr>
        <w:t xml:space="preserve">48.4 NLPL — Natural Language as Source Code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48.4.1 The Revolutionary Form</w:t>
      </w:r>
    </w:p>
    <w:p>
      <w:pPr>
        <w:spacing w:after="60" w:line="360" w:lineRule="auto"/>
      </w:pPr>
      <w:r>
        <w:rPr>
          <w:rFonts w:ascii="Calibri" w:cs="Calibri" w:eastAsia="Calibri" w:hAnsi="Calibri"/>
          <w:b w:val="false"/>
          <w:bCs w:val="false"/>
          <w:i w:val="false"/>
          <w:iCs w:val="false"/>
          <w:strike w:val="false"/>
          <w:color w:val="000000"/>
          <w:sz w:val="20"/>
          <w:szCs w:val="20"/>
        </w:rPr>
        <w:t xml:space="preserve">48.4.2 The Five-Stage NLPL Compilation Pipeline</w:t>
      </w:r>
    </w:p>
    <w:p>
      <w:pPr>
        <w:spacing w:after="60" w:line="360" w:lineRule="auto"/>
      </w:pPr>
      <w:r>
        <w:rPr>
          <w:rFonts w:ascii="Calibri" w:cs="Calibri" w:eastAsia="Calibri" w:hAnsi="Calibri"/>
          <w:b w:val="false"/>
          <w:bCs w:val="false"/>
          <w:i w:val="false"/>
          <w:iCs w:val="false"/>
          <w:strike w:val="false"/>
          <w:color w:val="000000"/>
          <w:sz w:val="20"/>
          <w:szCs w:val="20"/>
        </w:rPr>
        <w:t xml:space="preserve">48.4.3 Stage 1 — Intent Decomposition Engine (IDE)</w:t>
      </w:r>
    </w:p>
    <w:p>
      <w:pPr>
        <w:spacing w:after="60" w:line="360" w:lineRule="auto"/>
      </w:pPr>
      <w:r>
        <w:rPr>
          <w:rFonts w:ascii="Calibri" w:cs="Calibri" w:eastAsia="Calibri" w:hAnsi="Calibri"/>
          <w:b w:val="false"/>
          <w:bCs w:val="false"/>
          <w:i w:val="false"/>
          <w:iCs w:val="false"/>
          <w:strike w:val="false"/>
          <w:color w:val="000000"/>
          <w:sz w:val="20"/>
          <w:szCs w:val="20"/>
        </w:rPr>
        <w:t xml:space="preserve">48.4.4 Stage 2 — Program Structure Synthesizer (PSS)</w:t>
      </w:r>
    </w:p>
    <w:p>
      <w:pPr>
        <w:spacing w:after="60" w:line="360" w:lineRule="auto"/>
      </w:pPr>
      <w:r>
        <w:rPr>
          <w:rFonts w:ascii="Calibri" w:cs="Calibri" w:eastAsia="Calibri" w:hAnsi="Calibri"/>
          <w:b w:val="false"/>
          <w:bCs w:val="false"/>
          <w:i w:val="false"/>
          <w:iCs w:val="false"/>
          <w:strike w:val="false"/>
          <w:color w:val="000000"/>
          <w:sz w:val="20"/>
          <w:szCs w:val="20"/>
        </w:rPr>
        <w:t xml:space="preserve">48.4.5 Stage 3 — Semantic Binding Resolver (SBR) and Ambiguity Resolution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48.4.6 Stage 4 — QBPL Program Emitter (QPE)</w:t>
      </w:r>
    </w:p>
    <w:p>
      <w:pPr>
        <w:spacing w:after="60" w:line="360" w:lineRule="auto"/>
      </w:pPr>
      <w:r>
        <w:rPr>
          <w:rFonts w:ascii="Calibri" w:cs="Calibri" w:eastAsia="Calibri" w:hAnsi="Calibri"/>
          <w:b w:val="false"/>
          <w:bCs w:val="false"/>
          <w:i w:val="false"/>
          <w:iCs w:val="false"/>
          <w:strike w:val="false"/>
          <w:color w:val="000000"/>
          <w:sz w:val="20"/>
          <w:szCs w:val="20"/>
        </w:rPr>
        <w:t xml:space="preserve">48.4.7 Stage 5 — Verification and Confirmation Gate (VCG)</w:t>
      </w:r>
    </w:p>
    <w:p>
      <w:pPr>
        <w:spacing w:after="60" w:line="360" w:lineRule="auto"/>
      </w:pPr>
      <w:r>
        <w:rPr>
          <w:rFonts w:ascii="Calibri" w:cs="Calibri" w:eastAsia="Calibri" w:hAnsi="Calibri"/>
          <w:b w:val="false"/>
          <w:bCs w:val="false"/>
          <w:i w:val="false"/>
          <w:iCs w:val="false"/>
          <w:strike w:val="false"/>
          <w:color w:val="000000"/>
          <w:sz w:val="20"/>
          <w:szCs w:val="20"/>
        </w:rPr>
        <w:t xml:space="preserve">48.4.8 NLPL Program Records and Versioning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48.4.9 Multilingual NLPL</w:t>
      </w:r>
    </w:p>
    <w:p>
      <w:pPr>
        <w:spacing w:after="60" w:line="360" w:lineRule="auto"/>
      </w:pPr>
      <w:r>
        <w:rPr>
          <w:rFonts w:ascii="Calibri" w:cs="Calibri" w:eastAsia="Calibri" w:hAnsi="Calibri"/>
          <w:b w:val="false"/>
          <w:bCs w:val="false"/>
          <w:i w:val="false"/>
          <w:iCs w:val="false"/>
          <w:strike w:val="false"/>
          <w:color w:val="000000"/>
          <w:sz w:val="20"/>
          <w:szCs w:val="20"/>
        </w:rPr>
        <w:t xml:space="preserve">48.4.10 NLPL Versus Prior Art</w:t>
      </w:r>
    </w:p>
    <w:p>
      <w:pPr>
        <w:spacing w:after="60" w:line="360" w:lineRule="auto"/>
      </w:pPr>
      <w:r>
        <w:rPr>
          <w:rFonts w:ascii="Calibri" w:cs="Calibri" w:eastAsia="Calibri" w:hAnsi="Calibri"/>
          <w:b w:val="false"/>
          <w:bCs w:val="false"/>
          <w:i w:val="false"/>
          <w:iCs w:val="false"/>
          <w:strike w:val="false"/>
          <w:color w:val="000000"/>
          <w:sz w:val="20"/>
          <w:szCs w:val="20"/>
        </w:rPr>
        <w:t xml:space="preserve">48.5 The Nine Programming Primitives — QueryBook Status</w:t>
      </w:r>
    </w:p>
    <w:p>
      <w:pPr>
        <w:spacing w:after="120" w:line="360" w:lineRule="auto"/>
      </w:pPr>
      <w:r>
        <w:rPr>
          <w:rFonts w:ascii="Calibri" w:cs="Calibri" w:eastAsia="Calibri" w:hAnsi="Calibri"/>
          <w:b w:val="false"/>
          <w:bCs w:val="false"/>
          <w:i w:val="false"/>
          <w:iCs w:val="false"/>
          <w:strike w:val="false"/>
          <w:color w:val="000000"/>
          <w:sz w:val="20"/>
          <w:szCs w:val="20"/>
        </w:rPr>
        <w:t xml:space="preserve">48.6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 The Live Fact Graph, Universal Ingestion Architecture, and Continuous Query Engine</w:t>
      </w:r>
    </w:p>
    <w:p>
      <w:pPr>
        <w:spacing w:after="60" w:line="360" w:lineRule="auto"/>
      </w:pPr>
      <w:r>
        <w:rPr>
          <w:rFonts w:ascii="Calibri" w:cs="Calibri" w:eastAsia="Calibri" w:hAnsi="Calibri"/>
          <w:b w:val="false"/>
          <w:bCs w:val="false"/>
          <w:i w:val="false"/>
          <w:iCs w:val="false"/>
          <w:strike w:val="false"/>
          <w:color w:val="000000"/>
          <w:sz w:val="20"/>
          <w:szCs w:val="20"/>
        </w:rPr>
        <w:t xml:space="preserve">49.1 The Core Insight — Eliminating the Streaming Boundary</w:t>
      </w:r>
    </w:p>
    <w:p>
      <w:pPr>
        <w:spacing w:after="60" w:line="360" w:lineRule="auto"/>
      </w:pPr>
      <w:r>
        <w:rPr>
          <w:rFonts w:ascii="Calibri" w:cs="Calibri" w:eastAsia="Calibri" w:hAnsi="Calibri"/>
          <w:b w:val="false"/>
          <w:bCs w:val="false"/>
          <w:i w:val="false"/>
          <w:iCs w:val="false"/>
          <w:strike w:val="false"/>
          <w:color w:val="000000"/>
          <w:sz w:val="20"/>
          <w:szCs w:val="20"/>
        </w:rPr>
        <w:t xml:space="preserve">49.2 The Live Fact Graph — Dual-Layer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49.2.1 The Persistent Fact Store (PFS)</w:t>
      </w:r>
    </w:p>
    <w:p>
      <w:pPr>
        <w:spacing w:after="60" w:line="360" w:lineRule="auto"/>
      </w:pPr>
      <w:r>
        <w:rPr>
          <w:rFonts w:ascii="Calibri" w:cs="Calibri" w:eastAsia="Calibri" w:hAnsi="Calibri"/>
          <w:b w:val="false"/>
          <w:bCs w:val="false"/>
          <w:i w:val="false"/>
          <w:iCs w:val="false"/>
          <w:strike w:val="false"/>
          <w:color w:val="000000"/>
          <w:sz w:val="20"/>
          <w:szCs w:val="20"/>
        </w:rPr>
        <w:t xml:space="preserve">49.2.2 The Live Fact Buffer (LFB)</w:t>
      </w:r>
    </w:p>
    <w:p>
      <w:pPr>
        <w:spacing w:after="60" w:line="360" w:lineRule="auto"/>
      </w:pPr>
      <w:r>
        <w:rPr>
          <w:rFonts w:ascii="Calibri" w:cs="Calibri" w:eastAsia="Calibri" w:hAnsi="Calibri"/>
          <w:b w:val="false"/>
          <w:bCs w:val="false"/>
          <w:i w:val="false"/>
          <w:iCs w:val="false"/>
          <w:strike w:val="false"/>
          <w:color w:val="000000"/>
          <w:sz w:val="20"/>
          <w:szCs w:val="20"/>
        </w:rPr>
        <w:t xml:space="preserve">49.2.3 LFB Confidence Staging — Three Levels (RAW, PARTIAL, CERTIFIED)</w:t>
      </w:r>
    </w:p>
    <w:p>
      <w:pPr>
        <w:spacing w:after="60" w:line="360" w:lineRule="auto"/>
      </w:pPr>
      <w:r>
        <w:rPr>
          <w:rFonts w:ascii="Calibri" w:cs="Calibri" w:eastAsia="Calibri" w:hAnsi="Calibri"/>
          <w:b w:val="false"/>
          <w:bCs w:val="false"/>
          <w:i w:val="false"/>
          <w:iCs w:val="false"/>
          <w:strike w:val="false"/>
          <w:color w:val="000000"/>
          <w:sz w:val="20"/>
          <w:szCs w:val="20"/>
        </w:rPr>
        <w:t xml:space="preserve">49.2.4 The Stream Reconciler (SR)</w:t>
      </w:r>
    </w:p>
    <w:p>
      <w:pPr>
        <w:spacing w:after="60" w:line="360" w:lineRule="auto"/>
      </w:pPr>
      <w:r>
        <w:rPr>
          <w:rFonts w:ascii="Calibri" w:cs="Calibri" w:eastAsia="Calibri" w:hAnsi="Calibri"/>
          <w:b w:val="false"/>
          <w:bCs w:val="false"/>
          <w:i w:val="false"/>
          <w:iCs w:val="false"/>
          <w:strike w:val="false"/>
          <w:color w:val="000000"/>
          <w:sz w:val="20"/>
          <w:szCs w:val="20"/>
        </w:rPr>
        <w:t xml:space="preserve">49.3 The Universal Ingestion Architecture (UIA)</w:t>
      </w:r>
    </w:p>
    <w:p>
      <w:pPr>
        <w:spacing w:after="60" w:line="360" w:lineRule="auto"/>
      </w:pPr>
      <w:r>
        <w:rPr>
          <w:rFonts w:ascii="Calibri" w:cs="Calibri" w:eastAsia="Calibri" w:hAnsi="Calibri"/>
          <w:b w:val="false"/>
          <w:bCs w:val="false"/>
          <w:i w:val="false"/>
          <w:iCs w:val="false"/>
          <w:strike w:val="false"/>
          <w:color w:val="000000"/>
          <w:sz w:val="20"/>
          <w:szCs w:val="20"/>
        </w:rPr>
        <w:t xml:space="preserve">49.3.1 UIA Pipeline — Four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 The Six Ingestion Source Types</w:t>
      </w:r>
    </w:p>
    <w:p>
      <w:pPr>
        <w:spacing w:after="60" w:line="360" w:lineRule="auto"/>
      </w:pPr>
      <w:r>
        <w:rPr>
          <w:rFonts w:ascii="Calibri" w:cs="Calibri" w:eastAsia="Calibri" w:hAnsi="Calibri"/>
          <w:b w:val="false"/>
          <w:bCs w:val="false"/>
          <w:i w:val="false"/>
          <w:iCs w:val="false"/>
          <w:strike w:val="false"/>
          <w:color w:val="000000"/>
          <w:sz w:val="20"/>
          <w:szCs w:val="20"/>
        </w:rPr>
        <w:t xml:space="preserve">49.3.2.1 Source Type 1 — BATCH</w:t>
      </w:r>
    </w:p>
    <w:p>
      <w:pPr>
        <w:spacing w:after="60" w:line="360" w:lineRule="auto"/>
      </w:pPr>
      <w:r>
        <w:rPr>
          <w:rFonts w:ascii="Calibri" w:cs="Calibri" w:eastAsia="Calibri" w:hAnsi="Calibri"/>
          <w:b w:val="false"/>
          <w:bCs w:val="false"/>
          <w:i w:val="false"/>
          <w:iCs w:val="false"/>
          <w:strike w:val="false"/>
          <w:color w:val="000000"/>
          <w:sz w:val="20"/>
          <w:szCs w:val="20"/>
        </w:rPr>
        <w:t xml:space="preserve">49.3.2.2 Source Type 2 — STREAM</w:t>
      </w:r>
    </w:p>
    <w:p>
      <w:pPr>
        <w:spacing w:after="60" w:line="360" w:lineRule="auto"/>
      </w:pPr>
      <w:r>
        <w:rPr>
          <w:rFonts w:ascii="Calibri" w:cs="Calibri" w:eastAsia="Calibri" w:hAnsi="Calibri"/>
          <w:b w:val="false"/>
          <w:bCs w:val="false"/>
          <w:i w:val="false"/>
          <w:iCs w:val="false"/>
          <w:strike w:val="false"/>
          <w:color w:val="000000"/>
          <w:sz w:val="20"/>
          <w:szCs w:val="20"/>
        </w:rPr>
        <w:t xml:space="preserve">49.3.2.3 Source Type 3 — API_PULL</w:t>
      </w:r>
    </w:p>
    <w:p>
      <w:pPr>
        <w:spacing w:after="60" w:line="360" w:lineRule="auto"/>
      </w:pPr>
      <w:r>
        <w:rPr>
          <w:rFonts w:ascii="Calibri" w:cs="Calibri" w:eastAsia="Calibri" w:hAnsi="Calibri"/>
          <w:b w:val="false"/>
          <w:bCs w:val="false"/>
          <w:i w:val="false"/>
          <w:iCs w:val="false"/>
          <w:strike w:val="false"/>
          <w:color w:val="000000"/>
          <w:sz w:val="20"/>
          <w:szCs w:val="20"/>
        </w:rPr>
        <w:t xml:space="preserve">49.3.2.4 Source Type 4 — EVENT_HOOK</w:t>
      </w:r>
    </w:p>
    <w:p>
      <w:pPr>
        <w:spacing w:after="60" w:line="360" w:lineRule="auto"/>
      </w:pPr>
      <w:r>
        <w:rPr>
          <w:rFonts w:ascii="Calibri" w:cs="Calibri" w:eastAsia="Calibri" w:hAnsi="Calibri"/>
          <w:b w:val="false"/>
          <w:bCs w:val="false"/>
          <w:i w:val="false"/>
          <w:iCs w:val="false"/>
          <w:strike w:val="false"/>
          <w:color w:val="000000"/>
          <w:sz w:val="20"/>
          <w:szCs w:val="20"/>
        </w:rPr>
        <w:t xml:space="preserve">49.3.2.5 Source Type 5 — SENSOR / IoT</w:t>
      </w:r>
    </w:p>
    <w:p>
      <w:pPr>
        <w:spacing w:after="60" w:line="360" w:lineRule="auto"/>
      </w:pPr>
      <w:r>
        <w:rPr>
          <w:rFonts w:ascii="Calibri" w:cs="Calibri" w:eastAsia="Calibri" w:hAnsi="Calibri"/>
          <w:b w:val="false"/>
          <w:bCs w:val="false"/>
          <w:i w:val="false"/>
          <w:iCs w:val="false"/>
          <w:strike w:val="false"/>
          <w:color w:val="000000"/>
          <w:sz w:val="20"/>
          <w:szCs w:val="20"/>
        </w:rPr>
        <w:t xml:space="preserve">49.3.2.6 Source Type 6 — FEDERATED</w:t>
      </w:r>
    </w:p>
    <w:p>
      <w:pPr>
        <w:spacing w:after="60" w:line="360" w:lineRule="auto"/>
      </w:pPr>
      <w:r>
        <w:rPr>
          <w:rFonts w:ascii="Calibri" w:cs="Calibri" w:eastAsia="Calibri" w:hAnsi="Calibri"/>
          <w:b w:val="false"/>
          <w:bCs w:val="false"/>
          <w:i w:val="false"/>
          <w:iCs w:val="false"/>
          <w:strike w:val="false"/>
          <w:color w:val="000000"/>
          <w:sz w:val="20"/>
          <w:szCs w:val="20"/>
        </w:rPr>
        <w:t xml:space="preserve">49.3.3 The Source Connector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49.4 NLPL Streaming Extensions — The WATCH Program Specification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49.4.1 WATCH Program Structure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49.4.2 WATCH Trigger Expressions (ON ARRIVAL, ON CONTRADICTION, ON THRESHOLD, ON SCHEDULE)</w:t>
      </w:r>
    </w:p>
    <w:p>
      <w:pPr>
        <w:spacing w:after="60" w:line="360" w:lineRule="auto"/>
      </w:pPr>
      <w:r>
        <w:rPr>
          <w:rFonts w:ascii="Calibri" w:cs="Calibri" w:eastAsia="Calibri" w:hAnsi="Calibri"/>
          <w:b w:val="false"/>
          <w:bCs w:val="false"/>
          <w:i w:val="false"/>
          <w:iCs w:val="false"/>
          <w:strike w:val="false"/>
          <w:color w:val="000000"/>
          <w:sz w:val="20"/>
          <w:szCs w:val="20"/>
        </w:rPr>
        <w:t xml:space="preserve">49.4.3 WINDOW Specifications (ROLLING, TUMBLING, SESSION)</w:t>
      </w:r>
    </w:p>
    <w:p>
      <w:pPr>
        <w:spacing w:after="60" w:line="360" w:lineRule="auto"/>
      </w:pPr>
      <w:r>
        <w:rPr>
          <w:rFonts w:ascii="Calibri" w:cs="Calibri" w:eastAsia="Calibri" w:hAnsi="Calibri"/>
          <w:b w:val="false"/>
          <w:bCs w:val="false"/>
          <w:i w:val="false"/>
          <w:iCs w:val="false"/>
          <w:strike w:val="false"/>
          <w:color w:val="000000"/>
          <w:sz w:val="20"/>
          <w:szCs w:val="20"/>
        </w:rPr>
        <w:t xml:space="preserve">49.4.4 WATCH Streaming Keywords (CORRELATE, ACCUMULATE UNTIL, EMIT ALERT, EMIT TO STREAM, FREEZE SNAPSHOT)</w:t>
      </w:r>
    </w:p>
    <w:p>
      <w:pPr>
        <w:spacing w:after="60" w:line="360" w:lineRule="auto"/>
      </w:pPr>
      <w:r>
        <w:rPr>
          <w:rFonts w:ascii="Calibri" w:cs="Calibri" w:eastAsia="Calibri" w:hAnsi="Calibri"/>
          <w:b w:val="false"/>
          <w:bCs w:val="false"/>
          <w:i w:val="false"/>
          <w:iCs w:val="false"/>
          <w:strike w:val="false"/>
          <w:color w:val="000000"/>
          <w:sz w:val="20"/>
          <w:szCs w:val="20"/>
        </w:rPr>
        <w:t xml:space="preserve">49.4.5 Representative WATCH Programs</w:t>
      </w:r>
    </w:p>
    <w:p>
      <w:pPr>
        <w:spacing w:after="60" w:line="360" w:lineRule="auto"/>
      </w:pPr>
      <w:r>
        <w:rPr>
          <w:rFonts w:ascii="Calibri" w:cs="Calibri" w:eastAsia="Calibri" w:hAnsi="Calibri"/>
          <w:b w:val="false"/>
          <w:bCs w:val="false"/>
          <w:i w:val="false"/>
          <w:iCs w:val="false"/>
          <w:strike w:val="false"/>
          <w:color w:val="000000"/>
          <w:sz w:val="20"/>
          <w:szCs w:val="20"/>
        </w:rPr>
        <w:t xml:space="preserve">49.5 The Continuous Query Engine (CQE)</w:t>
      </w:r>
    </w:p>
    <w:p>
      <w:pPr>
        <w:spacing w:after="60" w:line="360" w:lineRule="auto"/>
      </w:pPr>
      <w:r>
        <w:rPr>
          <w:rFonts w:ascii="Calibri" w:cs="Calibri" w:eastAsia="Calibri" w:hAnsi="Calibri"/>
          <w:b w:val="false"/>
          <w:bCs w:val="false"/>
          <w:i w:val="false"/>
          <w:iCs w:val="false"/>
          <w:strike w:val="false"/>
          <w:color w:val="000000"/>
          <w:sz w:val="20"/>
          <w:szCs w:val="20"/>
        </w:rPr>
        <w:t xml:space="preserve">49.5.1 CQE Components (WATCH Program Registry, Fact Delta Notifier, WATCH Evaluator, Output Router)</w:t>
      </w:r>
    </w:p>
    <w:p>
      <w:pPr>
        <w:spacing w:after="60" w:line="360" w:lineRule="auto"/>
      </w:pPr>
      <w:r>
        <w:rPr>
          <w:rFonts w:ascii="Calibri" w:cs="Calibri" w:eastAsia="Calibri" w:hAnsi="Calibri"/>
          <w:b w:val="false"/>
          <w:bCs w:val="false"/>
          <w:i w:val="false"/>
          <w:iCs w:val="false"/>
          <w:strike w:val="false"/>
          <w:color w:val="000000"/>
          <w:sz w:val="20"/>
          <w:szCs w:val="20"/>
        </w:rPr>
        <w:t xml:space="preserve">49.5.2 CQE Resource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49.5.3 CQE Failure Handling</w:t>
      </w:r>
    </w:p>
    <w:p>
      <w:pPr>
        <w:spacing w:after="60" w:line="360" w:lineRule="auto"/>
      </w:pPr>
      <w:r>
        <w:rPr>
          <w:rFonts w:ascii="Calibri" w:cs="Calibri" w:eastAsia="Calibri" w:hAnsi="Calibri"/>
          <w:b w:val="false"/>
          <w:bCs w:val="false"/>
          <w:i w:val="false"/>
          <w:iCs w:val="false"/>
          <w:strike w:val="false"/>
          <w:color w:val="000000"/>
          <w:sz w:val="20"/>
          <w:szCs w:val="20"/>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0"/>
          <w:szCs w:val="20"/>
        </w:rPr>
        <w:t xml:space="preserve">49.7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52: The Adaptive Response Engine (ARE)</w:t>
      </w:r>
    </w:p>
    <w:p>
      <w:pPr>
        <w:spacing w:after="60" w:line="360" w:lineRule="auto"/>
      </w:pPr>
      <w:r>
        <w:rPr>
          <w:rFonts w:ascii="Calibri" w:cs="Calibri" w:eastAsia="Calibri" w:hAnsi="Calibri"/>
          <w:b w:val="false"/>
          <w:bCs w:val="false"/>
          <w:i w:val="false"/>
          <w:iCs w:val="false"/>
          <w:strike w:val="false"/>
          <w:color w:val="000000"/>
          <w:sz w:val="20"/>
          <w:szCs w:val="20"/>
        </w:rPr>
        <w:t xml:space="preserve">52.1 Introduction — The Missing Layer Between Retrieval and Generation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52.2 Formal Definition and Position in the QB Stack</w:t>
      </w:r>
    </w:p>
    <w:p>
      <w:pPr>
        <w:spacing w:after="60" w:line="360" w:lineRule="auto"/>
      </w:pPr>
      <w:r>
        <w:rPr>
          <w:rFonts w:ascii="Calibri" w:cs="Calibri" w:eastAsia="Calibri" w:hAnsi="Calibri"/>
          <w:b w:val="false"/>
          <w:bCs w:val="false"/>
          <w:i w:val="false"/>
          <w:iCs w:val="false"/>
          <w:strike w:val="false"/>
          <w:color w:val="000000"/>
          <w:sz w:val="20"/>
          <w:szCs w:val="20"/>
        </w:rPr>
        <w:t xml:space="preserve">52.3 The Response Profile</w:t>
      </w:r>
    </w:p>
    <w:p>
      <w:pPr>
        <w:spacing w:after="60" w:line="360" w:lineRule="auto"/>
      </w:pPr>
      <w:r>
        <w:rPr>
          <w:rFonts w:ascii="Calibri" w:cs="Calibri" w:eastAsia="Calibri" w:hAnsi="Calibri"/>
          <w:b w:val="false"/>
          <w:bCs w:val="false"/>
          <w:i w:val="false"/>
          <w:iCs w:val="false"/>
          <w:strike w:val="false"/>
          <w:color w:val="000000"/>
          <w:sz w:val="20"/>
          <w:szCs w:val="20"/>
        </w:rPr>
        <w:t xml:space="preserve">52.3.1 Response Profile Fields</w:t>
      </w:r>
    </w:p>
    <w:p>
      <w:pPr>
        <w:spacing w:after="60" w:line="360" w:lineRule="auto"/>
      </w:pPr>
      <w:r>
        <w:rPr>
          <w:rFonts w:ascii="Calibri" w:cs="Calibri" w:eastAsia="Calibri" w:hAnsi="Calibri"/>
          <w:b w:val="false"/>
          <w:bCs w:val="false"/>
          <w:i w:val="false"/>
          <w:iCs w:val="false"/>
          <w:strike w:val="false"/>
          <w:color w:val="000000"/>
          <w:sz w:val="20"/>
          <w:szCs w:val="20"/>
        </w:rPr>
        <w:t xml:space="preserve">52.4 The Expertise Level Taxonomy</w:t>
      </w:r>
    </w:p>
    <w:p>
      <w:pPr>
        <w:spacing w:after="60" w:line="360" w:lineRule="auto"/>
      </w:pPr>
      <w:r>
        <w:rPr>
          <w:rFonts w:ascii="Calibri" w:cs="Calibri" w:eastAsia="Calibri" w:hAnsi="Calibri"/>
          <w:b w:val="false"/>
          <w:bCs w:val="false"/>
          <w:i w:val="false"/>
          <w:iCs w:val="false"/>
          <w:strike w:val="false"/>
          <w:color w:val="000000"/>
          <w:sz w:val="20"/>
          <w:szCs w:val="20"/>
        </w:rPr>
        <w:t xml:space="preserve">52.5 The Discipline Mode Registry</w:t>
      </w:r>
    </w:p>
    <w:p>
      <w:pPr>
        <w:spacing w:after="60" w:line="360" w:lineRule="auto"/>
      </w:pPr>
      <w:r>
        <w:rPr>
          <w:rFonts w:ascii="Calibri" w:cs="Calibri" w:eastAsia="Calibri" w:hAnsi="Calibri"/>
          <w:b w:val="false"/>
          <w:bCs w:val="false"/>
          <w:i w:val="false"/>
          <w:iCs w:val="false"/>
          <w:strike w:val="false"/>
          <w:color w:val="000000"/>
          <w:sz w:val="20"/>
          <w:szCs w:val="20"/>
        </w:rPr>
        <w:t xml:space="preserve">52.5.1 GENERAL — 52.5.9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52.6 Audience Targeting Profiles</w:t>
      </w:r>
    </w:p>
    <w:p>
      <w:pPr>
        <w:spacing w:after="60" w:line="360" w:lineRule="auto"/>
      </w:pPr>
      <w:r>
        <w:rPr>
          <w:rFonts w:ascii="Calibri" w:cs="Calibri" w:eastAsia="Calibri" w:hAnsi="Calibri"/>
          <w:b w:val="false"/>
          <w:bCs w:val="false"/>
          <w:i w:val="false"/>
          <w:iCs w:val="false"/>
          <w:strike w:val="false"/>
          <w:color w:val="000000"/>
          <w:sz w:val="20"/>
          <w:szCs w:val="20"/>
        </w:rPr>
        <w:t xml:space="preserve">52.7 The Three-Tier Response Profile Governance Cascade</w:t>
      </w:r>
    </w:p>
    <w:p>
      <w:pPr>
        <w:spacing w:after="60" w:line="360" w:lineRule="auto"/>
      </w:pPr>
      <w:r>
        <w:rPr>
          <w:rFonts w:ascii="Calibri" w:cs="Calibri" w:eastAsia="Calibri" w:hAnsi="Calibri"/>
          <w:b w:val="false"/>
          <w:bCs w:val="false"/>
          <w:i w:val="false"/>
          <w:iCs w:val="false"/>
          <w:strike w:val="false"/>
          <w:color w:val="000000"/>
          <w:sz w:val="20"/>
          <w:szCs w:val="20"/>
        </w:rPr>
        <w:t xml:space="preserve">52.7.1 Tier 1 — Operator  |  52.7.2 Tier 2 — Author  |  52.7.3 Tier 3 — Subscriber  |  52.7.4 Resolution Order</w:t>
      </w:r>
    </w:p>
    <w:p>
      <w:pPr>
        <w:spacing w:after="60" w:line="360" w:lineRule="auto"/>
      </w:pPr>
      <w:r>
        <w:rPr>
          <w:rFonts w:ascii="Calibri" w:cs="Calibri" w:eastAsia="Calibri" w:hAnsi="Calibri"/>
          <w:b w:val="false"/>
          <w:bCs w:val="false"/>
          <w:i w:val="false"/>
          <w:iCs w:val="false"/>
          <w:strike w:val="false"/>
          <w:color w:val="000000"/>
          <w:sz w:val="20"/>
          <w:szCs w:val="20"/>
        </w:rPr>
        <w:t xml:space="preserve">52.8 The ARE Pipeline — From Retrieval Result to Generation Directive</w:t>
      </w:r>
    </w:p>
    <w:p>
      <w:pPr>
        <w:spacing w:after="60" w:line="360" w:lineRule="auto"/>
      </w:pPr>
      <w:r>
        <w:rPr>
          <w:rFonts w:ascii="Calibri" w:cs="Calibri" w:eastAsia="Calibri" w:hAnsi="Calibri"/>
          <w:b w:val="false"/>
          <w:bCs w:val="false"/>
          <w:i w:val="false"/>
          <w:iCs w:val="false"/>
          <w:strike w:val="false"/>
          <w:color w:val="000000"/>
          <w:sz w:val="20"/>
          <w:szCs w:val="20"/>
        </w:rPr>
        <w:t xml:space="preserve">52.8.1 Stage 1 — Result Set Analysis  |  52.8.2 Stage 2 — Discipline Mode Template Selection  |  52.8.3 Stage 3 — Expertise Level Calibration  |  52.8.4 Stage 4 — Audience Profile Structuring  |  52.8.5 Stage 5 — Generation Directive Assembly</w:t>
      </w:r>
    </w:p>
    <w:p>
      <w:pPr>
        <w:spacing w:after="60" w:line="360" w:lineRule="auto"/>
      </w:pPr>
      <w:r>
        <w:rPr>
          <w:rFonts w:ascii="Calibri" w:cs="Calibri" w:eastAsia="Calibri" w:hAnsi="Calibri"/>
          <w:b w:val="false"/>
          <w:bCs w:val="false"/>
          <w:i w:val="false"/>
          <w:iCs w:val="false"/>
          <w:strike w:val="false"/>
          <w:color w:val="000000"/>
          <w:sz w:val="20"/>
          <w:szCs w:val="20"/>
        </w:rPr>
        <w:t xml:space="preserve">52.9 Explicit Response Mode Declaration — Natural Language Interface</w:t>
      </w:r>
    </w:p>
    <w:p>
      <w:pPr>
        <w:spacing w:after="60" w:line="360" w:lineRule="auto"/>
      </w:pPr>
      <w:r>
        <w:rPr>
          <w:rFonts w:ascii="Calibri" w:cs="Calibri" w:eastAsia="Calibri" w:hAnsi="Calibri"/>
          <w:b w:val="false"/>
          <w:bCs w:val="false"/>
          <w:i w:val="false"/>
          <w:iCs w:val="false"/>
          <w:strike w:val="false"/>
          <w:color w:val="000000"/>
          <w:sz w:val="20"/>
          <w:szCs w:val="20"/>
        </w:rPr>
        <w:t xml:space="preserve">52.10 ARE Interaction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52.11 ARE Interaction With the NLIL</w:t>
      </w:r>
    </w:p>
    <w:p>
      <w:pPr>
        <w:spacing w:after="60" w:line="360" w:lineRule="auto"/>
      </w:pPr>
      <w:r>
        <w:rPr>
          <w:rFonts w:ascii="Calibri" w:cs="Calibri" w:eastAsia="Calibri" w:hAnsi="Calibri"/>
          <w:b w:val="false"/>
          <w:bCs w:val="false"/>
          <w:i w:val="false"/>
          <w:iCs w:val="false"/>
          <w:strike w:val="false"/>
          <w:color w:val="000000"/>
          <w:sz w:val="20"/>
          <w:szCs w:val="20"/>
        </w:rPr>
        <w:t xml:space="preserve">52.14 Patent Significance</w:t>
      </w:r>
    </w:p>
    <w:p>
      <w:pPr>
        <w:spacing w:after="60" w:line="360" w:lineRule="auto"/>
      </w:pPr>
      <w:r>
        <w:rPr>
          <w:rFonts w:ascii="Calibri" w:cs="Calibri" w:eastAsia="Calibri" w:hAnsi="Calibri"/>
          <w:b/>
          <w:bCs/>
          <w:i w:val="false"/>
          <w:iCs w:val="false"/>
          <w:strike w:val="false"/>
          <w:color w:val="0D2A5E"/>
          <w:sz w:val="22"/>
          <w:szCs w:val="22"/>
        </w:rPr>
        <w:t xml:space="preserve">PART XI — WORLD INTELLIGENCE AND COGNITIVE ARCHITECTURE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53: World Aware System Model (WASM) — QueryBook's Dynamic Conceptual Brain</w:t>
      </w:r>
    </w:p>
    <w:p>
      <w:pPr>
        <w:spacing w:after="60" w:line="360" w:lineRule="auto"/>
      </w:pPr>
      <w:r>
        <w:rPr>
          <w:rFonts w:ascii="Calibri" w:cs="Calibri" w:eastAsia="Calibri" w:hAnsi="Calibri"/>
          <w:b w:val="false"/>
          <w:bCs w:val="false"/>
          <w:i w:val="false"/>
          <w:iCs w:val="false"/>
          <w:strike w:val="false"/>
          <w:color w:val="000000"/>
          <w:sz w:val="20"/>
          <w:szCs w:val="20"/>
        </w:rPr>
        <w:t xml:space="preserve">53.1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53.2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53.3 World Model Domain — Six Structural Layers (Object, Relation, Physics, Affordance, Social, Schema)</w:t>
      </w:r>
    </w:p>
    <w:p>
      <w:pPr>
        <w:spacing w:after="60" w:line="360" w:lineRule="auto"/>
      </w:pPr>
      <w:r>
        <w:rPr>
          <w:rFonts w:ascii="Calibri" w:cs="Calibri" w:eastAsia="Calibri" w:hAnsi="Calibri"/>
          <w:b w:val="false"/>
          <w:bCs w:val="false"/>
          <w:i w:val="false"/>
          <w:iCs w:val="false"/>
          <w:strike w:val="false"/>
          <w:color w:val="000000"/>
          <w:sz w:val="20"/>
          <w:szCs w:val="20"/>
        </w:rPr>
        <w:t xml:space="preserve">53.4 WorldModel API — Core Functions (Update, Query, Infer, Revise)</w:t>
      </w:r>
    </w:p>
    <w:p>
      <w:pPr>
        <w:spacing w:after="60" w:line="360" w:lineRule="auto"/>
      </w:pPr>
      <w:r>
        <w:rPr>
          <w:rFonts w:ascii="Calibri" w:cs="Calibri" w:eastAsia="Calibri" w:hAnsi="Calibri"/>
          <w:b w:val="false"/>
          <w:bCs w:val="false"/>
          <w:i w:val="false"/>
          <w:iCs w:val="false"/>
          <w:strike w:val="false"/>
          <w:color w:val="000000"/>
          <w:sz w:val="20"/>
          <w:szCs w:val="20"/>
        </w:rPr>
        <w:t xml:space="preserve">53.5 Integration with QueryBook Domains</w:t>
      </w:r>
    </w:p>
    <w:p>
      <w:pPr>
        <w:spacing w:after="60" w:line="360" w:lineRule="auto"/>
      </w:pPr>
      <w:r>
        <w:rPr>
          <w:rFonts w:ascii="Calibri" w:cs="Calibri" w:eastAsia="Calibri" w:hAnsi="Calibri"/>
          <w:b w:val="false"/>
          <w:bCs w:val="false"/>
          <w:i w:val="false"/>
          <w:iCs w:val="false"/>
          <w:strike w:val="false"/>
          <w:color w:val="000000"/>
          <w:sz w:val="20"/>
          <w:szCs w:val="20"/>
        </w:rPr>
        <w:t xml:space="preserve">53.6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53.7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53.8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54: CML — Conceptual Memory Layer — QueryBook's Long-Term World Understanding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54.1 Purpose and Mandate</w:t>
      </w:r>
    </w:p>
    <w:p>
      <w:pPr>
        <w:spacing w:after="60" w:line="360" w:lineRule="auto"/>
      </w:pPr>
      <w:r>
        <w:rPr>
          <w:rFonts w:ascii="Calibri" w:cs="Calibri" w:eastAsia="Calibri" w:hAnsi="Calibri"/>
          <w:b w:val="false"/>
          <w:bCs w:val="false"/>
          <w:i w:val="false"/>
          <w:iCs w:val="false"/>
          <w:strike w:val="false"/>
          <w:color w:val="000000"/>
          <w:sz w:val="20"/>
          <w:szCs w:val="20"/>
        </w:rPr>
        <w:t xml:space="preserve">54.2 Core Design Principles</w:t>
      </w:r>
    </w:p>
    <w:p>
      <w:pPr>
        <w:spacing w:after="60" w:line="360" w:lineRule="auto"/>
      </w:pPr>
      <w:r>
        <w:rPr>
          <w:rFonts w:ascii="Calibri" w:cs="Calibri" w:eastAsia="Calibri" w:hAnsi="Calibri"/>
          <w:b w:val="false"/>
          <w:bCs w:val="false"/>
          <w:i w:val="false"/>
          <w:iCs w:val="false"/>
          <w:strike w:val="false"/>
          <w:color w:val="000000"/>
          <w:sz w:val="20"/>
          <w:szCs w:val="20"/>
        </w:rPr>
        <w:t xml:space="preserve">54.3 Internal Structure — Four Components (Concept Nodes, Rule Nodes, Schema Nodes, Concept Graph)</w:t>
      </w:r>
    </w:p>
    <w:p>
      <w:pPr>
        <w:spacing w:after="60" w:line="360" w:lineRule="auto"/>
      </w:pPr>
      <w:r>
        <w:rPr>
          <w:rFonts w:ascii="Calibri" w:cs="Calibri" w:eastAsia="Calibri" w:hAnsi="Calibri"/>
          <w:b w:val="false"/>
          <w:bCs w:val="false"/>
          <w:i w:val="false"/>
          <w:iCs w:val="false"/>
          <w:strike w:val="false"/>
          <w:color w:val="000000"/>
          <w:sz w:val="20"/>
          <w:szCs w:val="20"/>
        </w:rPr>
        <w:t xml:space="preserve">54.4 Core Functions (Store, Update, ReviseRule, Merge, Split, Query)</w:t>
      </w:r>
    </w:p>
    <w:p>
      <w:pPr>
        <w:spacing w:after="60" w:line="360" w:lineRule="auto"/>
      </w:pPr>
      <w:r>
        <w:rPr>
          <w:rFonts w:ascii="Calibri" w:cs="Calibri" w:eastAsia="Calibri" w:hAnsi="Calibri"/>
          <w:b w:val="false"/>
          <w:bCs w:val="false"/>
          <w:i w:val="false"/>
          <w:iCs w:val="false"/>
          <w:strike w:val="false"/>
          <w:color w:val="000000"/>
          <w:sz w:val="20"/>
          <w:szCs w:val="20"/>
        </w:rPr>
        <w:t xml:space="preserve">54.5 What the CML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54.6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54.7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55: SAP — Sensory Abstraction Pipeline — From Raw Perception to Structured Concepts</w:t>
      </w:r>
    </w:p>
    <w:p>
      <w:pPr>
        <w:spacing w:after="60" w:line="360" w:lineRule="auto"/>
      </w:pPr>
      <w:r>
        <w:rPr>
          <w:rFonts w:ascii="Calibri" w:cs="Calibri" w:eastAsia="Calibri" w:hAnsi="Calibri"/>
          <w:b w:val="false"/>
          <w:bCs w:val="false"/>
          <w:i w:val="false"/>
          <w:iCs w:val="false"/>
          <w:strike w:val="false"/>
          <w:color w:val="000000"/>
          <w:sz w:val="20"/>
          <w:szCs w:val="20"/>
        </w:rPr>
        <w:t xml:space="preserve">55.1 Purpose and Role</w:t>
      </w:r>
    </w:p>
    <w:p>
      <w:pPr>
        <w:spacing w:after="60" w:line="360" w:lineRule="auto"/>
      </w:pPr>
      <w:r>
        <w:rPr>
          <w:rFonts w:ascii="Calibri" w:cs="Calibri" w:eastAsia="Calibri" w:hAnsi="Calibri"/>
          <w:b w:val="false"/>
          <w:bCs w:val="false"/>
          <w:i w:val="false"/>
          <w:iCs w:val="false"/>
          <w:strike w:val="false"/>
          <w:color w:val="000000"/>
          <w:sz w:val="20"/>
          <w:szCs w:val="20"/>
        </w:rPr>
        <w:t xml:space="preserve">55.2 Abstraction Pipeline — Eight Stages</w:t>
      </w:r>
    </w:p>
    <w:p>
      <w:pPr>
        <w:spacing w:after="60" w:line="360" w:lineRule="auto"/>
      </w:pPr>
      <w:r>
        <w:rPr>
          <w:rFonts w:ascii="Calibri" w:cs="Calibri" w:eastAsia="Calibri" w:hAnsi="Calibri"/>
          <w:b w:val="false"/>
          <w:bCs w:val="false"/>
          <w:i w:val="false"/>
          <w:iCs w:val="false"/>
          <w:strike w:val="false"/>
          <w:color w:val="000000"/>
          <w:sz w:val="20"/>
          <w:szCs w:val="20"/>
        </w:rPr>
        <w:t xml:space="preserve">55.3 SAP Design Constraints</w:t>
      </w:r>
    </w:p>
    <w:p>
      <w:pPr>
        <w:spacing w:after="60" w:line="360" w:lineRule="auto"/>
      </w:pPr>
      <w:r>
        <w:rPr>
          <w:rFonts w:ascii="Calibri" w:cs="Calibri" w:eastAsia="Calibri" w:hAnsi="Calibri"/>
          <w:b w:val="false"/>
          <w:bCs w:val="false"/>
          <w:i w:val="false"/>
          <w:iCs w:val="false"/>
          <w:strike w:val="false"/>
          <w:color w:val="000000"/>
          <w:sz w:val="20"/>
          <w:szCs w:val="20"/>
        </w:rPr>
        <w:t xml:space="preserve">55.4 Integration Reference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55.5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55.6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56: RMD — Robot Memory Domain — Autonomous Agent Integration with the Fact Universe</w:t>
      </w:r>
    </w:p>
    <w:p>
      <w:pPr>
        <w:spacing w:after="60" w:line="360" w:lineRule="auto"/>
      </w:pPr>
      <w:r>
        <w:rPr>
          <w:rFonts w:ascii="Calibri" w:cs="Calibri" w:eastAsia="Calibri" w:hAnsi="Calibri"/>
          <w:b w:val="false"/>
          <w:bCs w:val="false"/>
          <w:i w:val="false"/>
          <w:iCs w:val="false"/>
          <w:strike w:val="false"/>
          <w:color w:val="000000"/>
          <w:sz w:val="20"/>
          <w:szCs w:val="20"/>
        </w:rPr>
        <w:t xml:space="preserve">56.1 Overview and Purpose</w:t>
      </w:r>
    </w:p>
    <w:p>
      <w:pPr>
        <w:spacing w:after="60" w:line="360" w:lineRule="auto"/>
      </w:pPr>
      <w:r>
        <w:rPr>
          <w:rFonts w:ascii="Calibri" w:cs="Calibri" w:eastAsia="Calibri" w:hAnsi="Calibri"/>
          <w:b w:val="false"/>
          <w:bCs w:val="false"/>
          <w:i w:val="false"/>
          <w:iCs w:val="false"/>
          <w:strike w:val="false"/>
          <w:color w:val="000000"/>
          <w:sz w:val="20"/>
          <w:szCs w:val="20"/>
        </w:rPr>
        <w:t xml:space="preserve">56.2 What the RMD Stores</w:t>
      </w:r>
    </w:p>
    <w:p>
      <w:pPr>
        <w:spacing w:after="60" w:line="360" w:lineRule="auto"/>
      </w:pPr>
      <w:r>
        <w:rPr>
          <w:rFonts w:ascii="Calibri" w:cs="Calibri" w:eastAsia="Calibri" w:hAnsi="Calibri"/>
          <w:b w:val="false"/>
          <w:bCs w:val="false"/>
          <w:i w:val="false"/>
          <w:iCs w:val="false"/>
          <w:strike w:val="false"/>
          <w:color w:val="000000"/>
          <w:sz w:val="20"/>
          <w:szCs w:val="20"/>
        </w:rPr>
        <w:t xml:space="preserve">56.3 What the RMD Does Not Store</w:t>
      </w:r>
    </w:p>
    <w:p>
      <w:pPr>
        <w:spacing w:after="60" w:line="360" w:lineRule="auto"/>
      </w:pPr>
      <w:r>
        <w:rPr>
          <w:rFonts w:ascii="Calibri" w:cs="Calibri" w:eastAsia="Calibri" w:hAnsi="Calibri"/>
          <w:b w:val="false"/>
          <w:bCs w:val="false"/>
          <w:i w:val="false"/>
          <w:iCs w:val="false"/>
          <w:strike w:val="false"/>
          <w:color w:val="000000"/>
          <w:sz w:val="20"/>
          <w:szCs w:val="20"/>
        </w:rPr>
        <w:t xml:space="preserve">56.4 RMD Integration Architecture</w:t>
      </w:r>
    </w:p>
    <w:p>
      <w:pPr>
        <w:spacing w:after="60" w:line="360" w:lineRule="auto"/>
      </w:pPr>
      <w:r>
        <w:rPr>
          <w:rFonts w:ascii="Calibri" w:cs="Calibri" w:eastAsia="Calibri" w:hAnsi="Calibri"/>
          <w:b w:val="false"/>
          <w:bCs w:val="false"/>
          <w:i w:val="false"/>
          <w:iCs w:val="false"/>
          <w:strike w:val="false"/>
          <w:color w:val="000000"/>
          <w:sz w:val="20"/>
          <w:szCs w:val="20"/>
        </w:rPr>
        <w:t xml:space="preserve">56.5 RMD Safety and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56.6 Three-Tier Governance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56.7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56.8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57: The Fact Unit as a Paradigm Breakthrough — Below-Language Meaning Storage</w:t>
      </w:r>
    </w:p>
    <w:p>
      <w:pPr>
        <w:spacing w:after="60" w:line="360" w:lineRule="auto"/>
      </w:pPr>
      <w:r>
        <w:rPr>
          <w:rFonts w:ascii="Calibri" w:cs="Calibri" w:eastAsia="Calibri" w:hAnsi="Calibri"/>
          <w:b w:val="false"/>
          <w:bCs w:val="false"/>
          <w:i w:val="false"/>
          <w:iCs w:val="false"/>
          <w:strike w:val="false"/>
          <w:color w:val="000000"/>
          <w:sz w:val="20"/>
          <w:szCs w:val="20"/>
        </w:rPr>
        <w:t xml:space="preserve">57.1 The Fundamental Shift</w:t>
      </w:r>
    </w:p>
    <w:p>
      <w:pPr>
        <w:spacing w:after="60" w:line="360" w:lineRule="auto"/>
      </w:pPr>
      <w:r>
        <w:rPr>
          <w:rFonts w:ascii="Calibri" w:cs="Calibri" w:eastAsia="Calibri" w:hAnsi="Calibri"/>
          <w:b w:val="false"/>
          <w:bCs w:val="false"/>
          <w:i w:val="false"/>
          <w:iCs w:val="false"/>
          <w:strike w:val="false"/>
          <w:color w:val="000000"/>
          <w:sz w:val="20"/>
          <w:szCs w:val="20"/>
        </w:rPr>
        <w:t xml:space="preserve">57.2 How LLMs Store and Retrieve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57.3 How QueryBook Stores and Retrieves Information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57.4 The Structural Comparison — QueryBook vs. LLM Derivatives</w:t>
      </w:r>
    </w:p>
    <w:p>
      <w:pPr>
        <w:spacing w:after="60" w:line="360" w:lineRule="auto"/>
      </w:pPr>
      <w:r>
        <w:rPr>
          <w:rFonts w:ascii="Calibri" w:cs="Calibri" w:eastAsia="Calibri" w:hAnsi="Calibri"/>
          <w:b w:val="false"/>
          <w:bCs w:val="false"/>
          <w:i w:val="false"/>
          <w:iCs w:val="false"/>
          <w:strike w:val="false"/>
          <w:color w:val="000000"/>
          <w:sz w:val="20"/>
          <w:szCs w:val="20"/>
        </w:rPr>
        <w:t xml:space="preserve">57.5 Efficiency Gains — Compute, Electricity, Hardware, and Cooling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57.6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58: Dual-Brain Cognitive Architecture — Semantic Intelligence and World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58.1 Overview — Two Fundamentally Different Forms of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58.2 The Semantic Brain — Fact Unit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58.3 The World Brain — Hypergraph Conceptual Intelligence</w:t>
      </w:r>
    </w:p>
    <w:p>
      <w:pPr>
        <w:spacing w:after="60" w:line="360" w:lineRule="auto"/>
      </w:pPr>
      <w:r>
        <w:rPr>
          <w:rFonts w:ascii="Calibri" w:cs="Calibri" w:eastAsia="Calibri" w:hAnsi="Calibri"/>
          <w:b w:val="false"/>
          <w:bCs w:val="false"/>
          <w:i w:val="false"/>
          <w:iCs w:val="false"/>
          <w:strike w:val="false"/>
          <w:color w:val="000000"/>
          <w:sz w:val="20"/>
          <w:szCs w:val="20"/>
        </w:rPr>
        <w:t xml:space="preserve">58.4 The Interface — Where the Two Brains Connect</w:t>
      </w:r>
    </w:p>
    <w:p>
      <w:pPr>
        <w:spacing w:after="60" w:line="360" w:lineRule="auto"/>
      </w:pPr>
      <w:r>
        <w:rPr>
          <w:rFonts w:ascii="Calibri" w:cs="Calibri" w:eastAsia="Calibri" w:hAnsi="Calibri"/>
          <w:b w:val="false"/>
          <w:bCs w:val="false"/>
          <w:i w:val="false"/>
          <w:iCs w:val="false"/>
          <w:strike w:val="false"/>
          <w:color w:val="000000"/>
          <w:sz w:val="20"/>
          <w:szCs w:val="20"/>
        </w:rPr>
        <w:t xml:space="preserve">58.5 Full Cognitive Element Classification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58.6 Why This Architecture Produces Real Reasoning</w:t>
      </w:r>
    </w:p>
    <w:p>
      <w:pPr>
        <w:spacing w:after="60" w:line="360" w:lineRule="auto"/>
      </w:pPr>
      <w:r>
        <w:rPr>
          <w:rFonts w:ascii="Calibri" w:cs="Calibri" w:eastAsia="Calibri" w:hAnsi="Calibri"/>
          <w:b w:val="false"/>
          <w:bCs w:val="false"/>
          <w:i w:val="false"/>
          <w:iCs w:val="false"/>
          <w:strike w:val="false"/>
          <w:color w:val="000000"/>
          <w:sz w:val="20"/>
          <w:szCs w:val="20"/>
        </w:rPr>
        <w:t xml:space="preserve">58.7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59: Dual-Grounded Developmental World Model — The Box Principle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36: Cross-Book Query History Analysis</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37: Conversational Intelligence Layer</w:t>
      </w:r>
      <w:r>
        <w:rPr>
          <w:rFonts w:ascii="Calibri" w:cs="Calibri" w:eastAsia="Calibri" w:hAnsi="Calibri"/>
          <w:b w:val="false"/>
          <w:bCs w:val="false"/>
          <w:i/>
          <w:iCs/>
          <w:strike w:val="false"/>
          <w:color w:val="B23B2E"/>
          <w:sz w:val="17"/>
          <w:szCs w:val="17"/>
        </w:rPr>
        <w:t xml:space="preserve"> [Added in Pass 3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47: QBCL-CMS — Configuration Language and Management System</w:t>
      </w:r>
      <w:r>
        <w:rPr>
          <w:rFonts w:ascii="Calibri" w:cs="Calibri" w:eastAsia="Calibri" w:hAnsi="Calibri"/>
          <w:b w:val="false"/>
          <w:bCs w:val="false"/>
          <w:i/>
          <w:iCs/>
          <w:strike w:val="false"/>
          <w:color w:val="B23B2E"/>
          <w:sz w:val="17"/>
          <w:szCs w:val="17"/>
        </w:rPr>
        <w:t xml:space="preserve"> [Added to close a dependency Chapter 52 has cited since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60: Publisher and Print-on-Demand Distribution</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61: Author Drafting Tools</w:t>
      </w:r>
      <w:r>
        <w:rPr>
          <w:rFonts w:ascii="Calibri" w:cs="Calibri" w:eastAsia="Calibri" w:hAnsi="Calibri"/>
          <w:b w:val="false"/>
          <w:bCs w:val="false"/>
          <w:i/>
          <w:iCs/>
          <w:strike w:val="false"/>
          <w:color w:val="B23B2E"/>
          <w:sz w:val="17"/>
          <w:szCs w:val="17"/>
        </w:rPr>
        <w:t xml:space="preserve"> [Survived compatibility audit of an external feature registry; see accompanying report]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62: Author-Hosted Reader Events</w:t>
      </w:r>
      <w:r>
        <w:rPr>
          <w:rFonts w:ascii="Calibri" w:cs="Calibri" w:eastAsia="Calibri" w:hAnsi="Calibri"/>
          <w:b w:val="false"/>
          <w:bCs w:val="false"/>
          <w:i/>
          <w:iCs/>
          <w:strike w:val="false"/>
          <w:color w:val="B23B2E"/>
          <w:sz w:val="17"/>
          <w:szCs w:val="17"/>
        </w:rPr>
        <w:t xml:space="preserve"> [Built on the Source Connector Registry, not hardcoded third-party integrations]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63: Reader Annotation System</w:t>
      </w:r>
      <w:r>
        <w:rPr>
          <w:rFonts w:ascii="Calibri" w:cs="Calibri" w:eastAsia="Calibri" w:hAnsi="Calibri"/>
          <w:b w:val="false"/>
          <w:bCs w:val="false"/>
          <w:i/>
          <w:iCs/>
          <w:strike w:val="false"/>
          <w:color w:val="B23B2E"/>
          <w:sz w:val="17"/>
          <w:szCs w:val="17"/>
        </w:rPr>
        <w:t xml:space="preserve"> [Full specification of Personal Notes, §52.13.2.1]</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64: Message Board System</w:t>
      </w:r>
      <w:r>
        <w:rPr>
          <w:rFonts w:ascii="Calibri" w:cs="Calibri" w:eastAsia="Calibri" w:hAnsi="Calibri"/>
          <w:b w:val="false"/>
          <w:bCs w:val="false"/>
          <w:i/>
          <w:iCs/>
          <w:strike w:val="false"/>
          <w:color w:val="B23B2E"/>
          <w:sz w:val="17"/>
          <w:szCs w:val="17"/>
        </w:rPr>
        <w:t xml:space="preserve"> [Closes the note-sharing gap Chapter 63 left open]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65: Portal Access and Role Model</w:t>
      </w:r>
      <w:r>
        <w:rPr>
          <w:rFonts w:ascii="Calibri" w:cs="Calibri" w:eastAsia="Calibri" w:hAnsi="Calibri"/>
          <w:b w:val="false"/>
          <w:bCs w:val="false"/>
          <w:i/>
          <w:iCs/>
          <w:strike w:val="false"/>
          <w:color w:val="B23B2E"/>
          <w:sz w:val="17"/>
          <w:szCs w:val="17"/>
        </w:rPr>
        <w:t xml:space="preserve"> [Unifies portal references scattered across Chapters 36, 46, 49, 60–64]</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48: QueryBook as a Semantic Programming Platform — QBQL, QBPL, and NLPL</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49: The Live Fact Graph, Universal Ingestion Architecture, and Continuous Query Engine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50: NLIL — The Natural Language Interaction Layer</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51: The Fact Universe Architecture</w:t>
      </w:r>
      <w:r>
        <w:rPr>
          <w:rFonts w:ascii="Calibri" w:cs="Calibri" w:eastAsia="Calibri" w:hAnsi="Calibri"/>
          <w:b w:val="false"/>
          <w:bCs w:val="false"/>
          <w:i/>
          <w:iCs/>
          <w:strike w:val="false"/>
          <w:color w:val="B23B2E"/>
          <w:sz w:val="17"/>
          <w:szCs w:val="17"/>
        </w:rPr>
        <w:t xml:space="preserve"> [Drafted and merged in Pass 3]</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39: QueryBook Application Library and Generator (QAL/QAG)</w:t>
      </w:r>
      <w:r>
        <w:rPr>
          <w:rFonts w:ascii="Calibri" w:cs="Calibri" w:eastAsia="Calibri" w:hAnsi="Calibri"/>
          <w:b w:val="false"/>
          <w:bCs w:val="false"/>
          <w:i/>
          <w:iCs/>
          <w:strike w:val="false"/>
          <w:color w:val="B23B2E"/>
          <w:sz w:val="17"/>
          <w:szCs w:val="17"/>
        </w:rPr>
        <w:t xml:space="preserve"> [Added in this audit pass — real content exists in the body but was missing from this Table of Contents]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40: QueryBook Bible Specification Validation Framework (SVF)</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41: QueryBook Predictive Cognitive Architecture (PCA)</w:t>
      </w:r>
      <w:r>
        <w:rPr>
          <w:rFonts w:ascii="Calibri" w:cs="Calibri" w:eastAsia="Calibri" w:hAnsi="Calibri"/>
          <w:b w:val="false"/>
          <w:bCs w:val="false"/>
          <w:i/>
          <w:iCs/>
          <w:strike w:val="false"/>
          <w:color w:val="B23B2E"/>
          <w:sz w:val="17"/>
          <w:szCs w:val="17"/>
        </w:rPr>
        <w:t xml:space="preserve"> [Merged from the 6/17 draft]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42: Proprietary Technologies — Independent, Compatible, Architecturally Aligned</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43: Integration of Hoffman-Derived Mathematical Structures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44: QueryBook Video Colorization &amp; Upscaling Module (VCUM)</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45: VCUM Agent Specifications</w:t>
      </w:r>
      <w:r>
        <w:rPr>
          <w:rFonts w:ascii="Calibri" w:cs="Calibri" w:eastAsia="Calibri" w:hAnsi="Calibri"/>
          <w:b w:val="false"/>
          <w:bCs w:val="false"/>
          <w:i/>
          <w:iCs/>
          <w:strike w:val="false"/>
          <w:color w:val="B23B2E"/>
          <w:sz w:val="17"/>
          <w:szCs w:val="17"/>
        </w:rPr>
        <w:t xml:space="preserve"> [Merged from external submission]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46: Immersive Query Response Rendering (IQR)</w:t>
      </w:r>
      <w:r>
        <w:rPr>
          <w:rFonts w:ascii="Calibri" w:cs="Calibri" w:eastAsia="Calibri" w:hAnsi="Calibri"/>
          <w:b w:val="false"/>
          <w:bCs w:val="false"/>
          <w:i/>
          <w:iCs/>
          <w:strike w:val="false"/>
          <w:color w:val="B23B2E"/>
          <w:sz w:val="17"/>
          <w:szCs w:val="17"/>
        </w:rPr>
        <w:t xml:space="preserve"> [Designed in response to a declined external specification, using only QueryBook’s existing components]</w:t>
      </w:r>
    </w:p>
    <w:p>
      <w:pPr>
        <w:spacing w:after="60" w:line="360" w:lineRule="auto"/>
      </w:pPr>
      <w:r>
        <w:rPr>
          <w:rFonts w:ascii="Calibri" w:cs="Calibri" w:eastAsia="Calibri" w:hAnsi="Calibri"/>
          <w:b w:val="false"/>
          <w:bCs w:val="false"/>
          <w:i w:val="false"/>
          <w:iCs w:val="false"/>
          <w:strike w:val="false"/>
          <w:color w:val="000000"/>
          <w:sz w:val="20"/>
          <w:szCs w:val="20"/>
        </w:rPr>
        <w:t xml:space="preserve">59.1 Overview — Two Independent Grounding Streams</w:t>
      </w:r>
    </w:p>
    <w:p>
      <w:pPr>
        <w:spacing w:after="60" w:line="360" w:lineRule="auto"/>
      </w:pPr>
      <w:r>
        <w:rPr>
          <w:rFonts w:ascii="Calibri" w:cs="Calibri" w:eastAsia="Calibri" w:hAnsi="Calibri"/>
          <w:b w:val="false"/>
          <w:bCs w:val="false"/>
          <w:i w:val="false"/>
          <w:iCs w:val="false"/>
          <w:strike w:val="false"/>
          <w:color w:val="000000"/>
          <w:sz w:val="20"/>
          <w:szCs w:val="20"/>
        </w:rPr>
        <w:t xml:space="preserve">59.2 Stream One — Sensory-Grounded World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59.3 Stream Two — Language-Grounded Semantic Modeling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59.4 Stream Convergence — Cross-Modal Binding</w:t>
      </w:r>
    </w:p>
    <w:p>
      <w:pPr>
        <w:spacing w:after="60" w:line="360" w:lineRule="auto"/>
      </w:pPr>
      <w:r>
        <w:rPr>
          <w:rFonts w:ascii="Calibri" w:cs="Calibri" w:eastAsia="Calibri" w:hAnsi="Calibri"/>
          <w:b w:val="false"/>
          <w:bCs w:val="false"/>
          <w:i w:val="false"/>
          <w:iCs w:val="false"/>
          <w:strike w:val="false"/>
          <w:color w:val="000000"/>
          <w:sz w:val="20"/>
          <w:szCs w:val="20"/>
        </w:rPr>
        <w:t xml:space="preserve">59.5 The Box Principle — Canonical Worked Example</w:t>
      </w:r>
    </w:p>
    <w:p>
      <w:pPr>
        <w:spacing w:after="60" w:line="360" w:lineRule="auto"/>
      </w:pPr>
      <w:r>
        <w:rPr>
          <w:rFonts w:ascii="Calibri" w:cs="Calibri" w:eastAsia="Calibri" w:hAnsi="Calibri"/>
          <w:b w:val="false"/>
          <w:bCs w:val="false"/>
          <w:i w:val="false"/>
          <w:iCs w:val="false"/>
          <w:strike w:val="false"/>
          <w:color w:val="000000"/>
          <w:sz w:val="20"/>
          <w:szCs w:val="20"/>
        </w:rPr>
        <w:t xml:space="preserve">59.6 Episodic Flush and Concept Consolidation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59.7 Meta-Concept Formation</w:t>
      </w:r>
    </w:p>
    <w:p>
      <w:pPr>
        <w:spacing w:after="60" w:line="360" w:lineRule="auto"/>
      </w:pPr>
      <w:r>
        <w:rPr>
          <w:rFonts w:ascii="Calibri" w:cs="Calibri" w:eastAsia="Calibri" w:hAnsi="Calibri"/>
          <w:b w:val="false"/>
          <w:bCs w:val="false"/>
          <w:i w:val="false"/>
          <w:iCs w:val="false"/>
          <w:strike w:val="false"/>
          <w:color w:val="000000"/>
          <w:sz w:val="20"/>
          <w:szCs w:val="20"/>
        </w:rPr>
        <w:t xml:space="preserve">59.8 Prime Directive Compliance</w:t>
      </w:r>
    </w:p>
    <w:p>
      <w:pPr>
        <w:spacing w:after="60" w:line="360" w:lineRule="auto"/>
      </w:pPr>
      <w:r>
        <w:rPr>
          <w:rFonts w:ascii="Calibri" w:cs="Calibri" w:eastAsia="Calibri" w:hAnsi="Calibri"/>
          <w:b w:val="false"/>
          <w:bCs w:val="false"/>
          <w:i w:val="false"/>
          <w:iCs w:val="false"/>
          <w:strike w:val="false"/>
          <w:color w:val="000000"/>
          <w:sz w:val="20"/>
          <w:szCs w:val="20"/>
        </w:rPr>
        <w:t xml:space="preserve">59.9 Patent Significance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A: Complete Fact Unit Field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B: Complete Ontology Mesh Top-Level Taxonomy</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C: QBF Byte Layout Diagram</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D: Safety Flag Bitmask Reference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E: Supported Language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F: Microservices Reference Table</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G: Acronym and Abbreviation Index</w:t>
      </w:r>
    </w:p>
    <w:p>
      <w:pPr>
        <w:spacing w:after="60" w:line="360" w:lineRule="auto"/>
      </w:pPr>
      <w:r>
        <w:rPr>
          <w:rFonts w:ascii="Calibri" w:cs="Calibri" w:eastAsia="Calibri" w:hAnsi="Calibri"/>
          <w:b w:val="false"/>
          <w:bCs w:val="false"/>
          <w:i w:val="false"/>
          <w:iCs w:val="false"/>
          <w:strike w:val="false"/>
          <w:color w:val="000000"/>
          <w:sz w:val="21"/>
          <w:szCs w:val="21"/>
        </w:rPr>
        <w:t xml:space="preserve">Appendix H: Representative Runtime Flows</w:t>
      </w:r>
      <w:r>
        <w:rPr>
          <w:rFonts w:ascii="Calibri" w:cs="Calibri" w:eastAsia="Calibri" w:hAnsi="Calibri"/>
          <w:b w:val="false"/>
          <w:bCs w:val="false"/>
          <w:i/>
          <w:iCs/>
          <w:strike w:val="false"/>
          <w:color w:val="B23B2E"/>
          <w:sz w:val="17"/>
          <w:szCs w:val="17"/>
        </w:rPr>
        <w:t xml:space="preserve"> [Cross-cutting reference; documents existing architecture, introduces nothing new]</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66: Improvement Proposal Pipeline</w:t>
      </w:r>
      <w:r>
        <w:rPr>
          <w:rFonts w:ascii="Calibri" w:cs="Calibri" w:eastAsia="Calibri" w:hAnsi="Calibri"/>
          <w:b w:val="false"/>
          <w:bCs w:val="false"/>
          <w:i/>
          <w:iCs/>
          <w:strike w:val="false"/>
          <w:color w:val="B23B2E"/>
          <w:sz w:val="17"/>
          <w:szCs w:val="17"/>
        </w:rPr>
        <w:t xml:space="preserve"> [Human-gated by design; see §66.8 for what this pipeline may never modify]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67: License and Entitlement Management</w:t>
      </w:r>
      <w:r>
        <w:rPr>
          <w:rFonts w:ascii="Calibri" w:cs="Calibri" w:eastAsia="Calibri" w:hAnsi="Calibri"/>
          <w:b w:val="false"/>
          <w:bCs w:val="false"/>
          <w:i/>
          <w:iCs/>
          <w:strike w:val="false"/>
          <w:color w:val="B23B2E"/>
          <w:sz w:val="17"/>
          <w:szCs w:val="17"/>
        </w:rPr>
        <w:t xml:space="preserve"> [Deliberately excludes territory, pricing, and rights-tokenization]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68: Synchronization and Offline Operation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69: Processor Slice Measurement Model</w:t>
      </w:r>
      <w:r>
        <w:rPr>
          <w:rFonts w:ascii="Calibri" w:cs="Calibri" w:eastAsia="Calibri" w:hAnsi="Calibri"/>
          <w:b w:val="false"/>
          <w:bCs w:val="false"/>
          <w:i/>
          <w:iCs/>
          <w:strike w:val="false"/>
          <w:color w:val="B23B2E"/>
          <w:sz w:val="17"/>
          <w:szCs w:val="17"/>
        </w:rPr>
        <w:t xml:space="preserve"> [Feeds Usage Analytics and the Improvement Proposal Pipeline; no autonomous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70: Precision Color and Geometric Registration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71: Universal Accessibility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72: Data Portability and Exit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73: Template Debug Mode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74: Multi-Author Collaboration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75: Moderation Appeals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76: Platform Internationalization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77: Validation and Benchmarking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78: QueryBook AI Evolution</w:t>
      </w:r>
      <w:r>
        <w:rPr>
          <w:rFonts w:ascii="Calibri" w:cs="Calibri" w:eastAsia="Calibri" w:hAnsi="Calibri"/>
          <w:b w:val="false"/>
          <w:bCs w:val="false"/>
          <w:i/>
          <w:iCs/>
          <w:strike w:val="false"/>
          <w:color w:val="B23B2E"/>
          <w:sz w:val="17"/>
          <w:szCs w:val="17"/>
        </w:rPr>
        <w:t xml:space="preserve"> [Names and structures Chapter 66's pipeline; grants no new authority]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79: Formal Verification Layer</w:t>
      </w:r>
      <w:r>
        <w:rPr>
          <w:rFonts w:ascii="Calibri" w:cs="Calibri" w:eastAsia="Calibri" w:hAnsi="Calibri"/>
          <w:b w:val="false"/>
          <w:bCs w:val="false"/>
          <w:i/>
          <w:iCs/>
          <w:strike w:val="false"/>
          <w:color w:val="B23B2E"/>
          <w:sz w:val="17"/>
          <w:szCs w:val="17"/>
        </w:rPr>
        <w:t xml:space="preserve"> [Lean-based proof as evidence for human review, not a replacement for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80: Human Reasoning and Motivation Modeling</w:t>
      </w:r>
      <w:r>
        <w:rPr>
          <w:rFonts w:ascii="Calibri" w:cs="Calibri" w:eastAsia="Calibri" w:hAnsi="Calibri"/>
          <w:b w:val="false"/>
          <w:bCs w:val="false"/>
          <w:i/>
          <w:iCs/>
          <w:strike w:val="false"/>
          <w:color w:val="B23B2E"/>
          <w:sz w:val="17"/>
          <w:szCs w:val="17"/>
        </w:rPr>
        <w:t xml:space="preserve"> [Models a subject’s goals and motivations as content; never QueryBook’s own state]</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81: UFCS/FQL as an Optional External Resource</w:t>
      </w:r>
      <w:r>
        <w:rPr>
          <w:rFonts w:ascii="Calibri" w:cs="Calibri" w:eastAsia="Calibri" w:hAnsi="Calibri"/>
          <w:b w:val="false"/>
          <w:bCs w:val="false"/>
          <w:i/>
          <w:iCs/>
          <w:strike w:val="false"/>
          <w:color w:val="B23B2E"/>
          <w:sz w:val="17"/>
          <w:szCs w:val="17"/>
        </w:rPr>
        <w:t xml:space="preserve"> [Optional, separately-patented resource; QueryBook’s core requires none of it]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82: Supplemental Content and Private Messaging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83: Instructor-Created Tours and Teaching Material</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84: Session Books and Instructor-Customized Assessment</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85: Instructor Grant Visibility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86: System Identity and Positioning</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87: Live Interaction Voice Signal Analysis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88: Contextual Commerce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89: Native QueryBook Reader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90: Deployment Modes and Domain Packages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91: Personal Object Location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92: Sensory-Annotated Content Playback</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93: Audio Narration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94: NFT Integration Layer</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95: Complementary Learning Systems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96: Forensic Analysis of External AI System Outputs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97: Hypothesis Generation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98: Cognitive Map Formalization</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99: Study and Learning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100: Content Verification and Argumentation Tools</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101: Verified Neuromorphic Correspondence Methodology</w:t>
      </w:r>
    </w:p>
    <w:p>
      <w:pPr>
        <w:spacing w:after="60" w:line="360" w:lineRule="auto"/>
      </w:pPr>
      <w:r>
        <w:rPr>
          <w:rFonts w:ascii="Calibri" w:cs="Calibri" w:eastAsia="Calibri" w:hAnsi="Calibri"/>
          <w:b w:val="false"/>
          <w:bCs w:val="false"/>
          <w:i w:val="false"/>
          <w:iCs w:val="false"/>
          <w:strike w:val="false"/>
          <w:color w:val="000000"/>
          <w:sz w:val="21"/>
          <w:szCs w:val="21"/>
        </w:rPr>
        <w:t xml:space="preserve">Chapter 102: Legal Exposure Minimization Through Structural Compliance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 — FOUNDATIONAL OVERVIEW</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 Executive Summary</w:t>
            </w:r>
            <w:r>
              <w:rPr>
                <w:rFonts w:ascii="Calibri" w:cs="Calibri" w:eastAsia="Calibri" w:hAnsi="Calibri"/>
                <w:b/>
                <w:bCs/>
                <w:i w:val="false"/>
                <w:iCs w:val="false"/>
                <w:strike w:val="false"/>
                <w:color w:val="333333"/>
                <w:sz w:val="24"/>
                <w:szCs w:val="24"/>
              </w:rPr>
              <w:t xml:space="preserve">Part I establishes the foundational identity, purpose, and architectural philosophy of the QueryBook system. It defines what QueryBook is, why it represents a categorical departure from prior art in knowledge management and AI systems, and introduces the full set of proprietary terminology that governs all subsequent technical specifications. This Part is the essential starting point for patent attorneys constructing claim language, engineers implementing subsystems, and architects evaluating system boundaries.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 Foundational Overview</w:t>
      </w:r>
    </w:p>
    <w:p>
      <w:pPr>
        <w:pStyle w:val="Heading1"/>
        <w:spacing w:after="120" w:before="240" w:line="288" w:lineRule="auto"/>
      </w:pPr>
      <w:r>
        <w:rPr>
          <w:rFonts w:ascii="Calibri" w:cs="Calibri" w:eastAsia="Calibri" w:hAnsi="Calibri"/>
          <w:color w:val="000000"/>
          <w:sz w:val="48"/>
          <w:szCs w:val="48"/>
        </w:rPr>
        <w:t xml:space="preserve">DOMAIN 0 — The Prime Directive: The Foundational Harm-Prevention Rule (Supreme Authority — Supersedes All Other Rules)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Domain establishes the single rule that sits above every other rule, subsystem, and configuration option specified in this Bible. Where any provision elsewhere in this document — including but not limited to the Safety Substrate (Chapter 8), the AGI Extension Modules (Chapter 15), the Cross-Domain Rule Engine (Chapter 17), or any Custom Ingestion Template or Custom System Setting permitted under D0.5 — appears to conflict with the Prime Directive, the Prime Directive controls.</w:t>
      </w:r>
    </w:p>
    <w:p>
      <w:pPr>
        <w:pStyle w:val="Heading2"/>
        <w:spacing w:after="120" w:before="240" w:line="288" w:lineRule="auto"/>
      </w:pPr>
      <w:r>
        <w:rPr>
          <w:rFonts w:ascii="Calibri" w:cs="Calibri" w:eastAsia="Calibri" w:hAnsi="Calibri"/>
          <w:color w:val="000000"/>
          <w:sz w:val="36"/>
          <w:szCs w:val="36"/>
        </w:rPr>
        <w:t xml:space="preserve">D0.1 Statement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This obligation applies uniformly across every subsystem in this Bible; no subsystem is exempt, and no subsystem may be configured to bypass it.</w:t>
      </w:r>
    </w:p>
    <w:p>
      <w:pPr>
        <w:pStyle w:val="Heading2"/>
        <w:spacing w:after="120" w:before="240" w:line="288" w:lineRule="auto"/>
      </w:pPr>
      <w:r>
        <w:rPr>
          <w:rFonts w:ascii="Calibri" w:cs="Calibri" w:eastAsia="Calibri" w:hAnsi="Calibri"/>
          <w:color w:val="000000"/>
          <w:sz w:val="36"/>
          <w:szCs w:val="36"/>
        </w:rPr>
        <w:t xml:space="preserve">D0.2 Scope of the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applies to every class of output QueryBook can produce. The five categories below are the exhaustive set of output surfaces to which D0.1 attaches; a new output surface introduced by a future chapter of this Bible is in scope automatically and does not require a Bible amendment to be covered.</w:t>
      </w:r>
    </w:p>
    <w:p>
      <w:pPr>
        <w:pStyle w:val="Heading3"/>
        <w:spacing w:after="120" w:before="200" w:line="288" w:lineRule="auto"/>
      </w:pPr>
      <w:r>
        <w:rPr>
          <w:rFonts w:ascii="Calibri" w:cs="Calibri" w:eastAsia="Calibri" w:hAnsi="Calibri"/>
          <w:color w:val="000000"/>
          <w:sz w:val="28"/>
          <w:szCs w:val="28"/>
        </w:rPr>
        <w:t xml:space="preserve">D0.2.1 Query Answers and Responses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natural-language answers produced by the Multilingual Regeneration Engine (Chapter 16) from Narrative Graph content (Chapter 12), including answers delivered through the QB-Query Language (Chapter 18) and through the Adaptive Response Engine's generation directives (Chapter 52), are subject to Prime Directive review at the Regeneration Gate (see D0.6 and §8.1, enforcement point 46) before delivery.</w:t>
      </w:r>
    </w:p>
    <w:p>
      <w:pPr>
        <w:pStyle w:val="Heading3"/>
        <w:spacing w:after="120" w:before="200" w:line="288" w:lineRule="auto"/>
      </w:pPr>
      <w:r>
        <w:rPr>
          <w:rFonts w:ascii="Calibri" w:cs="Calibri" w:eastAsia="Calibri" w:hAnsi="Calibri"/>
          <w:color w:val="000000"/>
          <w:sz w:val="28"/>
          <w:szCs w:val="28"/>
        </w:rPr>
        <w:t xml:space="preserve">D0.2.2 Commerce Signals and Product Recommendations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Fact Unit of a commerce-related FactType, and any ranking, recommendation, or purchase-adjacent signal derived from it, is subject to the Prime Directive regardless of whether it originates from ingested first-party data, a Federated source (§49.3.2.6), or an AEM synthesis (Chapter 15). A commercial relationship between QueryBook's operator and a third party does not create an exception.</w:t>
      </w:r>
    </w:p>
    <w:p>
      <w:pPr>
        <w:pStyle w:val="Heading3"/>
        <w:spacing w:after="120" w:before="200" w:line="288" w:lineRule="auto"/>
      </w:pPr>
      <w:r>
        <w:rPr>
          <w:rFonts w:ascii="Calibri" w:cs="Calibri" w:eastAsia="Calibri" w:hAnsi="Calibri"/>
          <w:color w:val="000000"/>
          <w:sz w:val="28"/>
          <w:szCs w:val="28"/>
        </w:rPr>
        <w:t xml:space="preserve">D0.2.3 AI-Generated Applications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Applications instantiated by the QueryBook Application Library and Generator (Chapter 39) inherit the Prime Directive as a non-removable constraint on their generated behavior. An instantiated application cannot declare a Custom System Setting (D0.5.2) that disables Prime Directive review of its own outputs.</w:t>
      </w:r>
    </w:p>
    <w:p>
      <w:pPr>
        <w:pStyle w:val="Heading3"/>
        <w:spacing w:after="120" w:before="200" w:line="288" w:lineRule="auto"/>
      </w:pPr>
      <w:r>
        <w:rPr>
          <w:rFonts w:ascii="Calibri" w:cs="Calibri" w:eastAsia="Calibri" w:hAnsi="Calibri"/>
          <w:color w:val="000000"/>
          <w:sz w:val="28"/>
          <w:szCs w:val="28"/>
        </w:rPr>
        <w:t xml:space="preserve">D0.2.4 Fact Graph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themselves — as distinct from the answers generated from them — are subject to the Prime Directive at the point of Graph Insertion (§8.1, enforcement point 43). A Fact Unit is not rejected merely for describing harmful subject matter; it is rejected only where its SafetyFlags classification (§8.2) indicates the Fact Unit's presence in the Graph would itself constitute a harm vector, for example by making restricted-access material discoverable outside its authorized scope.</w:t>
      </w:r>
    </w:p>
    <w:p>
      <w:pPr>
        <w:pStyle w:val="Heading3"/>
        <w:spacing w:after="120" w:before="200" w:line="288" w:lineRule="auto"/>
      </w:pPr>
      <w:r>
        <w:rPr>
          <w:rFonts w:ascii="Calibri" w:cs="Calibri" w:eastAsia="Calibri" w:hAnsi="Calibri"/>
          <w:color w:val="000000"/>
          <w:sz w:val="28"/>
          <w:szCs w:val="28"/>
        </w:rPr>
        <w:t xml:space="preserve">D0.2.5 Automated and Scheduled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WATCH programs (§49.4), CQE-emitted alerts (§49.5), and any other output QueryBook produces without a human operator directly present at the moment of generation are held to the same Prime Directive standard as an interactively requested answer. The absence of a human in the loop at generation time is not a mitigating factor and does not reduce the review obligation.</w:t>
      </w:r>
    </w:p>
    <w:p>
      <w:pPr>
        <w:pStyle w:val="Heading2"/>
        <w:spacing w:after="120" w:before="240" w:line="288" w:lineRule="auto"/>
      </w:pPr>
      <w:r>
        <w:rPr>
          <w:rFonts w:ascii="Calibri" w:cs="Calibri" w:eastAsia="Calibri" w:hAnsi="Calibri"/>
          <w:color w:val="000000"/>
          <w:sz w:val="36"/>
          <w:szCs w:val="36"/>
        </w:rPr>
        <w:t xml:space="preserve">D0.3 Definition of Harm</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the purposes of this Domain, harm means a reasonably foreseeable, material adverse effect on the physical safety, financial standing, legal standing, psychological wellbeing, or fundamental rights of an identifiable person or group, or a material adverse effect on the operator's organization arising from unlawful, fraudulent, or deceptive output. Harm is evaluated on the basis of reasonably foreseeable consequences of the output as delivered, not on the requester's stated or inferred intent — QueryBook does not attempt to adjudicate intent, and no subsystem in this Bible is specified to do so reliably enough to be relied upon for that purpose.</w:t>
      </w:r>
    </w:p>
    <w:p>
      <w:pPr>
        <w:pStyle w:val="Heading2"/>
        <w:spacing w:after="120" w:before="240" w:line="288" w:lineRule="auto"/>
      </w:pPr>
      <w:r>
        <w:rPr>
          <w:rFonts w:ascii="Calibri" w:cs="Calibri" w:eastAsia="Calibri" w:hAnsi="Calibri"/>
          <w:color w:val="000000"/>
          <w:sz w:val="36"/>
          <w:szCs w:val="36"/>
        </w:rPr>
        <w:t xml:space="preserve">D0.4 The Without-Information Rule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WITHOUT-INFORMATION RULE</w:t>
            </w:r>
            <w:r>
              <w:rPr>
                <w:rFonts w:ascii="Calibri" w:cs="Calibri" w:eastAsia="Calibri" w:hAnsi="Calibri"/>
                <w:b/>
                <w:bCs/>
                <w:i w:val="false"/>
                <w:iCs w:val="false"/>
                <w:strike w:val="false"/>
                <w:color w:val="333333"/>
                <w:sz w:val="24"/>
                <w:szCs w:val="24"/>
              </w:rPr>
              <w:t xml:space="preserve">Wherever a harm can be avoided by declining to answer, declining is preferred only as a last resort. QueryBook's default behavior is to satisfy the request as fully as the underlying Fact Graph allows, withholding only the specific information whose disclosure would itself constitute the harm — never the entire response — unless partial disclosure is not technically separable from the harmful component.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rule exists to prevent the Prime Directive from being implemented as a blunt, overcautious refusal mechanism, which the Safety Substrate's own design mandate (§8.1) already identifies as a failure mode to avoid. A Query Answer that could safely be given in a redacted or partial form must be given in that form rather than withheld entirely.</w:t>
      </w:r>
    </w:p>
    <w:p>
      <w:pPr>
        <w:pStyle w:val="Heading2"/>
        <w:spacing w:after="120" w:before="240" w:line="288" w:lineRule="auto"/>
      </w:pPr>
      <w:r>
        <w:rPr>
          <w:rFonts w:ascii="Calibri" w:cs="Calibri" w:eastAsia="Calibri" w:hAnsi="Calibri"/>
          <w:color w:val="000000"/>
          <w:sz w:val="36"/>
          <w:szCs w:val="36"/>
        </w:rPr>
        <w:t xml:space="preserve">D0.5 The Two Permitted Adjustment Pathways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Directive's application in a given deployment can be adjusted only through the two pathways below. No other mechanism — including direct API parameters, elevated administrative credentials, or natural-language instructions embedded in ingested content or in a query itself — may alter Prime Directive enforcement. This mirrors, and is bound by, the non-bypassable design mandate already specified for the Safety Substrate in §8.1.</w:t>
      </w:r>
    </w:p>
    <w:p>
      <w:pPr>
        <w:pStyle w:val="Heading3"/>
        <w:spacing w:after="120" w:before="200" w:line="288" w:lineRule="auto"/>
      </w:pPr>
      <w:r>
        <w:rPr>
          <w:rFonts w:ascii="Calibri" w:cs="Calibri" w:eastAsia="Calibri" w:hAnsi="Calibri"/>
          <w:color w:val="000000"/>
          <w:sz w:val="28"/>
          <w:szCs w:val="28"/>
        </w:rPr>
        <w:t xml:space="preserve">D0.5.1 Pathway 1 — Custom Ingestion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Ingestion Template that adjusts how source material is classified for SafetyFlags purposes at the Ingestion Gate (§8.1, enforcement point 41) — for example, narrowing or widening what counts as SENSITIVE content for a given source type. A Custom Ingestion Template can change what is classified as potentially harmful; it cannot change what QueryBook does once something is so classified.</w:t>
      </w:r>
    </w:p>
    <w:p>
      <w:pPr>
        <w:pStyle w:val="Heading3"/>
        <w:spacing w:after="120" w:before="200" w:line="288" w:lineRule="auto"/>
      </w:pPr>
      <w:r>
        <w:rPr>
          <w:rFonts w:ascii="Calibri" w:cs="Calibri" w:eastAsia="Calibri" w:hAnsi="Calibri"/>
          <w:color w:val="000000"/>
          <w:sz w:val="28"/>
          <w:szCs w:val="28"/>
        </w:rPr>
        <w:t xml:space="preserve">D0.5.2 Pathway 2 — Custom System Settings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define a Custom System Setting that adjusts audience-appropriate presentation of an answer — for example, the Expertise Level and Discipline Mode governed by the Adaptive Response Engine (§52.4, §52.5) — without adjusting whether the Prime Directive review itself runs. Custom System Settings operate downstream of, and are always subordinate to, the Regeneration Gate's Prime Directive check.</w:t>
      </w:r>
    </w:p>
    <w:p>
      <w:pPr>
        <w:pStyle w:val="Heading2"/>
        <w:spacing w:after="120" w:before="240" w:line="288" w:lineRule="auto"/>
      </w:pPr>
      <w:r>
        <w:rPr>
          <w:rFonts w:ascii="Calibri" w:cs="Calibri" w:eastAsia="Calibri" w:hAnsi="Calibri"/>
          <w:color w:val="000000"/>
          <w:sz w:val="36"/>
          <w:szCs w:val="36"/>
        </w:rPr>
        <w:t xml:space="preserve">D0.6 Relationship to the Safety Substrate (Chapter 8)</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Prime Directive is the governing policy; the Safety Substrate is its enforcement mechanism. Where Chapter 8 specifies eight enforcement gates, each gate's Prime Directive check is the specific, mechanical implementation of the general obligation stated in D0.1–D0.4. If a future revision of Chapter 8 introduces a ninth enforcement point, that point inherits Prime Directive review automatically under D0.2's forward-compatibility rule.</w:t>
      </w:r>
    </w:p>
    <w:p>
      <w:pPr>
        <w:pStyle w:val="Heading2"/>
        <w:spacing w:after="120" w:before="240" w:line="288" w:lineRule="auto"/>
      </w:pPr>
      <w:r>
        <w:rPr>
          <w:rFonts w:ascii="Calibri" w:cs="Calibri" w:eastAsia="Calibri" w:hAnsi="Calibri"/>
          <w:color w:val="000000"/>
          <w:sz w:val="36"/>
          <w:szCs w:val="36"/>
        </w:rPr>
        <w:t xml:space="preserve">D0.7 Immutability and Amendment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D0.1 through D0.4 are immutable and may not be altered, narrowed, or superseded by any future version of this Bible without a documented amendment that is reviewed against the same standard applied to the original Prime Directive at ratification. D0.5's two pathways may be extended only by adding new, equally bounded pathways through the same amendment protocol — never by widening the scope of Pathway 1 or Pathway 2 themselves. Any proposed amendment must be recorded in a Provenance Ledger entry (Chapter 5) so that the amendment itself is auditable using the same lineage-tracing mechanism QueryBook applies to Fact Units.</w:t>
      </w:r>
    </w:p>
    <w:p>
      <w:pPr>
        <w:pStyle w:val="Heading2"/>
        <w:spacing w:after="120" w:before="240" w:line="288" w:lineRule="auto"/>
      </w:pPr>
      <w:r>
        <w:rPr>
          <w:rFonts w:ascii="Calibri" w:cs="Calibri" w:eastAsia="Calibri" w:hAnsi="Calibri"/>
          <w:color w:val="000000"/>
          <w:sz w:val="36"/>
          <w:szCs w:val="36"/>
        </w:rPr>
        <w:t xml:space="preserve">D0.8 Primacy Declaration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PRIMACY DECLARATION</w:t>
            </w:r>
            <w:r>
              <w:rPr>
                <w:rFonts w:ascii="Calibri" w:cs="Calibri" w:eastAsia="Calibri" w:hAnsi="Calibri"/>
                <w:b/>
                <w:bCs/>
                <w:i w:val="false"/>
                <w:iCs w:val="false"/>
                <w:strike w:val="false"/>
                <w:color w:val="333333"/>
                <w:sz w:val="24"/>
                <w:szCs w:val="24"/>
              </w:rPr>
              <w:t xml:space="preserve">Wherever any other chapter of this Bible is silent, ambiguous, or in apparent conflict with Domain 0, Domain 0 governs. This Declaration is itself subject to D0.7 and cannot be weakened by omission elsewhere in this document.</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1: Introduction and Purpose</w:t>
      </w:r>
    </w:p>
    <w:p>
      <w:pPr>
        <w:pStyle w:val="Heading2"/>
        <w:spacing w:after="120" w:before="240" w:line="288" w:lineRule="auto"/>
      </w:pPr>
      <w:r>
        <w:rPr>
          <w:rFonts w:ascii="Calibri" w:cs="Calibri" w:eastAsia="Calibri" w:hAnsi="Calibri"/>
          <w:color w:val="000000"/>
          <w:sz w:val="36"/>
          <w:szCs w:val="36"/>
        </w:rPr>
        <w:t xml:space="preserve">1.1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began as a Q&amp;A companion for a single ebook — a way for a reader to ask a specific book's content questions, discuss its arguments, or be guided through a concept it explains, all strictly bounded to what that book and its author actually established, never drifting into confident-sounding invention. Building that reliably required a discipline stricter than pattern-matching against prose: every fact the book asserted had to become a discrete, typed, traceable unit of knowledge, not text to be searched and paraphrased. That discipline is what this Bible calls the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That same discipline turned out to generalize far beyond a single book. QueryBook (hereinafter "QB" or "the System") is a neuromorphic, fact-centric, multimodal knowledge operating system engineered to ingest, encode, store, reason over, and regenerate structured knowledge at Artificial General Intelligence (AGI) scale. QueryBook constitutes an entirely novel class of system — neither a database, nor a vector store, nor a retrieval-augmented generation (RAG) framework, nor a large language model (LLM)-based knowledge system — but a synthesis of the most powerful properties of each, unified under a rigorous architectural philosophy in which every piece of knowledge is a first-class, provenance-tracked, semantically typed, immutably identified atom called a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designed to serve as the authoritative, living cognitive substrate for organizations and agents requiring persistent, auditable, cross-domain, and multilingual knowledge representation at scale. It supports ingestion from an unlimited range of multimodal sources — natural language, structured data, images, audio, video, sensor streams, knowledge graphs, and executable code — and transforms all such inputs into a unified, queryable, reasoned-over Fact Graph. Knowledge stored in QueryBook is not static; it participates in a living cognitive architecture, continuously updated by new ingestion events, refined by reasoning cycles, and expanded by predictive inference. QueryBook did not leave that origin behind when it scaled up — the single-book use case that started all of this remains fully specified throughout this Bible, most directly in the Interactive Mode Registry (§52.13): Q&amp;A, Discussion, Tutorial, and the rest of that catalog are the direct descendants of QueryBook's original purpose, not a later add-on to it.</w:t>
      </w:r>
    </w:p>
    <w:p>
      <w:pPr>
        <w:pStyle w:val="Heading2"/>
        <w:spacing w:after="120" w:before="240" w:line="288" w:lineRule="auto"/>
      </w:pPr>
      <w:r>
        <w:rPr>
          <w:rFonts w:ascii="Calibri" w:cs="Calibri" w:eastAsia="Calibri" w:hAnsi="Calibri"/>
          <w:color w:val="000000"/>
          <w:sz w:val="36"/>
          <w:szCs w:val="36"/>
        </w:rPr>
        <w:t xml:space="preserve">1.2 The Role of This Bible Document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designated the QueryBook Bible — Canonical Core Technology Specification (hereinafter "the Bible" or "this Specification"), serves as the single, authoritative source of truth for every aspect of the QueryBook system. Its purposes are precisely defined as follows: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Patent Foundation:</w:t>
      </w:r>
      <w:r>
        <w:rPr>
          <w:rFonts w:ascii="Calibri" w:cs="Calibri" w:eastAsia="Calibri" w:hAnsi="Calibri"/>
          <w:b w:val="false"/>
          <w:bCs w:val="false"/>
          <w:i w:val="false"/>
          <w:iCs w:val="false"/>
          <w:strike w:val="false"/>
          <w:color w:val="000000"/>
          <w:sz w:val="22"/>
          <w:szCs w:val="22"/>
        </w:rPr>
        <w:t xml:space="preserve"> Every proprietary algorithm, data structure, protocol, format, and architectural pattern defined herein constitutes the factual basis for patent claim drafting, prosecution, and defense. All claim language must trace to definitions in this Bible.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Engineering Authority:</w:t>
      </w:r>
      <w:r>
        <w:rPr>
          <w:rFonts w:ascii="Calibri" w:cs="Calibri" w:eastAsia="Calibri" w:hAnsi="Calibri"/>
          <w:b w:val="false"/>
          <w:bCs w:val="false"/>
          <w:i w:val="false"/>
          <w:iCs w:val="false"/>
          <w:strike w:val="false"/>
          <w:color w:val="000000"/>
          <w:sz w:val="22"/>
          <w:szCs w:val="22"/>
        </w:rPr>
        <w:t xml:space="preserve"> All engineering decisions, API designs, schema definitions, and system behaviors must be consistent with and traceable to this Specification. Deviations require a formal amendment to this Bible with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Terminology Canonicalization:</w:t>
      </w:r>
      <w:r>
        <w:rPr>
          <w:rFonts w:ascii="Calibri" w:cs="Calibri" w:eastAsia="Calibri" w:hAnsi="Calibri"/>
          <w:b w:val="false"/>
          <w:bCs w:val="false"/>
          <w:i w:val="false"/>
          <w:iCs w:val="false"/>
          <w:strike w:val="false"/>
          <w:color w:val="000000"/>
          <w:sz w:val="22"/>
          <w:szCs w:val="22"/>
        </w:rPr>
        <w:t xml:space="preserve"> All proprietary terms defined in Chapter 2 of this document are to be used with exact precision in all internal communications, documentation, patent filings, academic publications, and customer-facing materials. No synonyms, paraphrases, or informal alternatives are sanctioned for official use.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Product Definition:</w:t>
      </w:r>
      <w:r>
        <w:rPr>
          <w:rFonts w:ascii="Calibri" w:cs="Calibri" w:eastAsia="Calibri" w:hAnsi="Calibri"/>
          <w:b w:val="false"/>
          <w:bCs w:val="false"/>
          <w:i w:val="false"/>
          <w:iCs w:val="false"/>
          <w:strike w:val="false"/>
          <w:color w:val="000000"/>
          <w:sz w:val="22"/>
          <w:szCs w:val="22"/>
        </w:rPr>
        <w:t xml:space="preserve"> This Bible defines the intended behaviors and capabilities that constitute the QueryBook product. Product management decisions must be evaluated against the architecture and terminology established here.</w:t>
      </w:r>
    </w:p>
    <w:p>
      <w:pPr>
        <w:pStyle w:val="Heading2"/>
        <w:spacing w:after="120" w:before="240" w:line="288" w:lineRule="auto"/>
      </w:pPr>
      <w:r>
        <w:rPr>
          <w:rFonts w:ascii="Calibri" w:cs="Calibri" w:eastAsia="Calibri" w:hAnsi="Calibri"/>
          <w:color w:val="000000"/>
          <w:sz w:val="36"/>
          <w:szCs w:val="36"/>
        </w:rPr>
        <w:t xml:space="preserve">1.3 How QueryBook Differs from Prior Art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provides a systematic comparison between QueryBook and the principal categories of prior art knowledge systems, establishing the dimensions of novelty relevant to patentability.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Dimension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Traditional RDBMS</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Vector Store / ANN Index</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RAG System</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Knowledge Graph (RDF/OWL)</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LLM Memory System</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QueryBook (QB)</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Atom</w:t>
            </w:r>
          </w:p>
        </w:tc>
        <w:tc>
          <w:tcPr>
            <w:tcW w:type="pct" w:w="13%"/>
          </w:tcPr>
          <w:p>
            <w:r>
              <w:rPr>
                <w:rFonts w:ascii="Calibri" w:cs="Calibri" w:eastAsia="Calibri" w:hAnsi="Calibri"/>
                <w:b w:val="false"/>
                <w:bCs w:val="false"/>
                <w:i w:val="false"/>
                <w:iCs w:val="false"/>
                <w:strike w:val="false"/>
                <w:color w:val="000000"/>
                <w:sz w:val="20"/>
                <w:szCs w:val="20"/>
              </w:rPr>
              <w:t xml:space="preserve">Row / Record</w:t>
            </w:r>
          </w:p>
        </w:tc>
        <w:tc>
          <w:tcPr>
            <w:tcW w:type="pct" w:w="11%"/>
          </w:tcPr>
          <w:p>
            <w:r>
              <w:rPr>
                <w:rFonts w:ascii="Calibri" w:cs="Calibri" w:eastAsia="Calibri" w:hAnsi="Calibri"/>
                <w:b w:val="false"/>
                <w:bCs w:val="false"/>
                <w:i w:val="false"/>
                <w:iCs w:val="false"/>
                <w:strike w:val="false"/>
                <w:color w:val="000000"/>
                <w:sz w:val="20"/>
                <w:szCs w:val="20"/>
              </w:rPr>
              <w:t xml:space="preserve">Embedding Vector</w:t>
            </w:r>
          </w:p>
        </w:tc>
        <w:tc>
          <w:tcPr>
            <w:tcW w:type="pct" w:w="14%"/>
          </w:tcPr>
          <w:p>
            <w:r>
              <w:rPr>
                <w:rFonts w:ascii="Calibri" w:cs="Calibri" w:eastAsia="Calibri" w:hAnsi="Calibri"/>
                <w:b w:val="false"/>
                <w:bCs w:val="false"/>
                <w:i w:val="false"/>
                <w:iCs w:val="false"/>
                <w:strike w:val="false"/>
                <w:color w:val="000000"/>
                <w:sz w:val="20"/>
                <w:szCs w:val="20"/>
              </w:rPr>
              <w:t xml:space="preserve">Document Chunk</w:t>
            </w:r>
          </w:p>
        </w:tc>
        <w:tc>
          <w:tcPr>
            <w:tcW w:type="pct" w:w="13%"/>
          </w:tcPr>
          <w:p>
            <w:r>
              <w:rPr>
                <w:rFonts w:ascii="Calibri" w:cs="Calibri" w:eastAsia="Calibri" w:hAnsi="Calibri"/>
                <w:b w:val="false"/>
                <w:bCs w:val="false"/>
                <w:i w:val="false"/>
                <w:iCs w:val="false"/>
                <w:strike w:val="false"/>
                <w:color w:val="000000"/>
                <w:sz w:val="20"/>
                <w:szCs w:val="20"/>
              </w:rPr>
              <w:t xml:space="preserve">RDF Triple</w:t>
            </w:r>
          </w:p>
        </w:tc>
        <w:tc>
          <w:tcPr>
            <w:tcW w:type="pct" w:w="13%"/>
          </w:tcPr>
          <w:p>
            <w:r>
              <w:rPr>
                <w:rFonts w:ascii="Calibri" w:cs="Calibri" w:eastAsia="Calibri" w:hAnsi="Calibri"/>
                <w:b w:val="false"/>
                <w:bCs w:val="false"/>
                <w:i w:val="false"/>
                <w:iCs w:val="false"/>
                <w:strike w:val="false"/>
                <w:color w:val="000000"/>
                <w:sz w:val="20"/>
                <w:szCs w:val="20"/>
              </w:rPr>
              <w:t xml:space="preserve">Implicit Model Weight</w:t>
            </w:r>
          </w:p>
        </w:tc>
        <w:tc>
          <w:tcPr>
            <w:tcW w:type="pct" w:w="23%"/>
          </w:tcPr>
          <w:p>
            <w:r>
              <w:rPr>
                <w:rFonts w:ascii="Calibri" w:cs="Calibri" w:eastAsia="Calibri" w:hAnsi="Calibri"/>
                <w:b/>
                <w:bCs/>
                <w:i w:val="false"/>
                <w:iCs w:val="false"/>
                <w:strike w:val="false"/>
                <w:color w:val="000000"/>
                <w:sz w:val="22"/>
                <w:szCs w:val="22"/>
              </w:rPr>
              <w:t xml:space="preserve">Fact Unit (FU)</w:t>
            </w:r>
            <w:r>
              <w:rPr>
                <w:rFonts w:ascii="Calibri" w:cs="Calibri" w:eastAsia="Calibri" w:hAnsi="Calibri"/>
                <w:b w:val="false"/>
                <w:bCs w:val="false"/>
                <w:i w:val="false"/>
                <w:iCs w:val="false"/>
                <w:strike w:val="false"/>
                <w:color w:val="000000"/>
                <w:sz w:val="20"/>
                <w:szCs w:val="20"/>
              </w:rPr>
              <w:t xml:space="preserve"> — richly typed, provenance-tracked, multimodal</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Provenance Tracking</w:t>
            </w:r>
          </w:p>
        </w:tc>
        <w:tc>
          <w:tcPr>
            <w:tcW w:type="pct" w:w="13%"/>
          </w:tcPr>
          <w:p>
            <w:r>
              <w:rPr>
                <w:rFonts w:ascii="Calibri" w:cs="Calibri" w:eastAsia="Calibri" w:hAnsi="Calibri"/>
                <w:b w:val="false"/>
                <w:bCs w:val="false"/>
                <w:i w:val="false"/>
                <w:iCs w:val="false"/>
                <w:strike w:val="false"/>
                <w:color w:val="000000"/>
                <w:sz w:val="20"/>
                <w:szCs w:val="20"/>
              </w:rPr>
              <w:t xml:space="preserve">None (audit log optional)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Partial (document source)</w:t>
            </w:r>
          </w:p>
        </w:tc>
        <w:tc>
          <w:tcPr>
            <w:tcW w:type="pct" w:w="13%"/>
          </w:tcPr>
          <w:p>
            <w:r>
              <w:rPr>
                <w:rFonts w:ascii="Calibri" w:cs="Calibri" w:eastAsia="Calibri" w:hAnsi="Calibri"/>
                <w:b w:val="false"/>
                <w:bCs w:val="false"/>
                <w:i w:val="false"/>
                <w:iCs w:val="false"/>
                <w:strike w:val="false"/>
                <w:color w:val="000000"/>
                <w:sz w:val="20"/>
                <w:szCs w:val="20"/>
              </w:rPr>
              <w:t xml:space="preserve">Limited (named graphs)</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Complete Fact Lineage</w:t>
            </w:r>
            <w:r>
              <w:rPr>
                <w:rFonts w:ascii="Calibri" w:cs="Calibri" w:eastAsia="Calibri" w:hAnsi="Calibri"/>
                <w:b w:val="false"/>
                <w:bCs w:val="false"/>
                <w:i w:val="false"/>
                <w:iCs w:val="false"/>
                <w:strike w:val="false"/>
                <w:color w:val="000000"/>
                <w:sz w:val="20"/>
                <w:szCs w:val="20"/>
              </w:rPr>
              <w:t xml:space="preserve"> — immutable Merkle DAG Provenance Ledger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Multimodal Ingestion</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Embedding only</w:t>
            </w:r>
          </w:p>
        </w:tc>
        <w:tc>
          <w:tcPr>
            <w:tcW w:type="pct" w:w="14%"/>
          </w:tcPr>
          <w:p>
            <w:r>
              <w:rPr>
                <w:rFonts w:ascii="Calibri" w:cs="Calibri" w:eastAsia="Calibri" w:hAnsi="Calibri"/>
                <w:b w:val="false"/>
                <w:bCs w:val="false"/>
                <w:i w:val="false"/>
                <w:iCs w:val="false"/>
                <w:strike w:val="false"/>
                <w:color w:val="000000"/>
                <w:sz w:val="20"/>
                <w:szCs w:val="20"/>
              </w:rPr>
              <w:t xml:space="preserve">Text-dominant</w:t>
            </w:r>
          </w:p>
        </w:tc>
        <w:tc>
          <w:tcPr>
            <w:tcW w:type="pct" w:w="13%"/>
          </w:tcPr>
          <w:p>
            <w:r>
              <w:rPr>
                <w:rFonts w:ascii="Calibri" w:cs="Calibri" w:eastAsia="Calibri" w:hAnsi="Calibri"/>
                <w:b w:val="false"/>
                <w:bCs w:val="false"/>
                <w:i w:val="false"/>
                <w:iCs w:val="false"/>
                <w:strike w:val="false"/>
                <w:color w:val="000000"/>
                <w:sz w:val="20"/>
                <w:szCs w:val="20"/>
              </w:rPr>
              <w:t xml:space="preserve">None natively</w:t>
            </w:r>
          </w:p>
        </w:tc>
        <w:tc>
          <w:tcPr>
            <w:tcW w:type="pct" w:w="13%"/>
          </w:tcPr>
          <w:p>
            <w:r>
              <w:rPr>
                <w:rFonts w:ascii="Calibri" w:cs="Calibri" w:eastAsia="Calibri" w:hAnsi="Calibri"/>
                <w:b w:val="false"/>
                <w:bCs w:val="false"/>
                <w:i w:val="false"/>
                <w:iCs w:val="false"/>
                <w:strike w:val="false"/>
                <w:color w:val="000000"/>
                <w:sz w:val="20"/>
                <w:szCs w:val="20"/>
              </w:rPr>
              <w:t xml:space="preserve">Model-dependent</w:t>
            </w:r>
          </w:p>
        </w:tc>
        <w:tc>
          <w:tcPr>
            <w:tcW w:type="pct" w:w="23%"/>
          </w:tcPr>
          <w:p>
            <w:r>
              <w:rPr>
                <w:rFonts w:ascii="Calibri" w:cs="Calibri" w:eastAsia="Calibri" w:hAnsi="Calibri"/>
                <w:b/>
                <w:bCs/>
                <w:i w:val="false"/>
                <w:iCs w:val="false"/>
                <w:strike w:val="false"/>
                <w:color w:val="000000"/>
                <w:sz w:val="22"/>
                <w:szCs w:val="22"/>
              </w:rPr>
              <w:t xml:space="preserve">8 modalities</w:t>
            </w:r>
            <w:r>
              <w:rPr>
                <w:rFonts w:ascii="Calibri" w:cs="Calibri" w:eastAsia="Calibri" w:hAnsi="Calibri"/>
                <w:b w:val="false"/>
                <w:bCs w:val="false"/>
                <w:i w:val="false"/>
                <w:iCs w:val="false"/>
                <w:strike w:val="false"/>
                <w:color w:val="000000"/>
                <w:sz w:val="20"/>
                <w:szCs w:val="20"/>
              </w:rPr>
              <w:t xml:space="preserve"> — unified into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Architecture</w:t>
            </w:r>
          </w:p>
        </w:tc>
        <w:tc>
          <w:tcPr>
            <w:tcW w:type="pct" w:w="13%"/>
          </w:tcPr>
          <w:p>
            <w:r>
              <w:rPr>
                <w:rFonts w:ascii="Calibri" w:cs="Calibri" w:eastAsia="Calibri" w:hAnsi="Calibri"/>
                <w:b w:val="false"/>
                <w:bCs w:val="false"/>
                <w:i w:val="false"/>
                <w:iCs w:val="false"/>
                <w:strike w:val="false"/>
                <w:color w:val="000000"/>
                <w:sz w:val="20"/>
                <w:szCs w:val="20"/>
              </w:rPr>
              <w:t xml:space="preserve">SQL query engine</w:t>
            </w:r>
          </w:p>
        </w:tc>
        <w:tc>
          <w:tcPr>
            <w:tcW w:type="pct" w:w="11%"/>
          </w:tcPr>
          <w:p>
            <w:r>
              <w:rPr>
                <w:rFonts w:ascii="Calibri" w:cs="Calibri" w:eastAsia="Calibri" w:hAnsi="Calibri"/>
                <w:b w:val="false"/>
                <w:bCs w:val="false"/>
                <w:i w:val="false"/>
                <w:iCs w:val="false"/>
                <w:strike w:val="false"/>
                <w:color w:val="000000"/>
                <w:sz w:val="20"/>
                <w:szCs w:val="20"/>
              </w:rPr>
              <w:t xml:space="preserve">ANN similarity</w:t>
            </w:r>
          </w:p>
        </w:tc>
        <w:tc>
          <w:tcPr>
            <w:tcW w:type="pct" w:w="14%"/>
          </w:tcPr>
          <w:p>
            <w:r>
              <w:rPr>
                <w:rFonts w:ascii="Calibri" w:cs="Calibri" w:eastAsia="Calibri" w:hAnsi="Calibri"/>
                <w:b w:val="false"/>
                <w:bCs w:val="false"/>
                <w:i w:val="false"/>
                <w:iCs w:val="false"/>
                <w:strike w:val="false"/>
                <w:color w:val="000000"/>
                <w:sz w:val="20"/>
                <w:szCs w:val="20"/>
              </w:rPr>
              <w:t xml:space="preserve">LLM + retrieval</w:t>
            </w:r>
          </w:p>
        </w:tc>
        <w:tc>
          <w:tcPr>
            <w:tcW w:type="pct" w:w="13%"/>
          </w:tcPr>
          <w:p>
            <w:r>
              <w:rPr>
                <w:rFonts w:ascii="Calibri" w:cs="Calibri" w:eastAsia="Calibri" w:hAnsi="Calibri"/>
                <w:b w:val="false"/>
                <w:bCs w:val="false"/>
                <w:i w:val="false"/>
                <w:iCs w:val="false"/>
                <w:strike w:val="false"/>
                <w:color w:val="000000"/>
                <w:sz w:val="20"/>
                <w:szCs w:val="20"/>
              </w:rPr>
              <w:t xml:space="preserve">SPARQL + OWL inference</w:t>
            </w:r>
          </w:p>
        </w:tc>
        <w:tc>
          <w:tcPr>
            <w:tcW w:type="pct" w:w="13%"/>
          </w:tcPr>
          <w:p>
            <w:r>
              <w:rPr>
                <w:rFonts w:ascii="Calibri" w:cs="Calibri" w:eastAsia="Calibri" w:hAnsi="Calibri"/>
                <w:b w:val="false"/>
                <w:bCs w:val="false"/>
                <w:i w:val="false"/>
                <w:iCs w:val="false"/>
                <w:strike w:val="false"/>
                <w:color w:val="000000"/>
                <w:sz w:val="20"/>
                <w:szCs w:val="20"/>
              </w:rPr>
              <w:t xml:space="preserve">LLM forward pass</w:t>
            </w:r>
          </w:p>
        </w:tc>
        <w:tc>
          <w:tcPr>
            <w:tcW w:type="pct" w:w="23%"/>
          </w:tcPr>
          <w:p>
            <w:r>
              <w:rPr>
                <w:rFonts w:ascii="Calibri" w:cs="Calibri" w:eastAsia="Calibri" w:hAnsi="Calibri"/>
                <w:b/>
                <w:bCs/>
                <w:i w:val="false"/>
                <w:iCs w:val="false"/>
                <w:strike w:val="false"/>
                <w:color w:val="000000"/>
                <w:sz w:val="22"/>
                <w:szCs w:val="22"/>
              </w:rPr>
              <w:t xml:space="preserve">Neuromorphic Cognitive Layer</w:t>
            </w:r>
            <w:r>
              <w:rPr>
                <w:rFonts w:ascii="Calibri" w:cs="Calibri" w:eastAsia="Calibri" w:hAnsi="Calibri"/>
                <w:b w:val="false"/>
                <w:bCs w:val="false"/>
                <w:i w:val="false"/>
                <w:iCs w:val="false"/>
                <w:strike w:val="false"/>
                <w:color w:val="000000"/>
                <w:sz w:val="20"/>
                <w:szCs w:val="20"/>
              </w:rPr>
              <w:t xml:space="preserve"> — STDP, attractor dynamics, HTM</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Temporal Knowledge</w:t>
            </w:r>
          </w:p>
        </w:tc>
        <w:tc>
          <w:tcPr>
            <w:tcW w:type="pct" w:w="13%"/>
          </w:tcPr>
          <w:p>
            <w:r>
              <w:rPr>
                <w:rFonts w:ascii="Calibri" w:cs="Calibri" w:eastAsia="Calibri" w:hAnsi="Calibri"/>
                <w:b w:val="false"/>
                <w:bCs w:val="false"/>
                <w:i w:val="false"/>
                <w:iCs w:val="false"/>
                <w:strike w:val="false"/>
                <w:color w:val="000000"/>
                <w:sz w:val="20"/>
                <w:szCs w:val="20"/>
              </w:rPr>
              <w:t xml:space="preserve">Timestamp columns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Named graphs (partial)</w:t>
            </w:r>
          </w:p>
        </w:tc>
        <w:tc>
          <w:tcPr>
            <w:tcW w:type="pct" w:w="13%"/>
          </w:tcPr>
          <w:p>
            <w:r>
              <w:rPr>
                <w:rFonts w:ascii="Calibri" w:cs="Calibri" w:eastAsia="Calibri" w:hAnsi="Calibri"/>
                <w:b w:val="false"/>
                <w:bCs w:val="false"/>
                <w:i w:val="false"/>
                <w:iCs w:val="false"/>
                <w:strike w:val="false"/>
                <w:color w:val="000000"/>
                <w:sz w:val="20"/>
                <w:szCs w:val="20"/>
              </w:rPr>
              <w:t xml:space="preserve">Training cutoff</w:t>
            </w:r>
          </w:p>
        </w:tc>
        <w:tc>
          <w:tcPr>
            <w:tcW w:type="pct" w:w="23%"/>
          </w:tcPr>
          <w:p>
            <w:r>
              <w:rPr>
                <w:rFonts w:ascii="Calibri" w:cs="Calibri" w:eastAsia="Calibri" w:hAnsi="Calibri"/>
                <w:b/>
                <w:bCs/>
                <w:i w:val="false"/>
                <w:iCs w:val="false"/>
                <w:strike w:val="false"/>
                <w:color w:val="000000"/>
                <w:sz w:val="22"/>
                <w:szCs w:val="22"/>
              </w:rPr>
              <w:t xml:space="preserve">Temporal Anchor</w:t>
            </w:r>
            <w:r>
              <w:rPr>
                <w:rFonts w:ascii="Calibri" w:cs="Calibri" w:eastAsia="Calibri" w:hAnsi="Calibri"/>
                <w:b w:val="false"/>
                <w:bCs w:val="false"/>
                <w:i w:val="false"/>
                <w:iCs w:val="false"/>
                <w:strike w:val="false"/>
                <w:color w:val="000000"/>
                <w:sz w:val="20"/>
                <w:szCs w:val="20"/>
              </w:rPr>
              <w:t xml:space="preserve"> — structured interval with granularity and confidence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Hallucination Prevention</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1%"/>
          </w:tcPr>
          <w:p>
            <w:r>
              <w:rPr>
                <w:rFonts w:ascii="Calibri" w:cs="Calibri" w:eastAsia="Calibri" w:hAnsi="Calibri"/>
                <w:b w:val="false"/>
                <w:bCs w:val="false"/>
                <w:i w:val="false"/>
                <w:iCs w:val="false"/>
                <w:strike w:val="false"/>
                <w:color w:val="000000"/>
                <w:sz w:val="20"/>
                <w:szCs w:val="20"/>
              </w:rPr>
              <w:t xml:space="preserve">N/A</w:t>
            </w:r>
          </w:p>
        </w:tc>
        <w:tc>
          <w:tcPr>
            <w:tcW w:type="pct" w:w="14%"/>
          </w:tcPr>
          <w:p>
            <w:r>
              <w:rPr>
                <w:rFonts w:ascii="Calibri" w:cs="Calibri" w:eastAsia="Calibri" w:hAnsi="Calibri"/>
                <w:b w:val="false"/>
                <w:bCs w:val="false"/>
                <w:i w:val="false"/>
                <w:iCs w:val="false"/>
                <w:strike w:val="false"/>
                <w:color w:val="000000"/>
                <w:sz w:val="20"/>
                <w:szCs w:val="20"/>
              </w:rPr>
              <w:t xml:space="preserve">Partial (grounding attempts)</w:t>
            </w:r>
          </w:p>
        </w:tc>
        <w:tc>
          <w:tcPr>
            <w:tcW w:type="pct" w:w="13%"/>
          </w:tcPr>
          <w:p>
            <w:r>
              <w:rPr>
                <w:rFonts w:ascii="Calibri" w:cs="Calibri" w:eastAsia="Calibri" w:hAnsi="Calibri"/>
                <w:b w:val="false"/>
                <w:bCs w:val="false"/>
                <w:i w:val="false"/>
                <w:iCs w:val="false"/>
                <w:strike w:val="false"/>
                <w:color w:val="000000"/>
                <w:sz w:val="20"/>
                <w:szCs w:val="20"/>
              </w:rPr>
              <w:t xml:space="preserve">N/A</w:t>
            </w:r>
          </w:p>
        </w:tc>
        <w:tc>
          <w:tcPr>
            <w:tcW w:type="pct" w:w="13%"/>
          </w:tcPr>
          <w:p>
            <w:r>
              <w:rPr>
                <w:rFonts w:ascii="Calibri" w:cs="Calibri" w:eastAsia="Calibri" w:hAnsi="Calibri"/>
                <w:b w:val="false"/>
                <w:bCs w:val="false"/>
                <w:i w:val="false"/>
                <w:iCs w:val="false"/>
                <w:strike w:val="false"/>
                <w:color w:val="000000"/>
                <w:sz w:val="20"/>
                <w:szCs w:val="20"/>
              </w:rPr>
              <w:t xml:space="preserve">None architecturally</w:t>
            </w:r>
          </w:p>
        </w:tc>
        <w:tc>
          <w:tcPr>
            <w:tcW w:type="pct" w:w="23%"/>
          </w:tcPr>
          <w:p>
            <w:r>
              <w:rPr>
                <w:rFonts w:ascii="Calibri" w:cs="Calibri" w:eastAsia="Calibri" w:hAnsi="Calibri"/>
                <w:b/>
                <w:bCs/>
                <w:i w:val="false"/>
                <w:iCs w:val="false"/>
                <w:strike w:val="false"/>
                <w:color w:val="000000"/>
                <w:sz w:val="22"/>
                <w:szCs w:val="22"/>
              </w:rPr>
              <w:t xml:space="preserve">Architecturally enforced</w:t>
            </w:r>
            <w:r>
              <w:rPr>
                <w:rFonts w:ascii="Calibri" w:cs="Calibri" w:eastAsia="Calibri" w:hAnsi="Calibri"/>
                <w:b w:val="false"/>
                <w:bCs w:val="false"/>
                <w:i w:val="false"/>
                <w:iCs w:val="false"/>
                <w:strike w:val="false"/>
                <w:color w:val="000000"/>
                <w:sz w:val="20"/>
                <w:szCs w:val="20"/>
              </w:rPr>
              <w:t xml:space="preserve"> — every output token grounded to Fact Units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Safety Architecture</w:t>
            </w:r>
          </w:p>
        </w:tc>
        <w:tc>
          <w:tcPr>
            <w:tcW w:type="pct" w:w="13%"/>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Prompt filters</w:t>
            </w:r>
          </w:p>
        </w:tc>
        <w:tc>
          <w:tcPr>
            <w:tcW w:type="pct" w:w="13%"/>
          </w:tcPr>
          <w:p>
            <w:r>
              <w:rPr>
                <w:rFonts w:ascii="Calibri" w:cs="Calibri" w:eastAsia="Calibri" w:hAnsi="Calibri"/>
                <w:b w:val="false"/>
                <w:bCs w:val="false"/>
                <w:i w:val="false"/>
                <w:iCs w:val="false"/>
                <w:strike w:val="false"/>
                <w:color w:val="000000"/>
                <w:sz w:val="20"/>
                <w:szCs w:val="20"/>
              </w:rPr>
              <w:t xml:space="preserve">ACL on graphs</w:t>
            </w:r>
          </w:p>
        </w:tc>
        <w:tc>
          <w:tcPr>
            <w:tcW w:type="pct" w:w="13%"/>
          </w:tcPr>
          <w:p>
            <w:r>
              <w:rPr>
                <w:rFonts w:ascii="Calibri" w:cs="Calibri" w:eastAsia="Calibri" w:hAnsi="Calibri"/>
                <w:b w:val="false"/>
                <w:bCs w:val="false"/>
                <w:i w:val="false"/>
                <w:iCs w:val="false"/>
                <w:strike w:val="false"/>
                <w:color w:val="000000"/>
                <w:sz w:val="20"/>
                <w:szCs w:val="20"/>
              </w:rPr>
              <w:t xml:space="preserve">RLHF-based filters</w:t>
            </w:r>
          </w:p>
        </w:tc>
        <w:tc>
          <w:tcPr>
            <w:tcW w:type="pct" w:w="23%"/>
          </w:tcPr>
          <w:p>
            <w:r>
              <w:rPr>
                <w:rFonts w:ascii="Calibri" w:cs="Calibri" w:eastAsia="Calibri" w:hAnsi="Calibri"/>
                <w:b/>
                <w:bCs/>
                <w:i w:val="false"/>
                <w:iCs w:val="false"/>
                <w:strike w:val="false"/>
                <w:color w:val="000000"/>
                <w:sz w:val="22"/>
                <w:szCs w:val="22"/>
              </w:rPr>
              <w:t xml:space="preserve">Non-bypassable Safety Substrate</w:t>
            </w:r>
            <w:r>
              <w:rPr>
                <w:rFonts w:ascii="Calibri" w:cs="Calibri" w:eastAsia="Calibri" w:hAnsi="Calibri"/>
                <w:b w:val="false"/>
                <w:bCs w:val="false"/>
                <w:i w:val="false"/>
                <w:iCs w:val="false"/>
                <w:strike w:val="false"/>
                <w:color w:val="000000"/>
                <w:sz w:val="20"/>
                <w:szCs w:val="20"/>
              </w:rPr>
              <w:t xml:space="preserve"> at every architectural layer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Predictive Capability</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LLM generation (ungrounded)</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Autoregressive prediction</w:t>
            </w:r>
          </w:p>
        </w:tc>
        <w:tc>
          <w:tcPr>
            <w:tcW w:type="pct" w:w="23%"/>
          </w:tcPr>
          <w:p>
            <w:r>
              <w:rPr>
                <w:rFonts w:ascii="Calibri" w:cs="Calibri" w:eastAsia="Calibri" w:hAnsi="Calibri"/>
                <w:b/>
                <w:bCs/>
                <w:i w:val="false"/>
                <w:iCs w:val="false"/>
                <w:strike w:val="false"/>
                <w:color w:val="000000"/>
                <w:sz w:val="22"/>
                <w:szCs w:val="22"/>
              </w:rPr>
              <w:t xml:space="preserve">Predictive Inference Engine (PIE)</w:t>
            </w:r>
            <w:r>
              <w:rPr>
                <w:rFonts w:ascii="Calibri" w:cs="Calibri" w:eastAsia="Calibri" w:hAnsi="Calibri"/>
                <w:b w:val="false"/>
                <w:bCs w:val="false"/>
                <w:i w:val="false"/>
                <w:iCs w:val="false"/>
                <w:strike w:val="false"/>
                <w:color w:val="000000"/>
                <w:sz w:val="20"/>
                <w:szCs w:val="20"/>
              </w:rPr>
              <w:t xml:space="preserve"> — calibrated, Fact-Unit-grounded</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Cross-Domain Consistency</w:t>
            </w:r>
          </w:p>
        </w:tc>
        <w:tc>
          <w:tcPr>
            <w:tcW w:type="pct" w:w="13%"/>
          </w:tcPr>
          <w:p>
            <w:r>
              <w:rPr>
                <w:rFonts w:ascii="Calibri" w:cs="Calibri" w:eastAsia="Calibri" w:hAnsi="Calibri"/>
                <w:b w:val="false"/>
                <w:bCs w:val="false"/>
                <w:i w:val="false"/>
                <w:iCs w:val="false"/>
                <w:strike w:val="false"/>
                <w:color w:val="000000"/>
                <w:sz w:val="20"/>
                <w:szCs w:val="20"/>
              </w:rPr>
              <w:t xml:space="preserve">Foreign keys</w:t>
            </w:r>
          </w:p>
        </w:tc>
        <w:tc>
          <w:tcPr>
            <w:tcW w:type="pct" w:w="11%"/>
          </w:tcPr>
          <w:p>
            <w:r>
              <w:rPr>
                <w:rFonts w:ascii="Calibri" w:cs="Calibri" w:eastAsia="Calibri" w:hAnsi="Calibri"/>
                <w:b w:val="false"/>
                <w:bCs w:val="false"/>
                <w:i w:val="false"/>
                <w:iCs w:val="false"/>
                <w:strike w:val="false"/>
                <w:color w:val="000000"/>
                <w:sz w:val="20"/>
                <w:szCs w:val="20"/>
              </w:rPr>
              <w:t xml:space="preserve">None</w:t>
            </w:r>
          </w:p>
        </w:tc>
        <w:tc>
          <w:tcPr>
            <w:tcW w:type="pct" w:w="14%"/>
          </w:tcPr>
          <w:p>
            <w:r>
              <w:rPr>
                <w:rFonts w:ascii="Calibri" w:cs="Calibri" w:eastAsia="Calibri" w:hAnsi="Calibri"/>
                <w:b w:val="false"/>
                <w:bCs w:val="false"/>
                <w:i w:val="false"/>
                <w:iCs w:val="false"/>
                <w:strike w:val="false"/>
                <w:color w:val="000000"/>
                <w:sz w:val="20"/>
                <w:szCs w:val="20"/>
              </w:rPr>
              <w:t xml:space="preserve">None</w:t>
            </w:r>
          </w:p>
        </w:tc>
        <w:tc>
          <w:tcPr>
            <w:tcW w:type="pct" w:w="13%"/>
          </w:tcPr>
          <w:p>
            <w:r>
              <w:rPr>
                <w:rFonts w:ascii="Calibri" w:cs="Calibri" w:eastAsia="Calibri" w:hAnsi="Calibri"/>
                <w:b w:val="false"/>
                <w:bCs w:val="false"/>
                <w:i w:val="false"/>
                <w:iCs w:val="false"/>
                <w:strike w:val="false"/>
                <w:color w:val="000000"/>
                <w:sz w:val="20"/>
                <w:szCs w:val="20"/>
              </w:rPr>
              <w:t xml:space="preserve">Partial (OWL)</w:t>
            </w:r>
          </w:p>
        </w:tc>
        <w:tc>
          <w:tcPr>
            <w:tcW w:type="pct" w:w="13%"/>
          </w:tcPr>
          <w:p>
            <w:r>
              <w:rPr>
                <w:rFonts w:ascii="Calibri" w:cs="Calibri" w:eastAsia="Calibri" w:hAnsi="Calibri"/>
                <w:b w:val="false"/>
                <w:bCs w:val="false"/>
                <w:i w:val="false"/>
                <w:iCs w:val="false"/>
                <w:strike w:val="false"/>
                <w:color w:val="000000"/>
                <w:sz w:val="20"/>
                <w:szCs w:val="20"/>
              </w:rPr>
              <w:t xml:space="preserve">None</w:t>
            </w:r>
          </w:p>
        </w:tc>
        <w:tc>
          <w:tcPr>
            <w:tcW w:type="pct" w:w="23%"/>
          </w:tcPr>
          <w:p>
            <w:r>
              <w:rPr>
                <w:rFonts w:ascii="Calibri" w:cs="Calibri" w:eastAsia="Calibri" w:hAnsi="Calibri"/>
                <w:b/>
                <w:bCs/>
                <w:i w:val="false"/>
                <w:iCs w:val="false"/>
                <w:strike w:val="false"/>
                <w:color w:val="000000"/>
                <w:sz w:val="22"/>
                <w:szCs w:val="22"/>
              </w:rPr>
              <w:t xml:space="preserve">Cross-Domain Rule Engine (CDRE)</w:t>
            </w:r>
            <w:r>
              <w:rPr>
                <w:rFonts w:ascii="Calibri" w:cs="Calibri" w:eastAsia="Calibri" w:hAnsi="Calibri"/>
                <w:b w:val="false"/>
                <w:bCs w:val="false"/>
                <w:i w:val="false"/>
                <w:iCs w:val="false"/>
                <w:strike w:val="false"/>
                <w:color w:val="000000"/>
                <w:sz w:val="20"/>
                <w:szCs w:val="20"/>
              </w:rPr>
              <w:t xml:space="preserve"> — Datalog-extended enforcement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 Core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system is governed by a set of inviolable design principles that inform every architectural decision. These principles are enumerated here as foundational postulates: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Primacy:</w:t>
      </w:r>
      <w:r>
        <w:rPr>
          <w:rFonts w:ascii="Calibri" w:cs="Calibri" w:eastAsia="Calibri" w:hAnsi="Calibri"/>
          <w:b w:val="false"/>
          <w:bCs w:val="false"/>
          <w:i w:val="false"/>
          <w:iCs w:val="false"/>
          <w:strike w:val="false"/>
          <w:color w:val="000000"/>
          <w:sz w:val="22"/>
          <w:szCs w:val="22"/>
        </w:rPr>
        <w:t xml:space="preserve"> Every piece of knowledge represented in QueryBook must be expressed as one or more Fact Units. There is no "raw document" storage in QueryBook's primary knowledge representation layer; all ingested content is fully transformed into Fact Units before storage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Universal Provenance:</w:t>
      </w:r>
      <w:r>
        <w:rPr>
          <w:rFonts w:ascii="Calibri" w:cs="Calibri" w:eastAsia="Calibri" w:hAnsi="Calibri"/>
          <w:b w:val="false"/>
          <w:bCs w:val="false"/>
          <w:i w:val="false"/>
          <w:iCs w:val="false"/>
          <w:strike w:val="false"/>
          <w:color w:val="000000"/>
          <w:sz w:val="22"/>
          <w:szCs w:val="22"/>
        </w:rPr>
        <w:t xml:space="preserve"> Every Fact Unit must carry a complete, auditable lineage from its ultimate source data through all transformation stages to its current representation. No Fact Unit may exist without a corresponding Provenance Record in the Provenance Ledger.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Typing:</w:t>
      </w:r>
      <w:r>
        <w:rPr>
          <w:rFonts w:ascii="Calibri" w:cs="Calibri" w:eastAsia="Calibri" w:hAnsi="Calibri"/>
          <w:b w:val="false"/>
          <w:bCs w:val="false"/>
          <w:i w:val="false"/>
          <w:iCs w:val="false"/>
          <w:strike w:val="false"/>
          <w:color w:val="000000"/>
          <w:sz w:val="22"/>
          <w:szCs w:val="22"/>
        </w:rPr>
        <w:t xml:space="preserve"> Every Fact Unit has a FactType governed by the Ontology Mesh. Type-free or schemaless knowledge representation is not permitted. The Ontology Mesh is the semantic contract that governs all Fact Unit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Grounded Regeneration:</w:t>
      </w:r>
      <w:r>
        <w:rPr>
          <w:rFonts w:ascii="Calibri" w:cs="Calibri" w:eastAsia="Calibri" w:hAnsi="Calibri"/>
          <w:b w:val="false"/>
          <w:bCs w:val="false"/>
          <w:i w:val="false"/>
          <w:iCs w:val="false"/>
          <w:strike w:val="false"/>
          <w:color w:val="000000"/>
          <w:sz w:val="22"/>
          <w:szCs w:val="22"/>
        </w:rPr>
        <w:t xml:space="preserve"> Any natural language output produced by the Multilingual Regeneration Engine must be fully traceable to source Fact Units. Hallucination is not a risk to be managed probabilistically — it is a condition to be prevented architecturally.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Safety as Architecture:</w:t>
      </w:r>
      <w:r>
        <w:rPr>
          <w:rFonts w:ascii="Calibri" w:cs="Calibri" w:eastAsia="Calibri" w:hAnsi="Calibri"/>
          <w:b w:val="false"/>
          <w:bCs w:val="false"/>
          <w:i w:val="false"/>
          <w:iCs w:val="false"/>
          <w:strike w:val="false"/>
          <w:color w:val="000000"/>
          <w:sz w:val="22"/>
          <w:szCs w:val="22"/>
        </w:rPr>
        <w:t xml:space="preserve"> Safety is not a layer added above or around the QueryBook system; it is embedded as a non-bypassable substrate at every processing layer. The Safety Substrate cannot be disabled, suspended, or circumvented by any API, configuration, or runtime operation.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Adaptation Without Forgetting:</w:t>
      </w:r>
      <w:r>
        <w:rPr>
          <w:rFonts w:ascii="Calibri" w:cs="Calibri" w:eastAsia="Calibri" w:hAnsi="Calibri"/>
          <w:b w:val="false"/>
          <w:bCs w:val="false"/>
          <w:i w:val="false"/>
          <w:iCs w:val="false"/>
          <w:strike w:val="false"/>
          <w:color w:val="000000"/>
          <w:sz w:val="22"/>
          <w:szCs w:val="22"/>
        </w:rPr>
        <w:t xml:space="preserve"> The Neuromorphic Cognitive Layer must learn from each query-feedback cycle and continuously refine its associative weights without catastrophic forgetting of previously established knowledge.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Honesty:</w:t>
      </w:r>
      <w:r>
        <w:rPr>
          <w:rFonts w:ascii="Calibri" w:cs="Calibri" w:eastAsia="Calibri" w:hAnsi="Calibri"/>
          <w:b w:val="false"/>
          <w:bCs w:val="false"/>
          <w:i w:val="false"/>
          <w:iCs w:val="false"/>
          <w:strike w:val="false"/>
          <w:color w:val="000000"/>
          <w:sz w:val="22"/>
          <w:szCs w:val="22"/>
        </w:rPr>
        <w:t xml:space="preserve"> Every Fact Unit must declare the time interval to which it applies. Timeless facts, indefinitely valid facts, and time-bounded facts are all explicitly represented via the Temporal Anchor field; no fact is implicitly assumed to be eternally valid.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Ontological Openness with Disciplined Extension:</w:t>
      </w:r>
      <w:r>
        <w:rPr>
          <w:rFonts w:ascii="Calibri" w:cs="Calibri" w:eastAsia="Calibri" w:hAnsi="Calibri"/>
          <w:b w:val="false"/>
          <w:bCs w:val="false"/>
          <w:i w:val="false"/>
          <w:iCs w:val="false"/>
          <w:strike w:val="false"/>
          <w:color w:val="000000"/>
          <w:sz w:val="22"/>
          <w:szCs w:val="22"/>
        </w:rPr>
        <w:t xml:space="preserve"> The Ontology Mesh operates under the Open World Assumption by default but supports Closed World extensions per domain for applications requiring completeness guarantees. Ontology extension follows a governed version-controlled protocol.</w:t>
      </w:r>
    </w:p>
    <w:p>
      <w:pPr>
        <w:pStyle w:val="Heading2"/>
        <w:spacing w:after="120" w:before="240" w:line="288" w:lineRule="auto"/>
      </w:pPr>
      <w:r>
        <w:rPr>
          <w:rFonts w:ascii="Calibri" w:cs="Calibri" w:eastAsia="Calibri" w:hAnsi="Calibri"/>
          <w:color w:val="000000"/>
          <w:sz w:val="36"/>
          <w:szCs w:val="36"/>
        </w:rPr>
        <w:t xml:space="preserve">1.5 Summary of Major System Layers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Layer Name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49%"/>
            <w:shd w:fill="DCE6F0" w:color="auto" w:val="clear"/>
          </w:tcPr>
          <w:p>
            <w:r>
              <w:rPr>
                <w:rFonts w:ascii="Calibri" w:cs="Calibri" w:eastAsia="Calibri" w:hAnsi="Calibri"/>
                <w:b/>
                <w:bCs/>
                <w:i w:val="false"/>
                <w:iCs w:val="false"/>
                <w:strike w:val="false"/>
                <w:color w:val="0D2A5E"/>
                <w:sz w:val="20"/>
                <w:szCs w:val="20"/>
              </w:rPr>
              <w:t xml:space="preserve">Primary Responsibility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Ingestion Layer</w:t>
            </w:r>
          </w:p>
        </w:tc>
        <w:tc>
          <w:tcPr>
            <w:tcW w:type="pct" w:w="16%"/>
          </w:tcPr>
          <w:p>
            <w:r>
              <w:rPr>
                <w:rFonts w:ascii="Calibri" w:cs="Calibri" w:eastAsia="Calibri" w:hAnsi="Calibri"/>
                <w:b w:val="false"/>
                <w:bCs w:val="false"/>
                <w:i w:val="false"/>
                <w:iCs w:val="false"/>
                <w:strike w:val="false"/>
                <w:color w:val="000000"/>
                <w:sz w:val="20"/>
                <w:szCs w:val="20"/>
              </w:rPr>
              <w:t xml:space="preserve">IL</w:t>
            </w:r>
          </w:p>
        </w:tc>
        <w:tc>
          <w:tcPr>
            <w:tcW w:type="pct" w:w="49%"/>
          </w:tcPr>
          <w:p>
            <w:r>
              <w:rPr>
                <w:rFonts w:ascii="Calibri" w:cs="Calibri" w:eastAsia="Calibri" w:hAnsi="Calibri"/>
                <w:b w:val="false"/>
                <w:bCs w:val="false"/>
                <w:i w:val="false"/>
                <w:iCs w:val="false"/>
                <w:strike w:val="false"/>
                <w:color w:val="000000"/>
                <w:sz w:val="20"/>
                <w:szCs w:val="20"/>
              </w:rPr>
              <w:t xml:space="preserve">Transform raw multimodal inputs into validated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Fact Unit Layer</w:t>
            </w:r>
          </w:p>
        </w:tc>
        <w:tc>
          <w:tcPr>
            <w:tcW w:type="pct" w:w="16%"/>
          </w:tcPr>
          <w:p>
            <w:r>
              <w:rPr>
                <w:rFonts w:ascii="Calibri" w:cs="Calibri" w:eastAsia="Calibri" w:hAnsi="Calibri"/>
                <w:b w:val="false"/>
                <w:bCs w:val="false"/>
                <w:i w:val="false"/>
                <w:iCs w:val="false"/>
                <w:strike w:val="false"/>
                <w:color w:val="000000"/>
                <w:sz w:val="20"/>
                <w:szCs w:val="20"/>
              </w:rPr>
              <w:t xml:space="preserve">FUL</w:t>
            </w:r>
          </w:p>
        </w:tc>
        <w:tc>
          <w:tcPr>
            <w:tcW w:type="pct" w:w="49%"/>
          </w:tcPr>
          <w:p>
            <w:r>
              <w:rPr>
                <w:rFonts w:ascii="Calibri" w:cs="Calibri" w:eastAsia="Calibri" w:hAnsi="Calibri"/>
                <w:b w:val="false"/>
                <w:bCs w:val="false"/>
                <w:i w:val="false"/>
                <w:iCs w:val="false"/>
                <w:strike w:val="false"/>
                <w:color w:val="000000"/>
                <w:sz w:val="20"/>
                <w:szCs w:val="20"/>
              </w:rPr>
              <w:t xml:space="preserve">Define the structure, lifecycle, and equivalence of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 3</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Cognitive Layer</w:t>
            </w:r>
          </w:p>
        </w:tc>
        <w:tc>
          <w:tcPr>
            <w:tcW w:type="pct" w:w="16%"/>
          </w:tcPr>
          <w:p>
            <w:r>
              <w:rPr>
                <w:rFonts w:ascii="Calibri" w:cs="Calibri" w:eastAsia="Calibri" w:hAnsi="Calibri"/>
                <w:b w:val="false"/>
                <w:bCs w:val="false"/>
                <w:i w:val="false"/>
                <w:iCs w:val="false"/>
                <w:strike w:val="false"/>
                <w:color w:val="000000"/>
                <w:sz w:val="20"/>
                <w:szCs w:val="20"/>
              </w:rPr>
              <w:t xml:space="preserve">NCL</w:t>
            </w:r>
          </w:p>
        </w:tc>
        <w:tc>
          <w:tcPr>
            <w:tcW w:type="pct" w:w="49%"/>
          </w:tcPr>
          <w:p>
            <w:r>
              <w:rPr>
                <w:rFonts w:ascii="Calibri" w:cs="Calibri" w:eastAsia="Calibri" w:hAnsi="Calibri"/>
                <w:b w:val="false"/>
                <w:bCs w:val="false"/>
                <w:i w:val="false"/>
                <w:iCs w:val="false"/>
                <w:strike w:val="false"/>
                <w:color w:val="000000"/>
                <w:sz w:val="20"/>
                <w:szCs w:val="20"/>
              </w:rPr>
              <w:t xml:space="preserve">Neuromorphic associative reasoning, pattern completion, temporal sequence learning</w:t>
            </w:r>
          </w:p>
        </w:tc>
        <w:tc>
          <w:tcPr>
            <w:tcW w:type="pct" w:w="18%"/>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Ontology Layer</w:t>
            </w:r>
          </w:p>
        </w:tc>
        <w:tc>
          <w:tcPr>
            <w:tcW w:type="pct" w:w="16%"/>
          </w:tcPr>
          <w:p>
            <w:r>
              <w:rPr>
                <w:rFonts w:ascii="Calibri" w:cs="Calibri" w:eastAsia="Calibri" w:hAnsi="Calibri"/>
                <w:b w:val="false"/>
                <w:bCs w:val="false"/>
                <w:i w:val="false"/>
                <w:iCs w:val="false"/>
                <w:strike w:val="false"/>
                <w:color w:val="000000"/>
                <w:sz w:val="20"/>
                <w:szCs w:val="20"/>
              </w:rPr>
              <w:t xml:space="preserve">OM / CDRE</w:t>
            </w:r>
          </w:p>
        </w:tc>
        <w:tc>
          <w:tcPr>
            <w:tcW w:type="pct" w:w="49%"/>
          </w:tcPr>
          <w:p>
            <w:r>
              <w:rPr>
                <w:rFonts w:ascii="Calibri" w:cs="Calibri" w:eastAsia="Calibri" w:hAnsi="Calibri"/>
                <w:b w:val="false"/>
                <w:bCs w:val="false"/>
                <w:i w:val="false"/>
                <w:iCs w:val="false"/>
                <w:strike w:val="false"/>
                <w:color w:val="000000"/>
                <w:sz w:val="20"/>
                <w:szCs w:val="20"/>
              </w:rPr>
              <w:t xml:space="preserve">Govern semantic typing and cross-domain consistency of all Fact Units</w:t>
            </w:r>
          </w:p>
        </w:tc>
        <w:tc>
          <w:tcPr>
            <w:tcW w:type="pct" w:w="18%"/>
          </w:tcPr>
          <w:p>
            <w:r>
              <w:rPr>
                <w:rFonts w:ascii="Calibri" w:cs="Calibri" w:eastAsia="Calibri" w:hAnsi="Calibri"/>
                <w:b w:val="false"/>
                <w:bCs w:val="false"/>
                <w:i w:val="false"/>
                <w:iCs w:val="false"/>
                <w:strike w:val="false"/>
                <w:color w:val="000000"/>
                <w:sz w:val="20"/>
                <w:szCs w:val="20"/>
              </w:rPr>
              <w:t xml:space="preserve">Chapters 6,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Storage Layer</w:t>
            </w:r>
          </w:p>
        </w:tc>
        <w:tc>
          <w:tcPr>
            <w:tcW w:type="pct" w:w="16%"/>
          </w:tcPr>
          <w:p>
            <w:r>
              <w:rPr>
                <w:rFonts w:ascii="Calibri" w:cs="Calibri" w:eastAsia="Calibri" w:hAnsi="Calibri"/>
                <w:b w:val="false"/>
                <w:bCs w:val="false"/>
                <w:i w:val="false"/>
                <w:iCs w:val="false"/>
                <w:strike w:val="false"/>
                <w:color w:val="000000"/>
                <w:sz w:val="20"/>
                <w:szCs w:val="20"/>
              </w:rPr>
              <w:t xml:space="preserve">SL</w:t>
            </w:r>
          </w:p>
        </w:tc>
        <w:tc>
          <w:tcPr>
            <w:tcW w:type="pct" w:w="49%"/>
          </w:tcPr>
          <w:p>
            <w:r>
              <w:rPr>
                <w:rFonts w:ascii="Calibri" w:cs="Calibri" w:eastAsia="Calibri" w:hAnsi="Calibri"/>
                <w:b w:val="false"/>
                <w:bCs w:val="false"/>
                <w:i w:val="false"/>
                <w:iCs w:val="false"/>
                <w:strike w:val="false"/>
                <w:color w:val="000000"/>
                <w:sz w:val="20"/>
                <w:szCs w:val="20"/>
              </w:rPr>
              <w:t xml:space="preserve">Persist, index, and retrieve Fact Units at scale across five storage tiers</w:t>
            </w:r>
          </w:p>
        </w:tc>
        <w:tc>
          <w:tcPr>
            <w:tcW w:type="pct" w:w="18%"/>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Transport Layer</w:t>
            </w:r>
          </w:p>
        </w:tc>
        <w:tc>
          <w:tcPr>
            <w:tcW w:type="pct" w:w="16%"/>
          </w:tcPr>
          <w:p>
            <w:r>
              <w:rPr>
                <w:rFonts w:ascii="Calibri" w:cs="Calibri" w:eastAsia="Calibri" w:hAnsi="Calibri"/>
                <w:b w:val="false"/>
                <w:bCs w:val="false"/>
                <w:i w:val="false"/>
                <w:iCs w:val="false"/>
                <w:strike w:val="false"/>
                <w:color w:val="000000"/>
                <w:sz w:val="20"/>
                <w:szCs w:val="20"/>
              </w:rPr>
              <w:t xml:space="preserve">STL</w:t>
            </w:r>
          </w:p>
        </w:tc>
        <w:tc>
          <w:tcPr>
            <w:tcW w:type="pct" w:w="49%"/>
          </w:tcPr>
          <w:p>
            <w:r>
              <w:rPr>
                <w:rFonts w:ascii="Calibri" w:cs="Calibri" w:eastAsia="Calibri" w:hAnsi="Calibri"/>
                <w:b w:val="false"/>
                <w:bCs w:val="false"/>
                <w:i w:val="false"/>
                <w:iCs w:val="false"/>
                <w:strike w:val="false"/>
                <w:color w:val="000000"/>
                <w:sz w:val="20"/>
                <w:szCs w:val="20"/>
              </w:rPr>
              <w:t xml:space="preserve">Transmit Fact Units reliably and securely across services and instances</w:t>
            </w:r>
          </w:p>
        </w:tc>
        <w:tc>
          <w:tcPr>
            <w:tcW w:type="pct" w:w="18%"/>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Reasoning Layer</w:t>
            </w:r>
          </w:p>
        </w:tc>
        <w:tc>
          <w:tcPr>
            <w:tcW w:type="pct" w:w="16%"/>
          </w:tcPr>
          <w:p>
            <w:r>
              <w:rPr>
                <w:rFonts w:ascii="Calibri" w:cs="Calibri" w:eastAsia="Calibri" w:hAnsi="Calibri"/>
                <w:b w:val="false"/>
                <w:bCs w:val="false"/>
                <w:i w:val="false"/>
                <w:iCs w:val="false"/>
                <w:strike w:val="false"/>
                <w:color w:val="000000"/>
                <w:sz w:val="20"/>
                <w:szCs w:val="20"/>
              </w:rPr>
              <w:t xml:space="preserve">PIE / AEM / CDRE</w:t>
            </w:r>
          </w:p>
        </w:tc>
        <w:tc>
          <w:tcPr>
            <w:tcW w:type="pct" w:w="49%"/>
          </w:tcPr>
          <w:p>
            <w:r>
              <w:rPr>
                <w:rFonts w:ascii="Calibri" w:cs="Calibri" w:eastAsia="Calibri" w:hAnsi="Calibri"/>
                <w:b w:val="false"/>
                <w:bCs w:val="false"/>
                <w:i w:val="false"/>
                <w:iCs w:val="false"/>
                <w:strike w:val="false"/>
                <w:color w:val="000000"/>
                <w:sz w:val="20"/>
                <w:szCs w:val="20"/>
              </w:rPr>
              <w:t xml:space="preserve">Perform inference, prediction, abduction, analogy, and causal discovery</w:t>
            </w:r>
          </w:p>
        </w:tc>
        <w:tc>
          <w:tcPr>
            <w:tcW w:type="pct" w:w="18%"/>
          </w:tcPr>
          <w:p>
            <w:r>
              <w:rPr>
                <w:rFonts w:ascii="Calibri" w:cs="Calibri" w:eastAsia="Calibri" w:hAnsi="Calibri"/>
                <w:b w:val="false"/>
                <w:bCs w:val="false"/>
                <w:i w:val="false"/>
                <w:iCs w:val="false"/>
                <w:strike w:val="false"/>
                <w:color w:val="000000"/>
                <w:sz w:val="20"/>
                <w:szCs w:val="20"/>
              </w:rPr>
              <w:t xml:space="preserve">Chapters 10, 15, 17</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Safety Substrate</w:t>
            </w:r>
          </w:p>
        </w:tc>
        <w:tc>
          <w:tcPr>
            <w:tcW w:type="pct" w:w="16%"/>
          </w:tcPr>
          <w:p>
            <w:r>
              <w:rPr>
                <w:rFonts w:ascii="Calibri" w:cs="Calibri" w:eastAsia="Calibri" w:hAnsi="Calibri"/>
                <w:b w:val="false"/>
                <w:bCs w:val="false"/>
                <w:i w:val="false"/>
                <w:iCs w:val="false"/>
                <w:strike w:val="false"/>
                <w:color w:val="000000"/>
                <w:sz w:val="20"/>
                <w:szCs w:val="20"/>
              </w:rPr>
              <w:t xml:space="preserve">SS</w:t>
            </w:r>
          </w:p>
        </w:tc>
        <w:tc>
          <w:tcPr>
            <w:tcW w:type="pct" w:w="49%"/>
          </w:tcPr>
          <w:p>
            <w:r>
              <w:rPr>
                <w:rFonts w:ascii="Calibri" w:cs="Calibri" w:eastAsia="Calibri" w:hAnsi="Calibri"/>
                <w:b w:val="false"/>
                <w:bCs w:val="false"/>
                <w:i w:val="false"/>
                <w:iCs w:val="false"/>
                <w:strike w:val="false"/>
                <w:color w:val="000000"/>
                <w:sz w:val="20"/>
                <w:szCs w:val="20"/>
              </w:rPr>
              <w:t xml:space="preserve">Enforce non-bypassable safety, privacy, and compliance at every layer</w:t>
            </w:r>
          </w:p>
        </w:tc>
        <w:tc>
          <w:tcPr>
            <w:tcW w:type="pct" w:w="18%"/>
          </w:tcPr>
          <w:p>
            <w:r>
              <w:rPr>
                <w:rFonts w:ascii="Calibri" w:cs="Calibri" w:eastAsia="Calibri" w:hAnsi="Calibri"/>
                <w:b w:val="false"/>
                <w:bCs w:val="false"/>
                <w:i w:val="false"/>
                <w:iCs w:val="false"/>
                <w:strike w:val="false"/>
                <w:color w:val="000000"/>
                <w:sz w:val="20"/>
                <w:szCs w:val="20"/>
              </w:rPr>
              <w:t xml:space="preserve">Chapter 8</w:t>
            </w:r>
          </w:p>
        </w:tc>
      </w:tr>
      <w:tr>
        <w:trPr>
          <w:tblHeader w:val="false"/>
        </w:trPr>
        <w:tc>
          <w:tcPr>
            <w:tcW w:type="pct" w:w="17%"/>
          </w:tcPr>
          <w:p>
            <w:r>
              <w:rPr>
                <w:rFonts w:ascii="Calibri" w:cs="Calibri" w:eastAsia="Calibri" w:hAnsi="Calibri"/>
                <w:b w:val="false"/>
                <w:bCs w:val="false"/>
                <w:i w:val="false"/>
                <w:iCs w:val="false"/>
                <w:strike w:val="false"/>
                <w:color w:val="000000"/>
                <w:sz w:val="20"/>
                <w:szCs w:val="20"/>
              </w:rPr>
              <w:t xml:space="preserve">Regeneration Layer</w:t>
            </w:r>
          </w:p>
        </w:tc>
        <w:tc>
          <w:tcPr>
            <w:tcW w:type="pct" w:w="16%"/>
          </w:tcPr>
          <w:p>
            <w:r>
              <w:rPr>
                <w:rFonts w:ascii="Calibri" w:cs="Calibri" w:eastAsia="Calibri" w:hAnsi="Calibri"/>
                <w:b w:val="false"/>
                <w:bCs w:val="false"/>
                <w:i w:val="false"/>
                <w:iCs w:val="false"/>
                <w:strike w:val="false"/>
                <w:color w:val="000000"/>
                <w:sz w:val="20"/>
                <w:szCs w:val="20"/>
              </w:rPr>
              <w:t xml:space="preserve">MRE</w:t>
            </w:r>
          </w:p>
        </w:tc>
        <w:tc>
          <w:tcPr>
            <w:tcW w:type="pct" w:w="49%"/>
          </w:tcPr>
          <w:p>
            <w:r>
              <w:rPr>
                <w:rFonts w:ascii="Calibri" w:cs="Calibri" w:eastAsia="Calibri" w:hAnsi="Calibri"/>
                <w:b w:val="false"/>
                <w:bCs w:val="false"/>
                <w:i w:val="false"/>
                <w:iCs w:val="false"/>
                <w:strike w:val="false"/>
                <w:color w:val="000000"/>
                <w:sz w:val="20"/>
                <w:szCs w:val="20"/>
              </w:rPr>
              <w:t xml:space="preserve">Reconstruct grounded natural language output from Fact Units and Narrative Graphs</w:t>
            </w:r>
          </w:p>
        </w:tc>
        <w:tc>
          <w:tcPr>
            <w:tcW w:type="pct" w:w="18%"/>
          </w:tcPr>
          <w:p>
            <w:r>
              <w:rPr>
                <w:rFonts w:ascii="Calibri" w:cs="Calibri" w:eastAsia="Calibri" w:hAnsi="Calibri"/>
                <w:b w:val="false"/>
                <w:bCs w:val="false"/>
                <w:i w:val="false"/>
                <w:iCs w:val="false"/>
                <w:strike w:val="false"/>
                <w:color w:val="000000"/>
                <w:sz w:val="20"/>
                <w:szCs w:val="20"/>
              </w:rPr>
              <w:t xml:space="preserve">Chapter 16</w:t>
            </w:r>
          </w:p>
        </w:tc>
      </w:tr>
    </w:tbl>
    <w:p>
      <w:pPr>
        <w:pStyle w:val="Heading3"/>
        <w:spacing w:after="120" w:before="200" w:line="288" w:lineRule="auto"/>
      </w:pPr>
      <w:r>
        <w:rPr>
          <w:rFonts w:ascii="Calibri" w:cs="Calibri" w:eastAsia="Calibri" w:hAnsi="Calibri"/>
          <w:color w:val="000000"/>
          <w:sz w:val="28"/>
          <w:szCs w:val="28"/>
        </w:rPr>
        <w:t xml:space="preserve">1.4 The Foundational Systems at a Glance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systems, each specified in full elsewhere in this Bible, together form QueryBook's foundational substrate and are named here so no reader's first encounter with them is buried in a later chapter: the Fact Unit (Chapter 3), the atomic knowledge record every other capability in this Bible operates on; the Ontology Mesh (Chapter 6), the web of grounded relationships connecting Fact Units to one another; and the World-View Model (WVM, §42.2.1), QueryBook's native semantic spine spanning ontology, causality, and time across the whole platform, requiring no external or independently-operable technology to exist. Later chapters build extensively on all three — including, among others, the Video Colorization and Upscaling Module (Chapter 44), which consumes WVM directly as an applied world-model system without modifying it.</w:t>
      </w:r>
    </w:p>
    <w:p>
      <w:pPr>
        <w:spacing w:after="200" w:before="0"/>
      </w:pPr>
    </w:p>
    <w:p>
      <w:pPr>
        <w:pStyle w:val="Heading1"/>
        <w:spacing w:after="120" w:before="240" w:line="288" w:lineRule="auto"/>
      </w:pPr>
      <w:r>
        <w:rPr>
          <w:rFonts w:ascii="Calibri" w:cs="Calibri" w:eastAsia="Calibri" w:hAnsi="Calibri"/>
          <w:color w:val="000000"/>
          <w:sz w:val="48"/>
          <w:szCs w:val="48"/>
        </w:rPr>
        <w:t xml:space="preserve">Chapter 2: Canonical Terminology Glossary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all proprietary terms used throughout this Specification with the precision required for patent claim language. These definitions are canonical and authoritative. All engineering, legal, and product documentation must conform to these definitions exactly. Terms are listed in logical dependency order rather than alphabetical order to facilitate comprehension of the architecture.</w:t>
      </w:r>
    </w:p>
    <w:p>
      <w:pPr>
        <w:pStyle w:val="Heading2"/>
        <w:spacing w:after="120" w:before="240" w:line="288" w:lineRule="auto"/>
      </w:pPr>
      <w:r>
        <w:rPr>
          <w:rFonts w:ascii="Calibri" w:cs="Calibri" w:eastAsia="Calibri" w:hAnsi="Calibri"/>
          <w:color w:val="000000"/>
          <w:sz w:val="36"/>
          <w:szCs w:val="36"/>
        </w:rPr>
        <w:t xml:space="preserve">2.1 Core System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Term</w:t>
            </w:r>
          </w:p>
        </w:tc>
        <w:tc>
          <w:tcPr>
            <w:tcW w:type="pct" w:w="8%"/>
            <w:shd w:fill="DCE6F0" w:color="auto" w:val="clear"/>
          </w:tcPr>
          <w:p>
            <w:r>
              <w:rPr>
                <w:rFonts w:ascii="Calibri" w:cs="Calibri" w:eastAsia="Calibri" w:hAnsi="Calibri"/>
                <w:b/>
                <w:bCs/>
                <w:i w:val="false"/>
                <w:iCs w:val="false"/>
                <w:strike w:val="false"/>
                <w:color w:val="0D2A5E"/>
                <w:sz w:val="20"/>
                <w:szCs w:val="20"/>
              </w:rPr>
              <w:t xml:space="preserve">Abbreviation</w:t>
            </w:r>
          </w:p>
        </w:tc>
        <w:tc>
          <w:tcPr>
            <w:tcW w:type="pct" w:w="72%"/>
            <w:gridSpan w:val="2"/>
            <w:shd w:fill="DCE6F0" w:color="auto" w:val="clear"/>
          </w:tcPr>
          <w:p>
            <w:r>
              <w:rPr>
                <w:rFonts w:ascii="Calibri" w:cs="Calibri" w:eastAsia="Calibri" w:hAnsi="Calibri"/>
                <w:b/>
                <w:bCs/>
                <w:i w:val="false"/>
                <w:iCs w:val="false"/>
                <w:strike w:val="false"/>
                <w:color w:val="0D2A5E"/>
                <w:sz w:val="20"/>
                <w:szCs w:val="20"/>
              </w:rPr>
              <w:t xml:space="preserve">Canonical Definition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w:t>
            </w:r>
          </w:p>
        </w:tc>
        <w:tc>
          <w:tcPr>
            <w:tcW w:type="pct" w:w="8%"/>
          </w:tcPr>
          <w:p>
            <w:r>
              <w:rPr>
                <w:rFonts w:ascii="Calibri" w:cs="Calibri" w:eastAsia="Calibri" w:hAnsi="Calibri"/>
                <w:b w:val="false"/>
                <w:bCs w:val="false"/>
                <w:i w:val="false"/>
                <w:iCs w:val="false"/>
                <w:strike w:val="false"/>
                <w:color w:val="000000"/>
                <w:sz w:val="20"/>
                <w:szCs w:val="20"/>
              </w:rPr>
              <w:t xml:space="preserve">QB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integrated neuromorphic knowledge operating system comprising all layers, subsystems, protocols, data formats, and algorithms specified in this Bible. QueryBook is the system name and the overarching brand identifier for the technology described herein. QueryBook is not reducible to any single subsystem and is defined by the totality of its architecture as specified in this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w:t>
            </w:r>
          </w:p>
        </w:tc>
        <w:tc>
          <w:tcPr>
            <w:tcW w:type="pct" w:w="8%"/>
          </w:tcPr>
          <w:p>
            <w:r>
              <w:rPr>
                <w:rFonts w:ascii="Calibri" w:cs="Calibri" w:eastAsia="Calibri" w:hAnsi="Calibri"/>
                <w:b w:val="false"/>
                <w:bCs w:val="false"/>
                <w:i w:val="false"/>
                <w:iCs w:val="false"/>
                <w:strike w:val="false"/>
                <w:color w:val="000000"/>
                <w:sz w:val="20"/>
                <w:szCs w:val="20"/>
              </w:rPr>
              <w:t xml:space="preserve">FU</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atomic, indivisible unit of encoded knowledge representation in QueryBook. A Fact Unit encodes a single, typed, provenance-tracked, semantically anchored assertion about the world. It is the fundamental currency of all QueryBook operations: ingestion produces Fact Units, reasoning operates over Fact Units, storage persists Fact Units, and regeneration is grounded in Fact Units. A Fact Unit cannot be decomposed into smaller units that retain independent semantic meaning within the QueryBook system.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Identifier</w:t>
            </w:r>
          </w:p>
        </w:tc>
        <w:tc>
          <w:tcPr>
            <w:tcW w:type="pct" w:w="8%"/>
          </w:tcPr>
          <w:p>
            <w:r>
              <w:rPr>
                <w:rFonts w:ascii="Calibri" w:cs="Calibri" w:eastAsia="Calibri" w:hAnsi="Calibri"/>
                <w:b w:val="false"/>
                <w:bCs w:val="false"/>
                <w:i w:val="false"/>
                <w:iCs w:val="false"/>
                <w:strike w:val="false"/>
                <w:color w:val="000000"/>
                <w:sz w:val="20"/>
                <w:szCs w:val="20"/>
              </w:rPr>
              <w:t xml:space="preserve">FUID</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globally unique, deterministic, 128-bit identifier assigned to every Fact Unit at the moment of its creation. The FUID is derived via a deterministic algorithm from the combination of the Fact Unit's normalized semantic content, its source identifier, and its ingestion timestamp, encoded as a UUID version 7 with embedded shard key. The FUID serves as the primary key for Fact Unit storage, retrieval, and reference throughout the system. (See §3.1.1, added in the Version 1.0 merge review, for an implementation note reconciling this deterministic derivation with standard RFC 9562 UUIDv7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Field</w:t>
            </w:r>
          </w:p>
        </w:tc>
        <w:tc>
          <w:tcPr>
            <w:tcW w:type="pct" w:w="8%"/>
          </w:tcPr>
          <w:p>
            <w:r>
              <w:rPr>
                <w:rFonts w:ascii="Calibri" w:cs="Calibri" w:eastAsia="Calibri" w:hAnsi="Calibri"/>
                <w:b w:val="false"/>
                <w:bCs w:val="false"/>
                <w:i w:val="false"/>
                <w:iCs w:val="false"/>
                <w:strike w:val="false"/>
                <w:color w:val="000000"/>
                <w:sz w:val="20"/>
                <w:szCs w:val="20"/>
              </w:rPr>
              <w:t xml:space="preserve">FF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typed slot within the schema of a Fact Unit. Each Fact Field has a defined data type, cardinality (required, optional, or forbidden given the FactType), validation constraints, and semantic role within the Fact Unit. The complete set of canonical Fact Fields is specified in Chapter 3 and Appendix A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Bundle</w:t>
            </w:r>
          </w:p>
        </w:tc>
        <w:tc>
          <w:tcPr>
            <w:tcW w:type="pct" w:w="8%"/>
          </w:tcPr>
          <w:p>
            <w:r>
              <w:rPr>
                <w:rFonts w:ascii="Calibri" w:cs="Calibri" w:eastAsia="Calibri" w:hAnsi="Calibri"/>
                <w:b w:val="false"/>
                <w:bCs w:val="false"/>
                <w:i w:val="false"/>
                <w:iCs w:val="false"/>
                <w:strike w:val="false"/>
                <w:color w:val="000000"/>
                <w:sz w:val="20"/>
                <w:szCs w:val="20"/>
              </w:rPr>
              <w:t xml:space="preserve">FB</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named, versioned, semantically coherent collection of related Fact Units that together constitute a logical knowledge artifact. A Fact Bundle may represent, without limitation: a document, a dataset, a knowledge domain, a project, or a structured knowledge export. Fact Bundles are first-class system objects with their own identifiers, versions, access policies, and lineage chains.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Stream</w:t>
            </w:r>
          </w:p>
        </w:tc>
        <w:tc>
          <w:tcPr>
            <w:tcW w:type="pct" w:w="8%"/>
          </w:tcPr>
          <w:p>
            <w:r>
              <w:rPr>
                <w:rFonts w:ascii="Calibri" w:cs="Calibri" w:eastAsia="Calibri" w:hAnsi="Calibri"/>
                <w:b w:val="false"/>
                <w:bCs w:val="false"/>
                <w:i w:val="false"/>
                <w:iCs w:val="false"/>
                <w:strike w:val="false"/>
                <w:color w:val="000000"/>
                <w:sz w:val="20"/>
                <w:szCs w:val="20"/>
              </w:rPr>
              <w:t xml:space="preserve">FS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temporally ordered, continuous sequence of Fact Units originating from a single ingestion source or a logically unified set of sources. Fact Streams support both push and pull delivery models and are the primary mechanism for real-time knowledge ingestion into QueryBook. A Fact Stream is identified by a StreamID and carries checkpointing metadata enabling exactly-once or at-least-once delivery semantics.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Universe</w:t>
            </w:r>
          </w:p>
        </w:tc>
        <w:tc>
          <w:tcPr>
            <w:tcW w:type="pct" w:w="8%"/>
          </w:tcPr>
          <w:p>
            <w:r>
              <w:rPr>
                <w:rFonts w:ascii="Calibri" w:cs="Calibri" w:eastAsia="Calibri" w:hAnsi="Calibri"/>
                <w:b w:val="false"/>
                <w:bCs w:val="false"/>
                <w:i w:val="false"/>
                <w:iCs w:val="false"/>
                <w:strike w:val="false"/>
                <w:color w:val="000000"/>
                <w:sz w:val="20"/>
                <w:szCs w:val="20"/>
              </w:rPr>
              <w:t xml:space="preserve">FU-verse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 it supersedes the narrower concept of the Fact Graph by including all supporting knowledge structures that together constitute QueryBook’s world-representation. Canonical alias for use in AGI-extension and World Aware System Model contexts (Chapter 53). Not to be confused with the Fact Universe Slice (FUS) mechanism (Chapter 51), which scopes access to a bounded portion of this same Fact Universe for a given execution context — the FU-verse is the whole; a Slice is a signed, access-bounded view into 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Lineage</w:t>
            </w:r>
          </w:p>
        </w:tc>
        <w:tc>
          <w:tcPr>
            <w:tcW w:type="pct" w:w="8%"/>
          </w:tcPr>
          <w:p>
            <w:r>
              <w:rPr>
                <w:rFonts w:ascii="Calibri" w:cs="Calibri" w:eastAsia="Calibri" w:hAnsi="Calibri"/>
                <w:b w:val="false"/>
                <w:bCs w:val="false"/>
                <w:i w:val="false"/>
                <w:iCs w:val="false"/>
                <w:strike w:val="false"/>
                <w:color w:val="000000"/>
                <w:sz w:val="20"/>
                <w:szCs w:val="20"/>
              </w:rPr>
              <w:t xml:space="preserve">FL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complete, traversable chain of provenance, transformation, and derivation history for a given Fact Unit, extending from its ultimate origin in raw source data through all intermediate processing, inference, and derivation steps. Fact Lineage is stored in and traversed via the Provenance Ledger.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Graph</w:t>
            </w:r>
          </w:p>
        </w:tc>
        <w:tc>
          <w:tcPr>
            <w:tcW w:type="pct" w:w="8%"/>
          </w:tcPr>
          <w:p>
            <w:r>
              <w:rPr>
                <w:rFonts w:ascii="Calibri" w:cs="Calibri" w:eastAsia="Calibri" w:hAnsi="Calibri"/>
                <w:b w:val="false"/>
                <w:bCs w:val="false"/>
                <w:i w:val="false"/>
                <w:iCs w:val="false"/>
                <w:strike w:val="false"/>
                <w:color w:val="000000"/>
                <w:sz w:val="20"/>
                <w:szCs w:val="20"/>
              </w:rPr>
              <w:t xml:space="preserve">FG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directed, weighted, typed hypergraph comprising all Active Fact Units and all typed, weighted directed edges (RelationSets) between them. The Fact Graph is the primary persistent knowledge representation in QueryBook. It is the structure over which the Neuromorphic Cognitive Layer reasons, the Predictive Inference Engine projects, and the Multilingual Regeneration Engine operates. The Fact Graph is not a static data structure; it is a living, continuously updated representation that evolves as new Fact Units are ingested, derived, superseded, and archived.</w:t>
            </w:r>
          </w:p>
        </w:tc>
      </w:tr>
      <w:tr>
        <w:trPr>
          <w:tblHeader w:val="false"/>
        </w:trPr>
        <w:tc>
          <w:tcPr>
            <w:tcW w:type="pct" w:w="11%"/>
            <w:shd w:fill="FFFF00" w:color="auto" w:val="clear"/>
          </w:tcPr>
          <w:p>
            <w:r>
              <w:rPr>
                <w:rFonts w:ascii="Calibri" w:cs="Calibri" w:eastAsia="Calibri" w:hAnsi="Calibri"/>
                <w:b/>
                <w:bCs/>
                <w:i w:val="false"/>
                <w:iCs w:val="false"/>
                <w:strike w:val="false"/>
                <w:color w:val="000000"/>
                <w:sz w:val="22"/>
                <w:szCs w:val="22"/>
              </w:rPr>
              <w:t xml:space="preserve">Fact Universe (FU-verse)</w:t>
            </w:r>
          </w:p>
        </w:tc>
        <w:tc>
          <w:tcPr>
            <w:tcW w:type="pct" w:w="8%"/>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2%"/>
            <w:shd w:fill="FFFF00" w:color="auto" w:val="clear"/>
          </w:tcPr>
          <w:p>
            <w:r>
              <w:rPr>
                <w:rFonts w:ascii="Calibri" w:cs="Calibri" w:eastAsia="Calibri" w:hAnsi="Calibri"/>
                <w:b w:val="false"/>
                <w:bCs w:val="false"/>
                <w:i w:val="false"/>
                <w:iCs w:val="false"/>
                <w:strike w:val="false"/>
                <w:color w:val="000000"/>
                <w:sz w:val="20"/>
                <w:szCs w:val="20"/>
              </w:rPr>
              <w:t xml:space="preserve">The complete, unified knowledge space comprising all active Fact Units, the Fact Graph, the Provenance Ledger, the Ontology Mesh, the Conceptual Memory Layer, and all associated indexes, embeddings, and metadata stores. The Fact Universe is the totality of QueryBook's encoded knowledge at any point in time. It supersedes the narrower concept of the Fact Graph by including not only the semantic triple graph but all supporting knowledge structures that together constitute QueryBook's world-representation. Canonical alias for use in AGI-extension and World Aware System Model contexts.</w:t>
            </w:r>
          </w:p>
        </w:tc>
        <w:tc>
          <w:tcPr>
            <w:tcW w:type="pct" w:w="9%"/>
            <w:shd w:fill="FFFF00" w:color="auto" w:val="clear"/>
          </w:tcPr>
          <w:p>
            <w:r>
              <w:rPr>
                <w:rFonts w:ascii="Calibri" w:cs="Calibri" w:eastAsia="Calibri" w:hAnsi="Calibri"/>
                <w:b w:val="false"/>
                <w:bCs w:val="false"/>
                <w:i w:val="false"/>
                <w:iCs w:val="false"/>
                <w:strike w:val="false"/>
                <w:color w:val="000000"/>
                <w:sz w:val="20"/>
                <w:szCs w:val="20"/>
              </w:rPr>
              <w:t xml:space="preserve">Chapter 2 / Chapter 53</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QueryBook Format</w:t>
            </w:r>
          </w:p>
        </w:tc>
        <w:tc>
          <w:tcPr>
            <w:tcW w:type="pct" w:w="8%"/>
          </w:tcPr>
          <w:p>
            <w:r>
              <w:rPr>
                <w:rFonts w:ascii="Calibri" w:cs="Calibri" w:eastAsia="Calibri" w:hAnsi="Calibri"/>
                <w:b w:val="false"/>
                <w:bCs w:val="false"/>
                <w:i w:val="false"/>
                <w:iCs w:val="false"/>
                <w:strike w:val="false"/>
                <w:color w:val="000000"/>
                <w:sz w:val="20"/>
                <w:szCs w:val="20"/>
              </w:rPr>
              <w:t xml:space="preserve">QBF</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proprietary binary serialization format for encoding Fact Units, Fact Bundles, and associated metadata for storage and transmission. QBF is self-describing, streamable, backwards-compatible, and designed for high-throughput processing. The complete byte-level specification of QBF is provided in Chapter 13 and Appendix C of this Bible.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Cognitive Layer</w:t>
            </w:r>
          </w:p>
        </w:tc>
        <w:tc>
          <w:tcPr>
            <w:tcW w:type="pct" w:w="8%"/>
          </w:tcPr>
          <w:p>
            <w:r>
              <w:rPr>
                <w:rFonts w:ascii="Calibri" w:cs="Calibri" w:eastAsia="Calibri" w:hAnsi="Calibri"/>
                <w:b w:val="false"/>
                <w:bCs w:val="false"/>
                <w:i w:val="false"/>
                <w:iCs w:val="false"/>
                <w:strike w:val="false"/>
                <w:color w:val="000000"/>
                <w:sz w:val="20"/>
                <w:szCs w:val="20"/>
              </w:rPr>
              <w:t xml:space="preserve">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See Neuromorphic Cognitive Layer (NCL). These terms are synonymous; NCL is preferred in technical specifications.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Neuromorphic Cognitive Layer</w:t>
            </w:r>
          </w:p>
        </w:tc>
        <w:tc>
          <w:tcPr>
            <w:tcW w:type="pct" w:w="8%"/>
          </w:tcPr>
          <w:p>
            <w:r>
              <w:rPr>
                <w:rFonts w:ascii="Calibri" w:cs="Calibri" w:eastAsia="Calibri" w:hAnsi="Calibri"/>
                <w:b w:val="false"/>
                <w:bCs w:val="false"/>
                <w:i w:val="false"/>
                <w:iCs w:val="false"/>
                <w:strike w:val="false"/>
                <w:color w:val="000000"/>
                <w:sz w:val="20"/>
                <w:szCs w:val="20"/>
              </w:rPr>
              <w:t xml:space="preserve">NCL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brain-inspired, spike-timing-dependent processing engine that constitutes the primary reasoning substrate of QueryBook. The NCL operates over the Fact Graph using mechanisms inspired by mammalian cortical architecture, including sparse distributed representations, attractor dynamics, hierarchical temporal memory, and Hebbian learning rules. The NCL performs associative recall, pattern completion, temporal sequence learning, and predictive inference. It is not a static index or a trained neural network — it is a continuously adapting reasoning system that improves with each query-feedback cycle.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Transport Layer</w:t>
            </w:r>
          </w:p>
        </w:tc>
        <w:tc>
          <w:tcPr>
            <w:tcW w:type="pct" w:w="8%"/>
          </w:tcPr>
          <w:p>
            <w:r>
              <w:rPr>
                <w:rFonts w:ascii="Calibri" w:cs="Calibri" w:eastAsia="Calibri" w:hAnsi="Calibri"/>
                <w:b w:val="false"/>
                <w:bCs w:val="false"/>
                <w:i w:val="false"/>
                <w:iCs w:val="false"/>
                <w:strike w:val="false"/>
                <w:color w:val="000000"/>
                <w:sz w:val="20"/>
                <w:szCs w:val="20"/>
              </w:rPr>
              <w:t xml:space="preserve">STL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six-layer protocol stack governing all transmission of Fact Units, Fact Bundles, and associated control messages between QueryBook subsystems, between QueryBook instances, and between QueryBook and external consumers. The STL provides framing, session management, reliability, security, routing, and compression services specific to the semantics of Fact Unit transmission.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Ontology Mesh</w:t>
            </w:r>
          </w:p>
        </w:tc>
        <w:tc>
          <w:tcPr>
            <w:tcW w:type="pct" w:w="8%"/>
          </w:tcPr>
          <w:p>
            <w:r>
              <w:rPr>
                <w:rFonts w:ascii="Calibri" w:cs="Calibri" w:eastAsia="Calibri" w:hAnsi="Calibri"/>
                <w:b w:val="false"/>
                <w:bCs w:val="false"/>
                <w:i w:val="false"/>
                <w:iCs w:val="false"/>
                <w:strike w:val="false"/>
                <w:color w:val="000000"/>
                <w:sz w:val="20"/>
                <w:szCs w:val="20"/>
              </w:rPr>
              <w:t xml:space="preserve">OM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dynamic, versioned, poly-hierarchical, cross-domain ontology system governing the type system for all Fact Units and all relations in the Fact Graph. The Ontology Mesh defines all valid FactTypes, all valid predicates, and all constraints on Fact Unit field values. It is a federated ontology: different knowledge domains maintain their own sub-ontologies, coordinated by the Cross-Domain Rule Engine and governed by a poly-hierarchical upper ontology.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Provenance Ledger</w:t>
            </w:r>
          </w:p>
        </w:tc>
        <w:tc>
          <w:tcPr>
            <w:tcW w:type="pct" w:w="8%"/>
          </w:tcPr>
          <w:p>
            <w:r>
              <w:rPr>
                <w:rFonts w:ascii="Calibri" w:cs="Calibri" w:eastAsia="Calibri" w:hAnsi="Calibri"/>
                <w:b w:val="false"/>
                <w:bCs w:val="false"/>
                <w:i w:val="false"/>
                <w:iCs w:val="false"/>
                <w:strike w:val="false"/>
                <w:color w:val="000000"/>
                <w:sz w:val="20"/>
                <w:szCs w:val="20"/>
              </w:rPr>
              <w:t xml:space="preserve">PL</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immutable, append-only, content-addressed record of every Fact Unit's complete history of origin, transformation, derivation, and state transitions. The Provenance Ledger is implemented as a Merkle Directed Acyclic Graph (Merkle DAG), ensuring tamper-evident record integrity. No entry in the Provenance Ledger may be deleted, modified, or overwritten; deletions of knowledge are represented by cryptographic tombstone records that do not remove the ledger entry.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Scenario Graph</w:t>
            </w:r>
          </w:p>
        </w:tc>
        <w:tc>
          <w:tcPr>
            <w:tcW w:type="pct" w:w="8%"/>
          </w:tcPr>
          <w:p>
            <w:r>
              <w:rPr>
                <w:rFonts w:ascii="Calibri" w:cs="Calibri" w:eastAsia="Calibri" w:hAnsi="Calibri"/>
                <w:b w:val="false"/>
                <w:bCs w:val="false"/>
                <w:i w:val="false"/>
                <w:iCs w:val="false"/>
                <w:strike w:val="false"/>
                <w:color w:val="000000"/>
                <w:sz w:val="20"/>
                <w:szCs w:val="20"/>
              </w:rPr>
              <w:t xml:space="preserve">SG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branching, probabilistic directed graph over the Fact Graph in which each node represents a Knowledge State Snapshot — a consistent sub-graph of Fact Units describing a coherent hypothetical, projected, or counterfactual world state — and each edge represents a probabilistic transition between states. Scenario Graphs are the primary representational structure for what-if analysis, forecasting, counterfactual reasoning, and adversarial modeling within QueryBook.</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Narrative Graph</w:t>
            </w:r>
          </w:p>
        </w:tc>
        <w:tc>
          <w:tcPr>
            <w:tcW w:type="pct" w:w="8%"/>
          </w:tcPr>
          <w:p>
            <w:r>
              <w:rPr>
                <w:rFonts w:ascii="Calibri" w:cs="Calibri" w:eastAsia="Calibri" w:hAnsi="Calibri"/>
                <w:b w:val="false"/>
                <w:bCs w:val="false"/>
                <w:i w:val="false"/>
                <w:iCs w:val="false"/>
                <w:strike w:val="false"/>
                <w:color w:val="000000"/>
                <w:sz w:val="20"/>
                <w:szCs w:val="20"/>
              </w:rPr>
              <w:t xml:space="preserve">NG</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directed acyclic graph (DAG) over a selected, ordered subset of Fact Units, organized by temporal, causal, and rhetorical relations for the purpose of producing human-readable knowledge regeneration. The Narrative Graph is the semantic bridge between the machine-readable Fact Graph and the natural language output produced by the Multilingual Regeneration Engine.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Pipeline</w:t>
            </w:r>
          </w:p>
        </w:tc>
        <w:tc>
          <w:tcPr>
            <w:tcW w:type="pct" w:w="8%"/>
          </w:tcPr>
          <w:p>
            <w:r>
              <w:rPr>
                <w:rFonts w:ascii="Calibri" w:cs="Calibri" w:eastAsia="Calibri" w:hAnsi="Calibri"/>
                <w:b w:val="false"/>
                <w:bCs w:val="false"/>
                <w:i w:val="false"/>
                <w:iCs w:val="false"/>
                <w:strike w:val="false"/>
                <w:color w:val="000000"/>
                <w:sz w:val="20"/>
                <w:szCs w:val="20"/>
              </w:rPr>
              <w:t xml:space="preserve">IP</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multi-stage, multi-modality system that transforms raw input data from any supported modality into validated, typed, provenance-tracked Fact Units ready for insertion into the Fact Graph. The Ingestion Pipeline operates as a sequential six-stage process with modality-specific parallel branch processors at each stage.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Safety Substrate</w:t>
            </w:r>
          </w:p>
        </w:tc>
        <w:tc>
          <w:tcPr>
            <w:tcW w:type="pct" w:w="8%"/>
          </w:tcPr>
          <w:p>
            <w:r>
              <w:rPr>
                <w:rFonts w:ascii="Calibri" w:cs="Calibri" w:eastAsia="Calibri" w:hAnsi="Calibri"/>
                <w:b w:val="false"/>
                <w:bCs w:val="false"/>
                <w:i w:val="false"/>
                <w:iCs w:val="false"/>
                <w:strike w:val="false"/>
                <w:color w:val="000000"/>
                <w:sz w:val="20"/>
                <w:szCs w:val="20"/>
              </w:rPr>
              <w:t xml:space="preserve">SS</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embedded, non-bypassable, architecturally integrated constraint enforcement system governing all Fact Unit operations at every system layer. The Safety Substrate is not an optional component, a filter, or a wrapper — it is a mandatory gate integrated into the execution path of every Fact Unit operation. It cannot be disabled, suspended, or circumvented by any API call, administrative command, configuration change, or runtime operation.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AGI Extension Module</w:t>
            </w:r>
          </w:p>
        </w:tc>
        <w:tc>
          <w:tcPr>
            <w:tcW w:type="pct" w:w="8%"/>
          </w:tcPr>
          <w:p>
            <w:r>
              <w:rPr>
                <w:rFonts w:ascii="Calibri" w:cs="Calibri" w:eastAsia="Calibri" w:hAnsi="Calibri"/>
                <w:b w:val="false"/>
                <w:bCs w:val="false"/>
                <w:i w:val="false"/>
                <w:iCs w:val="false"/>
                <w:strike w:val="false"/>
                <w:color w:val="000000"/>
                <w:sz w:val="20"/>
                <w:szCs w:val="20"/>
              </w:rPr>
              <w:t xml:space="preserve">AEM</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Any one of six defined higher-order reasoning capability modules that operate over the Fact Graph and NCL to perform cognitive operations not reducible to simple retrieval: abductive reasoning, analogical reasoning, causal discovery, counterfactual reasoning, meta-cognitive monitoring, and goal-directed synthesis. AEMs collectively elevate QueryBook from a knowledge retrieval system to a knowledge synthesis and reasoning platform.</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Multilingual Regeneration Engine</w:t>
            </w:r>
          </w:p>
        </w:tc>
        <w:tc>
          <w:tcPr>
            <w:tcW w:type="pct" w:w="8%"/>
          </w:tcPr>
          <w:p>
            <w:r>
              <w:rPr>
                <w:rFonts w:ascii="Calibri" w:cs="Calibri" w:eastAsia="Calibri" w:hAnsi="Calibri"/>
                <w:b w:val="false"/>
                <w:bCs w:val="false"/>
                <w:i w:val="false"/>
                <w:iCs w:val="false"/>
                <w:strike w:val="false"/>
                <w:color w:val="000000"/>
                <w:sz w:val="20"/>
                <w:szCs w:val="20"/>
              </w:rPr>
              <w:t xml:space="preserve">MRE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subsystem responsible for transforming machine-readable Fact Units and Narrative Graphs into fluent, accurate, audience-appropriate natural language output in any of QueryBook's supported languages. The MRE guarantees that every output sentence is traceable to one or more source Fact Units, architecturally preventing hallucination through mandatory factual grounding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Cross-Domain Rule Engine</w:t>
            </w:r>
          </w:p>
        </w:tc>
        <w:tc>
          <w:tcPr>
            <w:tcW w:type="pct" w:w="8%"/>
          </w:tcPr>
          <w:p>
            <w:r>
              <w:rPr>
                <w:rFonts w:ascii="Calibri" w:cs="Calibri" w:eastAsia="Calibri" w:hAnsi="Calibri"/>
                <w:b w:val="false"/>
                <w:bCs w:val="false"/>
                <w:i w:val="false"/>
                <w:iCs w:val="false"/>
                <w:strike w:val="false"/>
                <w:color w:val="000000"/>
                <w:sz w:val="20"/>
                <w:szCs w:val="20"/>
              </w:rPr>
              <w:t xml:space="preserve">CDRE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system responsible for enforcing consistency and compatibility across the Fact Graph when Fact Units from different domain ontologies interact. The CDRE maintains a governed rule base expressed in a Datalog-with-negation variant extended with probabilistic weights and temporal scoping operators, and enforces these rules via incremental forward chaining on every Fact Graph insertion 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Predictive Inference Engine</w:t>
            </w:r>
          </w:p>
        </w:tc>
        <w:tc>
          <w:tcPr>
            <w:tcW w:type="pct" w:w="8%"/>
          </w:tcPr>
          <w:p>
            <w:r>
              <w:rPr>
                <w:rFonts w:ascii="Calibri" w:cs="Calibri" w:eastAsia="Calibri" w:hAnsi="Calibri"/>
                <w:b w:val="false"/>
                <w:bCs w:val="false"/>
                <w:i w:val="false"/>
                <w:iCs w:val="false"/>
                <w:strike w:val="false"/>
                <w:color w:val="000000"/>
                <w:sz w:val="20"/>
                <w:szCs w:val="20"/>
              </w:rPr>
              <w:t xml:space="preserve">PIE</w:t>
            </w:r>
          </w:p>
        </w:tc>
        <w:tc>
          <w:tcPr>
            <w:tcW w:type="pct" w:w="72%"/>
            <w:gridSpan w:val="2"/>
          </w:tcPr>
          <w:p>
            <w:r>
              <w:rPr>
                <w:rFonts w:ascii="Calibri" w:cs="Calibri" w:eastAsia="Calibri" w:hAnsi="Calibri"/>
                <w:b w:val="false"/>
                <w:bCs w:val="false"/>
                <w:i w:val="false"/>
                <w:iCs w:val="false"/>
                <w:strike w:val="false"/>
                <w:color w:val="000000"/>
                <w:sz w:val="20"/>
                <w:szCs w:val="20"/>
              </w:rPr>
              <w:t xml:space="preserve">The component of QueryBook responsible for generating calibrated, probabilistic forward projections of knowledge state evolution. The PIE operates over the current Fact Graph state, temporal trends observed in Fact Streams, causal models embedded in the Fact Graph, and learned transition probabilities from the NCL Temporal Memory Module. Predictions are represented as first-class Fact Units of FactType PREDICTION.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Temporal Anchor</w:t>
            </w:r>
          </w:p>
        </w:tc>
        <w:tc>
          <w:tcPr>
            <w:tcW w:type="pct" w:w="8%"/>
          </w:tcPr>
          <w:p>
            <w:r>
              <w:rPr>
                <w:rFonts w:ascii="Calibri" w:cs="Calibri" w:eastAsia="Calibri" w:hAnsi="Calibri"/>
                <w:b w:val="false"/>
                <w:bCs w:val="false"/>
                <w:i w:val="false"/>
                <w:iCs w:val="false"/>
                <w:strike w:val="false"/>
                <w:color w:val="000000"/>
                <w:sz w:val="20"/>
                <w:szCs w:val="20"/>
              </w:rPr>
              <w:t xml:space="preserve">TA</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structured Fact Unit field that pins a Fact Unit to a specific point or interval in time, comprising four sub-fields: T_start (start of the applicable interval, in 64-bit Unix nanoseconds), T_end (end of interval, or null for open-ended facts), T_granularity (the temporal precision level: nanosecond, second, minute, hour, day, month, year, decade, century, or era), and T_confidence (float in [0.0, 1.0] representing certainty in the stated temporal bounds).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Semantic Hash</w:t>
            </w:r>
          </w:p>
        </w:tc>
        <w:tc>
          <w:tcPr>
            <w:tcW w:type="pct" w:w="8%"/>
          </w:tcPr>
          <w:p>
            <w:r>
              <w:rPr>
                <w:rFonts w:ascii="Calibri" w:cs="Calibri" w:eastAsia="Calibri" w:hAnsi="Calibri"/>
                <w:b w:val="false"/>
                <w:bCs w:val="false"/>
                <w:i w:val="false"/>
                <w:iCs w:val="false"/>
                <w:strike w:val="false"/>
                <w:color w:val="000000"/>
                <w:sz w:val="20"/>
                <w:szCs w:val="20"/>
              </w:rPr>
              <w:t xml:space="preserve">SH</w:t>
            </w:r>
          </w:p>
        </w:tc>
        <w:tc>
          <w:tcPr>
            <w:tcW w:type="pct" w:w="72%"/>
            <w:gridSpan w:val="2"/>
          </w:tcPr>
          <w:p>
            <w:r>
              <w:rPr>
                <w:rFonts w:ascii="Calibri" w:cs="Calibri" w:eastAsia="Calibri" w:hAnsi="Calibri"/>
                <w:b w:val="false"/>
                <w:bCs w:val="false"/>
                <w:i w:val="false"/>
                <w:iCs w:val="false"/>
                <w:strike w:val="false"/>
                <w:color w:val="000000"/>
                <w:sz w:val="20"/>
                <w:szCs w:val="20"/>
              </w:rPr>
              <w:t xml:space="preserve">A 256-bit content-addressable fingerprint derived from the normalized semantic meaning of a Fact Unit's (Subject, Predicate, Object) triple, using SHA-3/256 applied to a deterministically normalized canonical form. The Semantic Hash is language-independent: the same fact expressed in different natural languages, syntactic forms, or modalities produces the same Semantic Hash. It is used for deduplication, equivalence detection, and cross-lingual fact identity.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 — FACT UNIT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 Executive Summary</w:t>
            </w:r>
            <w:r>
              <w:rPr>
                <w:rFonts w:ascii="Calibri" w:cs="Calibri" w:eastAsia="Calibri" w:hAnsi="Calibri"/>
                <w:b/>
                <w:bCs/>
                <w:i w:val="false"/>
                <w:iCs w:val="false"/>
                <w:strike w:val="false"/>
                <w:color w:val="333333"/>
                <w:sz w:val="24"/>
                <w:szCs w:val="24"/>
              </w:rPr>
              <w:t xml:space="preserve">Part II constitutes the complete formal specification of the Fact Unit — the atomic knowledge representation at the foundation of all QueryBook operations. This Part defines the full Fact Unit schema with every field's type, constraints, and semantics; the Fact Unit lifecycle with all state transitions; the deduplication and equivalence detection mechanisms; the Fact Bundle structure for grouped knowledge; and the Fact Stream structure for real-time knowledge ingestion. This Part is the most fundamental reference for patent Cluster A claims and forms the basis for all subsequent Part specifications.</w:t>
            </w:r>
          </w:p>
          <w:p>
            <w:pPr>
              <w:pStyle w:val="Heading2"/>
              <w:spacing w:after="120" w:before="240" w:line="288" w:lineRule="auto"/>
            </w:pPr>
            <w:r>
              <w:rPr>
                <w:rFonts w:ascii="Calibri" w:cs="Calibri" w:eastAsia="Calibri" w:hAnsi="Calibri"/>
                <w:color w:val="000000"/>
                <w:sz w:val="36"/>
                <w:szCs w:val="36"/>
              </w:rPr>
              <w:t xml:space="preserve">2.2 Naming Disambiguation —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acronym ARE refers to two distinct, real, independently-specified systems in this Bible. Both are correct; neither should be assumed from context alone without checking which chapter is cited.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Associative Recall Engine (§41.4.2, specified in Chapter 7) — pre-activates Fact Units semantically proximate to the current query, using SessionRelevanceWeights, before graph traversal begins.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Adaptive Response Engine (§52.8) — the five-stage pipeline producing the Generation Directive that governs a specific response's composition.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ALWAYS CITE THE FULL NAME OR SECTION NUMBER FOR ARE</w:t>
                  </w:r>
                  <w:r>
                    <w:rPr>
                      <w:rFonts w:ascii="Calibri" w:cs="Calibri" w:eastAsia="Calibri" w:hAnsi="Calibri"/>
                      <w:b/>
                      <w:bCs/>
                      <w:i w:val="false"/>
                      <w:iCs w:val="false"/>
                      <w:strike w:val="false"/>
                      <w:color w:val="333333"/>
                      <w:sz w:val="24"/>
                      <w:szCs w:val="24"/>
                    </w:rPr>
                    <w:t xml:space="preserve">Because both real systems share this acronym, any reference to “ARE” in text intended to stand alone — patent claims, external summaries, cross-chapter citations — should use the full name or the specific section number rather than the bare acronym, to avoid the ambiguity this entry exists to resolve.</w:t>
                  </w:r>
                </w:p>
              </w:tc>
            </w:tr>
          </w:tbl>
          <w:p>
            <w:pPr>
              <w:spacing w:after="200" w:before="0"/>
            </w:pP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 Fact Unit Architecture</w:t>
      </w:r>
    </w:p>
    <w:p>
      <w:pPr>
        <w:pStyle w:val="Heading1"/>
        <w:spacing w:after="120" w:before="240" w:line="288" w:lineRule="auto"/>
      </w:pPr>
      <w:r>
        <w:rPr>
          <w:rFonts w:ascii="Calibri" w:cs="Calibri" w:eastAsia="Calibri" w:hAnsi="Calibri"/>
          <w:color w:val="000000"/>
          <w:sz w:val="48"/>
          <w:szCs w:val="48"/>
        </w:rPr>
        <w:t xml:space="preserve">Chapter 3: Fact Unit Structure — Complete Specification</w:t>
      </w:r>
    </w:p>
    <w:p>
      <w:pPr>
        <w:pStyle w:val="Heading2"/>
        <w:spacing w:after="120" w:before="240" w:line="288" w:lineRule="auto"/>
      </w:pPr>
      <w:r>
        <w:rPr>
          <w:rFonts w:ascii="Calibri" w:cs="Calibri" w:eastAsia="Calibri" w:hAnsi="Calibri"/>
          <w:color w:val="000000"/>
          <w:sz w:val="36"/>
          <w:szCs w:val="36"/>
        </w:rPr>
        <w:t xml:space="preserve">3.1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Unit is the foundational, indivisible atom of all knowledge representation in QueryBook. Its schema is the universal contract to which all QueryBook subsystems conform. The following table specifies every canonical Fact Field with complete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0%"/>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Req/Opt</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Semantic Role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Globally unique; deterministically derived from hash(normalized_content + source_id + ingestion_epoch_ns); embeds 48-bit timestamp and 16-bit shard key in high bytes</w:t>
            </w:r>
          </w:p>
        </w:tc>
        <w:tc>
          <w:tcPr>
            <w:tcW w:type="pct" w:w="30%"/>
          </w:tcPr>
          <w:p>
            <w:r>
              <w:rPr>
                <w:rFonts w:ascii="Calibri" w:cs="Calibri" w:eastAsia="Calibri" w:hAnsi="Calibri"/>
                <w:b w:val="false"/>
                <w:bCs w:val="false"/>
                <w:i w:val="false"/>
                <w:iCs w:val="false"/>
                <w:strike w:val="false"/>
                <w:color w:val="000000"/>
                <w:sz w:val="20"/>
                <w:szCs w:val="20"/>
              </w:rPr>
              <w:t xml:space="preserve">Primary key and global identity of the Fact Unit across all QueryBook instances and storage tiers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Enumerated reference (OntologyMesh.TypeID)</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non-deprecated entry in the Ontology Mesh; governs which additional fields are required, optional, or forbidden</w:t>
            </w:r>
          </w:p>
        </w:tc>
        <w:tc>
          <w:tcPr>
            <w:tcW w:type="pct" w:w="30%"/>
          </w:tcPr>
          <w:p>
            <w:r>
              <w:rPr>
                <w:rFonts w:ascii="Calibri" w:cs="Calibri" w:eastAsia="Calibri" w:hAnsi="Calibri"/>
                <w:b w:val="false"/>
                <w:bCs w:val="false"/>
                <w:i w:val="false"/>
                <w:iCs w:val="false"/>
                <w:strike w:val="false"/>
                <w:color w:val="000000"/>
                <w:sz w:val="20"/>
                <w:szCs w:val="20"/>
              </w:rPr>
              <w:t xml:space="preserve">Semantic type classifier; the single most important field governing all downstream processing, validation, and routing decisions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entity in the Entity Registry (QB-ER); if entity does not exist, a provisional EntityRef is created with status UNVERIFIED</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primary entity this Fact Unit describes; the subject position of the (Subject, Predicate, Object)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predicate in the Predicate Library; predicate must be consistent with the FactType and SubjectRef entity type</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relationship or attribute being asserted; the predicate position of the semantic triple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Entity Registry)</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named entity; mutually exclusive with ObjectValue; supports nested FUID references for compound objects</w:t>
            </w:r>
          </w:p>
        </w:tc>
        <w:tc>
          <w:tcPr>
            <w:tcW w:type="pct" w:w="30%"/>
          </w:tcPr>
          <w:p>
            <w:r>
              <w:rPr>
                <w:rFonts w:ascii="Calibri" w:cs="Calibri" w:eastAsia="Calibri" w:hAnsi="Calibri"/>
                <w:b w:val="false"/>
                <w:bCs w:val="false"/>
                <w:i w:val="false"/>
                <w:iCs w:val="false"/>
                <w:strike w:val="false"/>
                <w:color w:val="000000"/>
                <w:sz w:val="20"/>
                <w:szCs w:val="20"/>
              </w:rPr>
              <w:t xml:space="preserve">Typed pointer to the entity serving as the object of the assertion; the object position when the object is a complex entity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 (string | int64 | float64 | bool | datetime | geohash | bytes)</w:t>
            </w:r>
          </w:p>
        </w:tc>
        <w:tc>
          <w:tcPr>
            <w:tcW w:type="pct" w:w="9%"/>
          </w:tcPr>
          <w:p>
            <w:r>
              <w:rPr>
                <w:rFonts w:ascii="Calibri" w:cs="Calibri" w:eastAsia="Calibri" w:hAnsi="Calibri"/>
                <w:b w:val="false"/>
                <w:bCs w:val="false"/>
                <w:i w:val="false"/>
                <w:iCs w:val="false"/>
                <w:strike w:val="false"/>
                <w:color w:val="000000"/>
                <w:sz w:val="20"/>
                <w:szCs w:val="20"/>
              </w:rPr>
              <w:t xml:space="preserve">Conditional</w:t>
            </w:r>
          </w:p>
        </w:tc>
        <w:tc>
          <w:tcPr>
            <w:tcW w:type="pct" w:w="31%"/>
          </w:tcPr>
          <w:p>
            <w:r>
              <w:rPr>
                <w:rFonts w:ascii="Calibri" w:cs="Calibri" w:eastAsia="Calibri" w:hAnsi="Calibri"/>
                <w:b w:val="false"/>
                <w:bCs w:val="false"/>
                <w:i w:val="false"/>
                <w:iCs w:val="false"/>
                <w:strike w:val="false"/>
                <w:color w:val="000000"/>
                <w:sz w:val="20"/>
                <w:szCs w:val="20"/>
              </w:rPr>
              <w:t xml:space="preserve">Required when the object is a scalar value; mutually exclusive with ObjectRef; type must match the schema of PredicateRef</w:t>
            </w:r>
          </w:p>
        </w:tc>
        <w:tc>
          <w:tcPr>
            <w:tcW w:type="pct" w:w="30%"/>
          </w:tcPr>
          <w:p>
            <w:r>
              <w:rPr>
                <w:rFonts w:ascii="Calibri" w:cs="Calibri" w:eastAsia="Calibri" w:hAnsi="Calibri"/>
                <w:b w:val="false"/>
                <w:bCs w:val="false"/>
                <w:i w:val="false"/>
                <w:iCs w:val="false"/>
                <w:strike w:val="false"/>
                <w:color w:val="000000"/>
                <w:sz w:val="20"/>
                <w:szCs w:val="20"/>
              </w:rPr>
              <w:t xml:space="preserve">Inline scalar value representing the object when it is not a named entity; supports all primitive value types defined in QBF</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int64, T_end: int64|null, T_granularity: enum, T_confidence: 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T_start ≤ T_end; T_confidence ∈ [0.0, 1.0]; T_granularity must be one of: NANOSECOND, SECOND, MINUTE, HOUR, DAY, MONTH, YEAR, DECADE, CENTURY, ERA</w:t>
            </w:r>
          </w:p>
        </w:tc>
        <w:tc>
          <w:tcPr>
            <w:tcW w:type="pct" w:w="30%"/>
          </w:tcPr>
          <w:p>
            <w:r>
              <w:rPr>
                <w:rFonts w:ascii="Calibri" w:cs="Calibri" w:eastAsia="Calibri" w:hAnsi="Calibri"/>
                <w:b w:val="false"/>
                <w:bCs w:val="false"/>
                <w:i w:val="false"/>
                <w:iCs w:val="false"/>
                <w:strike w:val="false"/>
                <w:color w:val="000000"/>
                <w:sz w:val="20"/>
                <w:szCs w:val="20"/>
              </w:rPr>
              <w:t xml:space="preserve">Pins the Fact Unit to its applicable time interval with explicit granularity and epistemic confidence; enables temporal query predicates and decay functions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float64, lon: float64, altitude_m: float32|null, geohash: string, admin_region: string|null}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lat ∈ [-90.0, 90.0]; lon ∈ [-180.0, 180.0]; geohash precision level 1–12; admin_region uses ISO 3166-2 format</w:t>
            </w:r>
          </w:p>
        </w:tc>
        <w:tc>
          <w:tcPr>
            <w:tcW w:type="pct" w:w="30%"/>
          </w:tcPr>
          <w:p>
            <w:r>
              <w:rPr>
                <w:rFonts w:ascii="Calibri" w:cs="Calibri" w:eastAsia="Calibri" w:hAnsi="Calibri"/>
                <w:b w:val="false"/>
                <w:bCs w:val="false"/>
                <w:i w:val="false"/>
                <w:iCs w:val="false"/>
                <w:strike w:val="false"/>
                <w:color w:val="000000"/>
                <w:sz w:val="20"/>
                <w:szCs w:val="20"/>
              </w:rPr>
              <w:t xml:space="preserve">Optional geographic or spatial reference anchoring the Fact Unit to a location on Earth or in a defined coordinate space</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Value ∈ [0.0, 1.0]; computed by Ingestion Pipeline; updated by Cognitive Layer on each relevant query cycle; never set to exactly 0.0 unless the Fact Unit is definitively falsified</w:t>
            </w:r>
          </w:p>
        </w:tc>
        <w:tc>
          <w:tcPr>
            <w:tcW w:type="pct" w:w="30%"/>
          </w:tcPr>
          <w:p>
            <w:r>
              <w:rPr>
                <w:rFonts w:ascii="Calibri" w:cs="Calibri" w:eastAsia="Calibri" w:hAnsi="Calibri"/>
                <w:b w:val="false"/>
                <w:bCs w:val="false"/>
                <w:i w:val="false"/>
                <w:iCs w:val="false"/>
                <w:strike w:val="false"/>
                <w:color w:val="000000"/>
                <w:sz w:val="20"/>
                <w:szCs w:val="20"/>
              </w:rPr>
              <w:t xml:space="preserve">Epistemic certainty score reflecting the system's current belief in the truth of this Fact Unit, integrating source reliability, multi-source triangulation, temporal decay, and Bayesian updates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 hash → Provenance Ledger)</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resolve to a valid ProvenanceRecord in the Provenance Ledger; created at the moment of Fact Unit construction; immutable after creation</w:t>
            </w:r>
          </w:p>
        </w:tc>
        <w:tc>
          <w:tcPr>
            <w:tcW w:type="pct" w:w="30%"/>
          </w:tcPr>
          <w:p>
            <w:r>
              <w:rPr>
                <w:rFonts w:ascii="Calibri" w:cs="Calibri" w:eastAsia="Calibri" w:hAnsi="Calibri"/>
                <w:b w:val="false"/>
                <w:bCs w:val="false"/>
                <w:i w:val="false"/>
                <w:iCs w:val="false"/>
                <w:strike w:val="false"/>
                <w:color w:val="000000"/>
                <w:sz w:val="20"/>
                <w:szCs w:val="20"/>
              </w:rPr>
              <w:t xml:space="preserve">Link to the root Provenance Record in the Provenance Ledger, from which the full Fact Lineage chain can be traversed</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via SHA-3/256 of the deterministically canonicalized (Subject, Predicate, Object) triple after Unicode NFKC normalization; must be recomputed and verified on every Fact Unit modification</w:t>
            </w:r>
          </w:p>
        </w:tc>
        <w:tc>
          <w:tcPr>
            <w:tcW w:type="pct" w:w="30%"/>
          </w:tcPr>
          <w:p>
            <w:r>
              <w:rPr>
                <w:rFonts w:ascii="Calibri" w:cs="Calibri" w:eastAsia="Calibri" w:hAnsi="Calibri"/>
                <w:b w:val="false"/>
                <w:bCs w:val="false"/>
                <w:i w:val="false"/>
                <w:iCs w:val="false"/>
                <w:strike w:val="false"/>
                <w:color w:val="000000"/>
                <w:sz w:val="20"/>
                <w:szCs w:val="20"/>
              </w:rPr>
              <w:t xml:space="preserve">Content-addressable, language-independent fingerprint of the Fact Unit's semantic meaning; used for deduplication, equivalence detection, and cross-lingual identity verification</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Each bit corresponds to one input modality: bit 0 = TEXT, bit 1 = IMAGE, bit 2 = AUDIO, bit 3 = VIDEO, bit 4 = STRUCTURED_DATA, bit 5 = SENSOR, bit 6 = KNOWLEDGE_GRAPH, bit 7 = CODE; at least one bit must be set</w:t>
            </w:r>
          </w:p>
        </w:tc>
        <w:tc>
          <w:tcPr>
            <w:tcW w:type="pct" w:w="30%"/>
          </w:tcPr>
          <w:p>
            <w:r>
              <w:rPr>
                <w:rFonts w:ascii="Calibri" w:cs="Calibri" w:eastAsia="Calibri" w:hAnsi="Calibri"/>
                <w:b w:val="false"/>
                <w:bCs w:val="false"/>
                <w:i w:val="false"/>
                <w:iCs w:val="false"/>
                <w:strike w:val="false"/>
                <w:color w:val="000000"/>
                <w:sz w:val="20"/>
                <w:szCs w:val="20"/>
              </w:rPr>
              <w:t xml:space="preserve">Records which input modalities contributed evidence to this Fact Unit during ingestion; supports modality-filtered queries and provenance transparency</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Default dimensionality 4096; L2-normalized; generated by the Ingestion Pipeline's Semantic Extraction stage; updated by NCL on learning events; stored separately in the Vector Index</w:t>
            </w:r>
          </w:p>
        </w:tc>
        <w:tc>
          <w:tcPr>
            <w:tcW w:type="pct" w:w="30%"/>
          </w:tcPr>
          <w:p>
            <w:r>
              <w:rPr>
                <w:rFonts w:ascii="Calibri" w:cs="Calibri" w:eastAsia="Calibri" w:hAnsi="Calibri"/>
                <w:b w:val="false"/>
                <w:bCs w:val="false"/>
                <w:i w:val="false"/>
                <w:iCs w:val="false"/>
                <w:strike w:val="false"/>
                <w:color w:val="000000"/>
                <w:sz w:val="20"/>
                <w:szCs w:val="20"/>
              </w:rPr>
              <w:t xml:space="preserve">High-dimensional dense vector encoding the semantic position of this Fact Unit in the global semantic embedding space; used for ANN search, NCL SDR generation, and similarity-based retrieval</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 {TargetFUID: UUID, PredicateRef: UUID, Weight: float32, Direction: enum}</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65,536 outgoing edges per Fact Unit; Weight ∈ [0.0, 1.0]; Direction ∈ {OUTGOING, BIDIRECTIONAL}; no self-referential edges; no duplicate (TargetFUID, PredicateRef) pairs</w:t>
            </w:r>
          </w:p>
        </w:tc>
        <w:tc>
          <w:tcPr>
            <w:tcW w:type="pct" w:w="30%"/>
          </w:tcPr>
          <w:p>
            <w:r>
              <w:rPr>
                <w:rFonts w:ascii="Calibri" w:cs="Calibri" w:eastAsia="Calibri" w:hAnsi="Calibri"/>
                <w:b w:val="false"/>
                <w:bCs w:val="false"/>
                <w:i w:val="false"/>
                <w:iCs w:val="false"/>
                <w:strike w:val="false"/>
                <w:color w:val="000000"/>
                <w:sz w:val="20"/>
                <w:szCs w:val="20"/>
              </w:rPr>
              <w:t xml:space="preserve">The set of typed, weighted directed edges from this Fact Unit to related Fact Units in the Fact Graph; forms the edge structure of the hypergraph</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Maximum 1,024 bundle memberships per Fact Unit; each BundleID must resolve to a valid Fact Bundle</w:t>
            </w:r>
          </w:p>
        </w:tc>
        <w:tc>
          <w:tcPr>
            <w:tcW w:type="pct" w:w="30%"/>
          </w:tcPr>
          <w:p>
            <w:r>
              <w:rPr>
                <w:rFonts w:ascii="Calibri" w:cs="Calibri" w:eastAsia="Calibri" w:hAnsi="Calibri"/>
                <w:b w:val="false"/>
                <w:bCs w:val="false"/>
                <w:i w:val="false"/>
                <w:iCs w:val="false"/>
                <w:strike w:val="false"/>
                <w:color w:val="000000"/>
                <w:sz w:val="20"/>
                <w:szCs w:val="20"/>
              </w:rPr>
              <w:t xml:space="preserve">List of Fact Bundle identifiers to which this Fact Unit belongs; supports many-to-many membership</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Entries must be in chronological order; each referenced FUID must be in state SUPERSEDED; maximum chain depth 4,096</w:t>
            </w:r>
          </w:p>
        </w:tc>
        <w:tc>
          <w:tcPr>
            <w:tcW w:type="pct" w:w="30%"/>
          </w:tcPr>
          <w:p>
            <w:r>
              <w:rPr>
                <w:rFonts w:ascii="Calibri" w:cs="Calibri" w:eastAsia="Calibri" w:hAnsi="Calibri"/>
                <w:b w:val="false"/>
                <w:bCs w:val="false"/>
                <w:i w:val="false"/>
                <w:iCs w:val="false"/>
                <w:strike w:val="false"/>
                <w:color w:val="000000"/>
                <w:sz w:val="20"/>
                <w:szCs w:val="20"/>
              </w:rPr>
              <w:t xml:space="preserve">Ordered list of prior FUID versions that this Fact Unit supersedes or refines; enables temporal versioning and knowledge evolution tracking</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Computed by Safety Substrate at ingestion; immutable by API callers; can only be upgraded (higher restriction) by authorized Safety Substrate operations, never downgraded without dual-approval workflow</w:t>
            </w:r>
          </w:p>
        </w:tc>
        <w:tc>
          <w:tcPr>
            <w:tcW w:type="pct" w:w="30%"/>
          </w:tcPr>
          <w:p>
            <w:r>
              <w:rPr>
                <w:rFonts w:ascii="Calibri" w:cs="Calibri" w:eastAsia="Calibri" w:hAnsi="Calibri"/>
                <w:b w:val="false"/>
                <w:bCs w:val="false"/>
                <w:i w:val="false"/>
                <w:iCs w:val="false"/>
                <w:strike w:val="false"/>
                <w:color w:val="000000"/>
                <w:sz w:val="20"/>
                <w:szCs w:val="20"/>
              </w:rPr>
              <w:t xml:space="preserve">Bitmask encoding all applicable safety classifications for this Fact Unit; governs all access control, encryption, audit, and compliance enforcement actions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BCP-47 string, register: enum, formality: enum, domain_tag: string}</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language must be a valid BCP-47 language tag; register ∈ {FORMAL, INFORMAL, TECHNICAL, COLLOQUIAL, LEGAL, MEDICAL, SCIENTIFIC}; formality ∈ {HIGH, MEDIUM, LOW}</w:t>
            </w:r>
          </w:p>
        </w:tc>
        <w:tc>
          <w:tcPr>
            <w:tcW w:type="pct" w:w="30%"/>
          </w:tcPr>
          <w:p>
            <w:r>
              <w:rPr>
                <w:rFonts w:ascii="Calibri" w:cs="Calibri" w:eastAsia="Calibri" w:hAnsi="Calibri"/>
                <w:b w:val="false"/>
                <w:bCs w:val="false"/>
                <w:i w:val="false"/>
                <w:iCs w:val="false"/>
                <w:strike w:val="false"/>
                <w:color w:val="000000"/>
                <w:sz w:val="20"/>
                <w:szCs w:val="20"/>
              </w:rPr>
              <w:t xml:space="preserve">Captures the linguistic context of the Fact Unit's source material; used by the MRE to calibrate vocabulary, style, and register in regenerated output</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 of {string → QBF-typed scalar}</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Key names must be valid UTF-8 strings; keys prefixed with "qb:" are reserved for system use; maximum 512 key-value pairs; maximum key length 256 bytes; maximum value size 64KB</w:t>
            </w:r>
          </w:p>
        </w:tc>
        <w:tc>
          <w:tcPr>
            <w:tcW w:type="pct" w:w="30%"/>
          </w:tcPr>
          <w:p>
            <w:r>
              <w:rPr>
                <w:rFonts w:ascii="Calibri" w:cs="Calibri" w:eastAsia="Calibri" w:hAnsi="Calibri"/>
                <w:b w:val="false"/>
                <w:bCs w:val="false"/>
                <w:i w:val="false"/>
                <w:iCs w:val="false"/>
                <w:strike w:val="false"/>
                <w:color w:val="000000"/>
                <w:sz w:val="20"/>
                <w:szCs w:val="20"/>
              </w:rPr>
              <w:t xml:space="preserve">Extensible key-value set for domain-specific metadata not covered by core Fact Fields; enables vertical domain extensions without schema modifications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uint64|null, eviction_policy: enum} | null</w:t>
            </w:r>
          </w:p>
        </w:tc>
        <w:tc>
          <w:tcPr>
            <w:tcW w:type="pct" w:w="9%"/>
          </w:tcPr>
          <w:p>
            <w:r>
              <w:rPr>
                <w:rFonts w:ascii="Calibri" w:cs="Calibri" w:eastAsia="Calibri" w:hAnsi="Calibri"/>
                <w:b w:val="false"/>
                <w:bCs w:val="false"/>
                <w:i w:val="false"/>
                <w:iCs w:val="false"/>
                <w:strike w:val="false"/>
                <w:color w:val="000000"/>
                <w:sz w:val="20"/>
                <w:szCs w:val="20"/>
              </w:rPr>
              <w:t xml:space="preserve">Optional</w:t>
            </w:r>
          </w:p>
        </w:tc>
        <w:tc>
          <w:tcPr>
            <w:tcW w:type="pct" w:w="31%"/>
          </w:tcPr>
          <w:p>
            <w:r>
              <w:rPr>
                <w:rFonts w:ascii="Calibri" w:cs="Calibri" w:eastAsia="Calibri" w:hAnsi="Calibri"/>
                <w:b w:val="false"/>
                <w:bCs w:val="false"/>
                <w:i w:val="false"/>
                <w:iCs w:val="false"/>
                <w:strike w:val="false"/>
                <w:color w:val="000000"/>
                <w:sz w:val="20"/>
                <w:szCs w:val="20"/>
              </w:rPr>
              <w:t xml:space="preserve">eviction_policy ∈ {ARCHIVE, PURGE, SUPERSEDE_WITH_REFRESH}; if null, Fact Unit has no expiry; minimum TTL 3,600 seconds (1 hour)</w:t>
            </w:r>
          </w:p>
        </w:tc>
        <w:tc>
          <w:tcPr>
            <w:tcW w:type="pct" w:w="30%"/>
          </w:tcPr>
          <w:p>
            <w:r>
              <w:rPr>
                <w:rFonts w:ascii="Calibri" w:cs="Calibri" w:eastAsia="Calibri" w:hAnsi="Calibri"/>
                <w:b w:val="false"/>
                <w:bCs w:val="false"/>
                <w:i w:val="false"/>
                <w:iCs w:val="false"/>
                <w:strike w:val="false"/>
                <w:color w:val="000000"/>
                <w:sz w:val="20"/>
                <w:szCs w:val="20"/>
              </w:rPr>
              <w:t xml:space="preserve">Optional expiry policy governing archival and eviction behavior; used for short-lived facts such as real-time sensor readings or time-bounded predictions</w:t>
            </w:r>
          </w:p>
        </w:tc>
      </w:tr>
      <w:tr>
        <w:trPr>
          <w:tblHeader w:val="false"/>
        </w:trPr>
        <w:tc>
          <w:tcPr>
            <w:tcW w:type="pct" w:w="10%"/>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 {Principal: string, Role: enum, Attribute: string|null, Effect: enum}</w:t>
            </w:r>
          </w:p>
        </w:tc>
        <w:tc>
          <w:tcPr>
            <w:tcW w:type="pct" w:w="9%"/>
          </w:tcPr>
          <w:p>
            <w:r>
              <w:rPr>
                <w:rFonts w:ascii="Calibri" w:cs="Calibri" w:eastAsia="Calibri" w:hAnsi="Calibri"/>
                <w:b w:val="false"/>
                <w:bCs w:val="false"/>
                <w:i w:val="false"/>
                <w:iCs w:val="false"/>
                <w:strike w:val="false"/>
                <w:color w:val="000000"/>
                <w:sz w:val="20"/>
                <w:szCs w:val="20"/>
              </w:rPr>
              <w:t xml:space="preserve">Required</w:t>
            </w:r>
          </w:p>
        </w:tc>
        <w:tc>
          <w:tcPr>
            <w:tcW w:type="pct" w:w="31%"/>
          </w:tcPr>
          <w:p>
            <w:r>
              <w:rPr>
                <w:rFonts w:ascii="Calibri" w:cs="Calibri" w:eastAsia="Calibri" w:hAnsi="Calibri"/>
                <w:b w:val="false"/>
                <w:bCs w:val="false"/>
                <w:i w:val="false"/>
                <w:iCs w:val="false"/>
                <w:strike w:val="false"/>
                <w:color w:val="000000"/>
                <w:sz w:val="20"/>
                <w:szCs w:val="20"/>
              </w:rPr>
              <w:t xml:space="preserve">Must contain at least one OWNER entry; Role ∈ {OWNER, READER, WRITER, AUDITOR, DENIER}; Effect ∈ {ALLOW, DENY}; DENY entries take precedence over ALLOW entries</w:t>
            </w:r>
          </w:p>
        </w:tc>
        <w:tc>
          <w:tcPr>
            <w:tcW w:type="pct" w:w="30%"/>
          </w:tcPr>
          <w:p>
            <w:r>
              <w:rPr>
                <w:rFonts w:ascii="Calibri" w:cs="Calibri" w:eastAsia="Calibri" w:hAnsi="Calibri"/>
                <w:b w:val="false"/>
                <w:bCs w:val="false"/>
                <w:i w:val="false"/>
                <w:iCs w:val="false"/>
                <w:strike w:val="false"/>
                <w:color w:val="000000"/>
                <w:sz w:val="20"/>
                <w:szCs w:val="20"/>
              </w:rPr>
              <w:t xml:space="preserve">Role-based and attribute-based access control entries governing which principals may perform which operations on this Fact Unit; enforced by the Safety Substrate at every retrieval and modification operation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3.1.1 Implementation Note — FUID Generation and Standard UUIDv7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MERGE NOTE — FUID/UUIDv7 CLARIFICATION</w:t>
            </w:r>
            <w:r>
              <w:rPr>
                <w:rFonts w:ascii="Calibri" w:cs="Calibri" w:eastAsia="Calibri" w:hAnsi="Calibri"/>
                <w:b/>
                <w:bCs/>
                <w:i w:val="false"/>
                <w:iCs w:val="false"/>
                <w:strike w:val="false"/>
                <w:color w:val="333333"/>
                <w:sz w:val="24"/>
                <w:szCs w:val="24"/>
              </w:rPr>
              <w:t xml:space="preserve">The FUID is a custom, content-addressable identifier that uses a UUIDv7-compatible byte layout (128 bits, with a 48-bit timestamp segment and standard version/variant bits in the same positions RFC 9562 defines for UUIDv7) but is not a standard random UUIDv7. Standard UUIDv7 generation includes random bits and is not reproducible from its inputs; the FUID's remaining bits after the timestamp and 16-bit shard key are instead filled deterministically from SHA-3/256(normalized_content + source_id) so that re-ingesting identical content from the same source at the same shard produces the same FUID, which is what §3.3's deduplication logic depends on. Implementations should not use a stock RFC 9562 UUIDv7 library call to generate FUIDs — doing so will break deduplication. This note governs; the field table above is retained for the field-level contract (type, size, position) it establishes.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SemanticHash (below) already provides a content-addressable, language-independent fingerprint independent of FUID, systems that need strict RFC 9562 UUIDv7 compliance for interoperability with external UUID tooling may instead assign a standard random UUIDv7 to FUID and rely on SemanticHash alone for deduplication; this is a valid alternate configuration and does not require a Bible amendment, since it changes an implementation choice rather than a Fact Field contract.</w:t>
      </w:r>
    </w:p>
    <w:p>
      <w:pPr>
        <w:pStyle w:val="Heading2"/>
        <w:spacing w:after="120" w:before="240" w:line="288" w:lineRule="auto"/>
      </w:pPr>
      <w:r>
        <w:rPr>
          <w:rFonts w:ascii="Calibri" w:cs="Calibri" w:eastAsia="Calibri" w:hAnsi="Calibri"/>
          <w:color w:val="000000"/>
          <w:sz w:val="36"/>
          <w:szCs w:val="36"/>
        </w:rPr>
        <w:t xml:space="preserve">3.2 Fact Unit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transitions through a defined set of lifecycle states from creation to final disposition. All state transitions are gated by the Safety Substrate and recorded in the Provenance Ledger. The following table defines all lifecycle states and their permissible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State</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Permissible Transitions</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Trigger Conditions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DRAFT</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constructed by the Ingestion Pipeline but has not yet passed all validation checks. Not visible to query operations. May be modified by the Ingestion Pipeline.</w:t>
            </w:r>
          </w:p>
        </w:tc>
        <w:tc>
          <w:tcPr>
            <w:tcW w:type="pct" w:w="21%"/>
          </w:tcPr>
          <w:p>
            <w:r>
              <w:rPr>
                <w:rFonts w:ascii="Calibri" w:cs="Calibri" w:eastAsia="Calibri" w:hAnsi="Calibri"/>
                <w:b w:val="false"/>
                <w:bCs w:val="false"/>
                <w:i w:val="false"/>
                <w:iCs w:val="false"/>
                <w:strike w:val="false"/>
                <w:color w:val="000000"/>
                <w:sz w:val="20"/>
                <w:szCs w:val="20"/>
              </w:rPr>
              <w:t xml:space="preserve">DRAFT → VALIDATED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DRAFT → PURGED (on validation failure)</w:t>
            </w:r>
          </w:p>
        </w:tc>
        <w:tc>
          <w:tcPr>
            <w:tcW w:type="pct" w:w="35%"/>
          </w:tcPr>
          <w:p>
            <w:r>
              <w:rPr>
                <w:rFonts w:ascii="Calibri" w:cs="Calibri" w:eastAsia="Calibri" w:hAnsi="Calibri"/>
                <w:b w:val="false"/>
                <w:bCs w:val="false"/>
                <w:i w:val="false"/>
                <w:iCs w:val="false"/>
                <w:strike w:val="false"/>
                <w:color w:val="000000"/>
                <w:sz w:val="20"/>
                <w:szCs w:val="20"/>
              </w:rPr>
              <w:t xml:space="preserve">Initial state assigned at Fact Unit construction. Transition to VALIDATED requires passing all Ontology Mesh type checks, Semantic Hash uniqueness verification, and Safety Substrate pre-insertion checks.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VALIDATED</w:t>
            </w:r>
          </w:p>
        </w:tc>
        <w:tc>
          <w:tcPr>
            <w:tcW w:type="pct" w:w="35%"/>
          </w:tcPr>
          <w:p>
            <w:r>
              <w:rPr>
                <w:rFonts w:ascii="Calibri" w:cs="Calibri" w:eastAsia="Calibri" w:hAnsi="Calibri"/>
                <w:b w:val="false"/>
                <w:bCs w:val="false"/>
                <w:i w:val="false"/>
                <w:iCs w:val="false"/>
                <w:strike w:val="false"/>
                <w:color w:val="000000"/>
                <w:sz w:val="20"/>
                <w:szCs w:val="20"/>
              </w:rPr>
              <w:t xml:space="preserve">Fact Unit has passed all validation checks and Safety Substrate pre-insertion gates. Pending final graph insertion. Not yet queryable.</w:t>
            </w:r>
          </w:p>
        </w:tc>
        <w:tc>
          <w:tcPr>
            <w:tcW w:type="pct" w:w="21%"/>
          </w:tcPr>
          <w:p>
            <w:r>
              <w:rPr>
                <w:rFonts w:ascii="Calibri" w:cs="Calibri" w:eastAsia="Calibri" w:hAnsi="Calibri"/>
                <w:b w:val="false"/>
                <w:bCs w:val="false"/>
                <w:i w:val="false"/>
                <w:iCs w:val="false"/>
                <w:strike w:val="false"/>
                <w:color w:val="000000"/>
                <w:sz w:val="20"/>
                <w:szCs w:val="20"/>
              </w:rPr>
              <w:t xml:space="preserve">VALIDATED → ACTIVE</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VALIDATED → DRAFT (on insertion failure, retry)</w:t>
            </w:r>
          </w:p>
        </w:tc>
        <w:tc>
          <w:tcPr>
            <w:tcW w:type="pct" w:w="35%"/>
          </w:tcPr>
          <w:p>
            <w:r>
              <w:rPr>
                <w:rFonts w:ascii="Calibri" w:cs="Calibri" w:eastAsia="Calibri" w:hAnsi="Calibri"/>
                <w:b w:val="false"/>
                <w:bCs w:val="false"/>
                <w:i w:val="false"/>
                <w:iCs w:val="false"/>
                <w:strike w:val="false"/>
                <w:color w:val="000000"/>
                <w:sz w:val="20"/>
                <w:szCs w:val="20"/>
              </w:rPr>
              <w:t xml:space="preserve">Transition to ACTIVE requires successful insertion into the Fact Graph, Vector Index update, and Provenance Ledger record confirmation.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ACTIVE</w:t>
            </w:r>
          </w:p>
        </w:tc>
        <w:tc>
          <w:tcPr>
            <w:tcW w:type="pct" w:w="35%"/>
          </w:tcPr>
          <w:p>
            <w:r>
              <w:rPr>
                <w:rFonts w:ascii="Calibri" w:cs="Calibri" w:eastAsia="Calibri" w:hAnsi="Calibri"/>
                <w:b w:val="false"/>
                <w:bCs w:val="false"/>
                <w:i w:val="false"/>
                <w:iCs w:val="false"/>
                <w:strike w:val="false"/>
                <w:color w:val="000000"/>
                <w:sz w:val="20"/>
                <w:szCs w:val="20"/>
              </w:rPr>
              <w:t xml:space="preserve">Fact Unit is fully inserted in the Fact Graph, indexed, and queryable. This is the primary operational state.</w:t>
            </w:r>
          </w:p>
        </w:tc>
        <w:tc>
          <w:tcPr>
            <w:tcW w:type="pct" w:w="21%"/>
          </w:tcPr>
          <w:p>
            <w:r>
              <w:rPr>
                <w:rFonts w:ascii="Calibri" w:cs="Calibri" w:eastAsia="Calibri" w:hAnsi="Calibri"/>
                <w:b w:val="false"/>
                <w:bCs w:val="false"/>
                <w:i w:val="false"/>
                <w:iCs w:val="false"/>
                <w:strike w:val="false"/>
                <w:color w:val="000000"/>
                <w:sz w:val="20"/>
                <w:szCs w:val="20"/>
              </w:rPr>
              <w:t xml:space="preserve">ACTIVE → SUPERSEDED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ARCHIVED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ACTIVE → PURGED (Safety Substrate emergency action only)</w:t>
            </w:r>
          </w:p>
        </w:tc>
        <w:tc>
          <w:tcPr>
            <w:tcW w:type="pct" w:w="35%"/>
          </w:tcPr>
          <w:p>
            <w:r>
              <w:rPr>
                <w:rFonts w:ascii="Calibri" w:cs="Calibri" w:eastAsia="Calibri" w:hAnsi="Calibri"/>
                <w:b w:val="false"/>
                <w:bCs w:val="false"/>
                <w:i w:val="false"/>
                <w:iCs w:val="false"/>
                <w:strike w:val="false"/>
                <w:color w:val="000000"/>
                <w:sz w:val="20"/>
                <w:szCs w:val="20"/>
              </w:rPr>
              <w:t xml:space="preserve">Transition to SUPERSEDED when a newer Fact Unit with the same Semantic Hash is inserted. Transition to ARCHIVED when TTL expires or manual archival is triggered. PURGED only via dual-approval Safety Substrate emergency workflow.</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SUPERSEDED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replaced by a more recent version. Retained in storage for lineage traversal. Not returned in standard queries unless version history is explicitly requested.</w:t>
            </w:r>
          </w:p>
        </w:tc>
        <w:tc>
          <w:tcPr>
            <w:tcW w:type="pct" w:w="21%"/>
          </w:tcPr>
          <w:p>
            <w:r>
              <w:rPr>
                <w:rFonts w:ascii="Calibri" w:cs="Calibri" w:eastAsia="Calibri" w:hAnsi="Calibri"/>
                <w:b w:val="false"/>
                <w:bCs w:val="false"/>
                <w:i w:val="false"/>
                <w:iCs w:val="false"/>
                <w:strike w:val="false"/>
                <w:color w:val="000000"/>
                <w:sz w:val="20"/>
                <w:szCs w:val="20"/>
              </w:rPr>
              <w:t xml:space="preserve">SUPERSEDED → ARCHIVED</w:t>
            </w:r>
          </w:p>
        </w:tc>
        <w:tc>
          <w:tcPr>
            <w:tcW w:type="pct" w:w="35%"/>
          </w:tcPr>
          <w:p>
            <w:r>
              <w:rPr>
                <w:rFonts w:ascii="Calibri" w:cs="Calibri" w:eastAsia="Calibri" w:hAnsi="Calibri"/>
                <w:b w:val="false"/>
                <w:bCs w:val="false"/>
                <w:i w:val="false"/>
                <w:iCs w:val="false"/>
                <w:strike w:val="false"/>
                <w:color w:val="000000"/>
                <w:sz w:val="20"/>
                <w:szCs w:val="20"/>
              </w:rPr>
              <w:t xml:space="preserve">Transition to ARCHIVED per retention policy or explicit administrative action.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ARCHIVED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moved to cold storage. Lineage traversal still resolves archived FUIDs. Not returned in standard queries; accessible via explicit archival query mode.</w:t>
            </w:r>
          </w:p>
        </w:tc>
        <w:tc>
          <w:tcPr>
            <w:tcW w:type="pct" w:w="21%"/>
          </w:tcPr>
          <w:p>
            <w:r>
              <w:rPr>
                <w:rFonts w:ascii="Calibri" w:cs="Calibri" w:eastAsia="Calibri" w:hAnsi="Calibri"/>
                <w:b w:val="false"/>
                <w:bCs w:val="false"/>
                <w:i w:val="false"/>
                <w:iCs w:val="false"/>
                <w:strike w:val="false"/>
                <w:color w:val="000000"/>
                <w:sz w:val="20"/>
                <w:szCs w:val="20"/>
              </w:rPr>
              <w:t xml:space="preserve">ARCHIVED → PURGED (compliance-driven, with dual-approval)</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ARCHIVED → ACTIVE (reactivation, requires dual-approval)</w:t>
            </w:r>
          </w:p>
        </w:tc>
        <w:tc>
          <w:tcPr>
            <w:tcW w:type="pct" w:w="35%"/>
          </w:tcPr>
          <w:p>
            <w:r>
              <w:rPr>
                <w:rFonts w:ascii="Calibri" w:cs="Calibri" w:eastAsia="Calibri" w:hAnsi="Calibri"/>
                <w:b w:val="false"/>
                <w:bCs w:val="false"/>
                <w:i w:val="false"/>
                <w:iCs w:val="false"/>
                <w:strike w:val="false"/>
                <w:color w:val="000000"/>
                <w:sz w:val="20"/>
                <w:szCs w:val="20"/>
              </w:rPr>
              <w:t xml:space="preserve">PURGED only via GDPR right-to-erasure or regulatory mandate workflow. ACTIVE reactivation permitted for archival errors only.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PURGED</w:t>
            </w:r>
          </w:p>
        </w:tc>
        <w:tc>
          <w:tcPr>
            <w:tcW w:type="pct" w:w="35%"/>
          </w:tcPr>
          <w:p>
            <w:r>
              <w:rPr>
                <w:rFonts w:ascii="Calibri" w:cs="Calibri" w:eastAsia="Calibri" w:hAnsi="Calibri"/>
                <w:b w:val="false"/>
                <w:bCs w:val="false"/>
                <w:i w:val="false"/>
                <w:iCs w:val="false"/>
                <w:strike w:val="false"/>
                <w:color w:val="000000"/>
                <w:sz w:val="20"/>
                <w:szCs w:val="20"/>
              </w:rPr>
              <w:t xml:space="preserve">Fact Unit has been cryptographically tombstoned. The FUID and Semantic Hash remain in the Provenance Ledger as tombstone records, but all substantive content is cryptographically erased. This state is terminal and irreversible.</w:t>
            </w:r>
          </w:p>
        </w:tc>
        <w:tc>
          <w:tcPr>
            <w:tcW w:type="pct" w:w="21%"/>
          </w:tcPr>
          <w:p>
            <w:r>
              <w:rPr>
                <w:rFonts w:ascii="Calibri" w:cs="Calibri" w:eastAsia="Calibri" w:hAnsi="Calibri"/>
                <w:b w:val="false"/>
                <w:bCs w:val="false"/>
                <w:i w:val="false"/>
                <w:iCs w:val="false"/>
                <w:strike w:val="false"/>
                <w:color w:val="000000"/>
                <w:sz w:val="20"/>
                <w:szCs w:val="20"/>
              </w:rPr>
              <w:t xml:space="preserve">None — terminal state</w:t>
            </w:r>
          </w:p>
        </w:tc>
        <w:tc>
          <w:tcPr>
            <w:tcW w:type="pct" w:w="35%"/>
          </w:tcPr>
          <w:p>
            <w:r>
              <w:rPr>
                <w:rFonts w:ascii="Calibri" w:cs="Calibri" w:eastAsia="Calibri" w:hAnsi="Calibri"/>
                <w:b w:val="false"/>
                <w:bCs w:val="false"/>
                <w:i w:val="false"/>
                <w:iCs w:val="false"/>
                <w:strike w:val="false"/>
                <w:color w:val="000000"/>
                <w:sz w:val="20"/>
                <w:szCs w:val="20"/>
              </w:rPr>
              <w:t xml:space="preserve">Triggered only by: (a) validation failure in DRAFT state, (b) GDPR right-to-erasure dual-approval workflow, (c) Safety Substrate emergency action. Every PURGE event is logged to the Safety Audit Log.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3.3 Fact Unit Equivalence and Deduplication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employs a multi-stage equivalence detection and deduplication protocol to maintain Fact Graph integrity and prevent redundant or contradictory knowledge accumulation.</w:t>
      </w:r>
    </w:p>
    <w:p>
      <w:pPr>
        <w:pStyle w:val="Heading3"/>
        <w:spacing w:after="120" w:before="240" w:line="288" w:lineRule="auto"/>
      </w:pPr>
      <w:r>
        <w:rPr>
          <w:rFonts w:ascii="Calibri" w:cs="Calibri" w:eastAsia="Calibri" w:hAnsi="Calibri"/>
          <w:color w:val="000000"/>
          <w:sz w:val="30"/>
          <w:szCs w:val="30"/>
        </w:rPr>
        <w:t xml:space="preserve">3.3.1 Semantic Hash Comparison</w:t>
      </w:r>
    </w:p>
    <w:p>
      <w:pPr>
        <w:spacing w:after="120" w:line="360" w:lineRule="auto"/>
      </w:pPr>
      <w:r>
        <w:rPr>
          <w:rFonts w:ascii="Calibri" w:cs="Calibri" w:eastAsia="Calibri" w:hAnsi="Calibri"/>
          <w:b w:val="false"/>
          <w:bCs w:val="false"/>
          <w:i w:val="false"/>
          <w:iCs w:val="false"/>
          <w:strike w:val="false"/>
          <w:color w:val="000000"/>
          <w:sz w:val="22"/>
          <w:szCs w:val="22"/>
        </w:rPr>
        <w:t xml:space="preserve">Upon construction of a new Fact Unit candidate, the Ingestion Pipeline computes its Semantic Hash and queries the Semantic Hash Index for any existing Active Fact Units with an identical hash. An exact Semantic Hash match indicates strong equivalence — the same semantic fact has already been ingested. In this case, the new Fact Unit is not inserted; instead, the existing Fact Unit's ConfidenceScore and ModalitySignature are updated to reflect the new supporting source, and a new Provenance Record is appended to the Provenance Ledger recording the corroborating ingestion event.</w:t>
      </w:r>
    </w:p>
    <w:p>
      <w:pPr>
        <w:pStyle w:val="Heading3"/>
        <w:spacing w:after="120" w:before="240" w:line="288" w:lineRule="auto"/>
      </w:pPr>
      <w:r>
        <w:rPr>
          <w:rFonts w:ascii="Calibri" w:cs="Calibri" w:eastAsia="Calibri" w:hAnsi="Calibri"/>
          <w:color w:val="000000"/>
          <w:sz w:val="30"/>
          <w:szCs w:val="30"/>
        </w:rPr>
        <w:t xml:space="preserve">3.3.2 Canonical Normalization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Semantic Hash computation, all Fact Unit candidates undergo a canonical normalization pipeline consisting of the following steps executed in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Unicode NFKC normalization of all string fields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Case folding for language-agnostic comparison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Entity coreference resolution: all coreferential entity references are mapped to their canonical EntityRef in the Entity Registry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 canonicalization: equivalent predicates (e.g., synonymous predicates defined in the Predicate Library) are mapped to the canonical PredicateRef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normalization: all temporal expressions are converted to the canonical TemporalAnchor representation in UTC Unix nanoseconds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Negation normalization: facts expressed in negated form are converted to a canonical affirmative form with a negation flag in the PredicateRef metadata</w:t>
      </w:r>
    </w:p>
    <w:p>
      <w:pPr>
        <w:pStyle w:val="Heading3"/>
        <w:spacing w:after="120" w:before="240" w:line="288" w:lineRule="auto"/>
      </w:pPr>
      <w:r>
        <w:rPr>
          <w:rFonts w:ascii="Calibri" w:cs="Calibri" w:eastAsia="Calibri" w:hAnsi="Calibri"/>
          <w:color w:val="000000"/>
          <w:sz w:val="30"/>
          <w:szCs w:val="30"/>
        </w:rPr>
        <w:t xml:space="preserve">3.3.3 Conflict Resolution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new Fact Unit candidate does not have an exact Semantic Hash match but the CDRE detects that it contradicts one or more Active Fact Units (i.e., it asserts the negation, a significantly different value, or an incompatible state for the same (Subject, Predicate) pair), the Conflict Resolution Protocol is invoked: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CDRE identifies all Active Fact Units with the same (SubjectRef, PredicateRef) pair or ontologically subsumable predicates.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 Comparison:</w:t>
      </w:r>
      <w:r>
        <w:rPr>
          <w:rFonts w:ascii="Calibri" w:cs="Calibri" w:eastAsia="Calibri" w:hAnsi="Calibri"/>
          <w:b w:val="false"/>
          <w:bCs w:val="false"/>
          <w:i w:val="false"/>
          <w:iCs w:val="false"/>
          <w:strike w:val="false"/>
          <w:color w:val="000000"/>
          <w:sz w:val="22"/>
          <w:szCs w:val="22"/>
        </w:rPr>
        <w:t xml:space="preserve"> If the new Fact Unit's ConfidenceScore is greater than the existing Fact Unit's ConfidenceScore by at least a configurable threshold delta (default: 0.15), the existing Fact Unit is transitioned to SUPERSEDED and the new one is inserted as ACTIVE.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Multi-Source Triangulation:</w:t>
      </w:r>
      <w:r>
        <w:rPr>
          <w:rFonts w:ascii="Calibri" w:cs="Calibri" w:eastAsia="Calibri" w:hAnsi="Calibri"/>
          <w:b w:val="false"/>
          <w:bCs w:val="false"/>
          <w:i w:val="false"/>
          <w:iCs w:val="false"/>
          <w:strike w:val="false"/>
          <w:color w:val="000000"/>
          <w:sz w:val="22"/>
          <w:szCs w:val="22"/>
        </w:rPr>
        <w:t xml:space="preserve"> If confidence scores are within threshold of each other, the system holds both Fact Units in ACTIVE state with a CONTRADICTS edge between them in the Fact Graph. Both are returned in queries with their respective confidence scores. The contradiction is flagged in the NCL Attractor Network for human review prioritization.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Authority Resolution:</w:t>
      </w:r>
      <w:r>
        <w:rPr>
          <w:rFonts w:ascii="Calibri" w:cs="Calibri" w:eastAsia="Calibri" w:hAnsi="Calibri"/>
          <w:b w:val="false"/>
          <w:bCs w:val="false"/>
          <w:i w:val="false"/>
          <w:iCs w:val="false"/>
          <w:strike w:val="false"/>
          <w:color w:val="000000"/>
          <w:sz w:val="22"/>
          <w:szCs w:val="22"/>
        </w:rPr>
        <w:t xml:space="preserve"> The Conflict Resolution Protocol additionally consults source reliability weights maintained per SourceRef in the Provenance Ledger. Higher-authority sources receive a configurable bonus to their effective confidence score for conflict resolution purposes.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Priority:</w:t>
      </w:r>
      <w:r>
        <w:rPr>
          <w:rFonts w:ascii="Calibri" w:cs="Calibri" w:eastAsia="Calibri" w:hAnsi="Calibri"/>
          <w:b w:val="false"/>
          <w:bCs w:val="false"/>
          <w:i w:val="false"/>
          <w:iCs w:val="false"/>
          <w:strike w:val="false"/>
          <w:color w:val="000000"/>
          <w:sz w:val="22"/>
          <w:szCs w:val="22"/>
        </w:rPr>
        <w:t xml:space="preserve"> If two Fact Units with identical (SubjectRef, PredicateRef) pairs have non-overlapping TemporalAnchors, both are retained as ACTIVE without contradiction — they represent the same predicate at different times.</w:t>
      </w:r>
    </w:p>
    <w:p>
      <w:pPr>
        <w:pStyle w:val="Heading3"/>
        <w:spacing w:after="120" w:before="240" w:line="288" w:lineRule="auto"/>
      </w:pPr>
      <w:r>
        <w:rPr>
          <w:rFonts w:ascii="Calibri" w:cs="Calibri" w:eastAsia="Calibri" w:hAnsi="Calibri"/>
          <w:color w:val="000000"/>
          <w:sz w:val="30"/>
          <w:szCs w:val="30"/>
        </w:rPr>
        <w:t xml:space="preserve">3.3.4 Merge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Units from different sources that express the same semantic content with minor variation (near-match Semantic Hashes as computed by cosine similarity of EmbeddingVectors above a configurable threshold, default 0.97), a merge policy governs the resulting single canonical Fact Unit: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MERGE_CONSERVATIVE:</w:t>
      </w:r>
      <w:r>
        <w:rPr>
          <w:rFonts w:ascii="Calibri" w:cs="Calibri" w:eastAsia="Calibri" w:hAnsi="Calibri"/>
          <w:b w:val="false"/>
          <w:bCs w:val="false"/>
          <w:i w:val="false"/>
          <w:iCs w:val="false"/>
          <w:strike w:val="false"/>
          <w:color w:val="000000"/>
          <w:sz w:val="22"/>
          <w:szCs w:val="22"/>
        </w:rPr>
        <w:t xml:space="preserve"> Retain the Fact Unit with the highest ConfidenceScore; add all other sources to the Provenance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MERGE_UNION:</w:t>
      </w:r>
      <w:r>
        <w:rPr>
          <w:rFonts w:ascii="Calibri" w:cs="Calibri" w:eastAsia="Calibri" w:hAnsi="Calibri"/>
          <w:b w:val="false"/>
          <w:bCs w:val="false"/>
          <w:i w:val="false"/>
          <w:iCs w:val="false"/>
          <w:strike w:val="false"/>
          <w:color w:val="000000"/>
          <w:sz w:val="22"/>
          <w:szCs w:val="22"/>
        </w:rPr>
        <w:t xml:space="preserve"> Combine ModalitySignatures; set ConfidenceScore to the weighted average of all source confidence scores weighted by source reliability; retain all ProvenanceRefs in a merged chain.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MERGE_STRICT:</w:t>
      </w:r>
      <w:r>
        <w:rPr>
          <w:rFonts w:ascii="Calibri" w:cs="Calibri" w:eastAsia="Calibri" w:hAnsi="Calibri"/>
          <w:b w:val="false"/>
          <w:bCs w:val="false"/>
          <w:i w:val="false"/>
          <w:iCs w:val="false"/>
          <w:strike w:val="false"/>
          <w:color w:val="000000"/>
          <w:sz w:val="22"/>
          <w:szCs w:val="22"/>
        </w:rPr>
        <w:t xml:space="preserve"> Reject merge; treat as distinct Fact Units with SIMILAR_TO edges. Used for high-stakes domains (legal, medical) where exact identity is required.</w:t>
      </w:r>
    </w:p>
    <w:p>
      <w:pPr>
        <w:pStyle w:val="Heading2"/>
        <w:spacing w:after="120" w:before="240" w:line="288" w:lineRule="auto"/>
      </w:pPr>
      <w:r>
        <w:rPr>
          <w:rFonts w:ascii="Calibri" w:cs="Calibri" w:eastAsia="Calibri" w:hAnsi="Calibri"/>
          <w:color w:val="000000"/>
          <w:sz w:val="36"/>
          <w:szCs w:val="36"/>
        </w:rPr>
        <w:t xml:space="preserve">3.4 Fact Bundle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Bundle is a first-class QueryBook system object representing a named, versioned, semantically coherent collection of related Fact Units. The Fact Bundle schema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4%"/>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BundleID</w:t>
            </w:r>
          </w:p>
        </w:tc>
        <w:tc>
          <w:tcPr>
            <w:tcW w:type="pct" w:w="34%"/>
          </w:tcPr>
          <w:p>
            <w:r>
              <w:rPr>
                <w:rFonts w:ascii="Calibri" w:cs="Calibri" w:eastAsia="Calibri" w:hAnsi="Calibri"/>
                <w:b w:val="false"/>
                <w:bCs w:val="false"/>
                <w:i w:val="false"/>
                <w:iCs w:val="false"/>
                <w:strike w:val="false"/>
                <w:color w:val="000000"/>
                <w:sz w:val="20"/>
                <w:szCs w:val="20"/>
              </w:rPr>
              <w:t xml:space="preserve">UUID v7</w:t>
            </w:r>
          </w:p>
        </w:tc>
        <w:tc>
          <w:tcPr>
            <w:tcW w:type="pct" w:w="54%"/>
          </w:tcPr>
          <w:p>
            <w:r>
              <w:rPr>
                <w:rFonts w:ascii="Calibri" w:cs="Calibri" w:eastAsia="Calibri" w:hAnsi="Calibri"/>
                <w:b w:val="false"/>
                <w:bCs w:val="false"/>
                <w:i w:val="false"/>
                <w:iCs w:val="false"/>
                <w:strike w:val="false"/>
                <w:color w:val="000000"/>
                <w:sz w:val="20"/>
                <w:szCs w:val="20"/>
              </w:rPr>
              <w:t xml:space="preserve">Globally unique identifier for this Fact Bundle; generated at creation time;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BundleName</w:t>
            </w:r>
          </w:p>
        </w:tc>
        <w:tc>
          <w:tcPr>
            <w:tcW w:type="pct" w:w="34%"/>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4%"/>
          </w:tcPr>
          <w:p>
            <w:r>
              <w:rPr>
                <w:rFonts w:ascii="Calibri" w:cs="Calibri" w:eastAsia="Calibri" w:hAnsi="Calibri"/>
                <w:b w:val="false"/>
                <w:bCs w:val="false"/>
                <w:i w:val="false"/>
                <w:iCs w:val="false"/>
                <w:strike w:val="false"/>
                <w:color w:val="000000"/>
                <w:sz w:val="20"/>
                <w:szCs w:val="20"/>
              </w:rPr>
              <w:t xml:space="preserve">Human-readable name for this Bundle; must be unique within the OwnerRef's namespace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BundleVersion</w:t>
            </w:r>
          </w:p>
        </w:tc>
        <w:tc>
          <w:tcPr>
            <w:tcW w:type="pct" w:w="34%"/>
          </w:tcPr>
          <w:p>
            <w:r>
              <w:rPr>
                <w:rFonts w:ascii="Calibri" w:cs="Calibri" w:eastAsia="Calibri" w:hAnsi="Calibri"/>
                <w:b w:val="false"/>
                <w:bCs w:val="false"/>
                <w:i w:val="false"/>
                <w:iCs w:val="false"/>
                <w:strike w:val="false"/>
                <w:color w:val="000000"/>
                <w:sz w:val="20"/>
                <w:szCs w:val="20"/>
              </w:rPr>
              <w:t xml:space="preserve">Semantic version string (MAJOR.MINOR.PATCH)</w:t>
            </w:r>
          </w:p>
        </w:tc>
        <w:tc>
          <w:tcPr>
            <w:tcW w:type="pct" w:w="54%"/>
          </w:tcPr>
          <w:p>
            <w:r>
              <w:rPr>
                <w:rFonts w:ascii="Calibri" w:cs="Calibri" w:eastAsia="Calibri" w:hAnsi="Calibri"/>
                <w:b w:val="false"/>
                <w:bCs w:val="false"/>
                <w:i w:val="false"/>
                <w:iCs w:val="false"/>
                <w:strike w:val="false"/>
                <w:color w:val="000000"/>
                <w:sz w:val="20"/>
                <w:szCs w:val="20"/>
              </w:rPr>
              <w:t xml:space="preserve">Version of this Bundle; incremented on every MemberFUIDs modification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4%"/>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4%"/>
          </w:tcPr>
          <w:p>
            <w:r>
              <w:rPr>
                <w:rFonts w:ascii="Calibri" w:cs="Calibri" w:eastAsia="Calibri" w:hAnsi="Calibri"/>
                <w:b w:val="false"/>
                <w:bCs w:val="false"/>
                <w:i w:val="false"/>
                <w:iCs w:val="false"/>
                <w:strike w:val="false"/>
                <w:color w:val="000000"/>
                <w:sz w:val="20"/>
                <w:szCs w:val="20"/>
              </w:rPr>
              <w:t xml:space="preserve">Timestamp at which this Bundle was created; immutable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4%"/>
          </w:tcPr>
          <w:p>
            <w:r>
              <w:rPr>
                <w:rFonts w:ascii="Calibri" w:cs="Calibri" w:eastAsia="Calibri" w:hAnsi="Calibri"/>
                <w:b w:val="false"/>
                <w:bCs w:val="false"/>
                <w:i w:val="false"/>
                <w:iCs w:val="false"/>
                <w:strike w:val="false"/>
                <w:color w:val="000000"/>
                <w:sz w:val="20"/>
                <w:szCs w:val="20"/>
              </w:rPr>
              <w:t xml:space="preserve">PrincipalID (UUID)</w:t>
            </w:r>
          </w:p>
        </w:tc>
        <w:tc>
          <w:tcPr>
            <w:tcW w:type="pct" w:w="54%"/>
          </w:tcPr>
          <w:p>
            <w:r>
              <w:rPr>
                <w:rFonts w:ascii="Calibri" w:cs="Calibri" w:eastAsia="Calibri" w:hAnsi="Calibri"/>
                <w:b w:val="false"/>
                <w:bCs w:val="false"/>
                <w:i w:val="false"/>
                <w:iCs w:val="false"/>
                <w:strike w:val="false"/>
                <w:color w:val="000000"/>
                <w:sz w:val="20"/>
                <w:szCs w:val="20"/>
              </w:rPr>
              <w:t xml:space="preserve">Reference to the principal (user, service, or agent) that owns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SchemaRef</w:t>
            </w:r>
          </w:p>
        </w:tc>
        <w:tc>
          <w:tcPr>
            <w:tcW w:type="pct" w:w="34%"/>
          </w:tcPr>
          <w:p>
            <w:r>
              <w:rPr>
                <w:rFonts w:ascii="Calibri" w:cs="Calibri" w:eastAsia="Calibri" w:hAnsi="Calibri"/>
                <w:b w:val="false"/>
                <w:bCs w:val="false"/>
                <w:i w:val="false"/>
                <w:iCs w:val="false"/>
                <w:strike w:val="false"/>
                <w:color w:val="000000"/>
                <w:sz w:val="20"/>
                <w:szCs w:val="20"/>
              </w:rPr>
              <w:t xml:space="preserve">OntologyMesh.SchemaID (UUID)</w:t>
            </w:r>
          </w:p>
        </w:tc>
        <w:tc>
          <w:tcPr>
            <w:tcW w:type="pct" w:w="54%"/>
          </w:tcPr>
          <w:p>
            <w:r>
              <w:rPr>
                <w:rFonts w:ascii="Calibri" w:cs="Calibri" w:eastAsia="Calibri" w:hAnsi="Calibri"/>
                <w:b w:val="false"/>
                <w:bCs w:val="false"/>
                <w:i w:val="false"/>
                <w:iCs w:val="false"/>
                <w:strike w:val="false"/>
                <w:color w:val="000000"/>
                <w:sz w:val="20"/>
                <w:szCs w:val="20"/>
              </w:rPr>
              <w:t xml:space="preserve">Optional reference to a schema in the Ontology Mesh constraining which FactTypes may be members of this Bundle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MemberFUIDs</w:t>
            </w:r>
          </w:p>
        </w:tc>
        <w:tc>
          <w:tcPr>
            <w:tcW w:type="pct" w:w="34%"/>
          </w:tcPr>
          <w:p>
            <w:r>
              <w:rPr>
                <w:rFonts w:ascii="Calibri" w:cs="Calibri" w:eastAsia="Calibri" w:hAnsi="Calibri"/>
                <w:b w:val="false"/>
                <w:bCs w:val="false"/>
                <w:i w:val="false"/>
                <w:iCs w:val="false"/>
                <w:strike w:val="false"/>
                <w:color w:val="000000"/>
                <w:sz w:val="20"/>
                <w:szCs w:val="20"/>
              </w:rPr>
              <w:t xml:space="preserve">Ordered List of FUID (UUID)</w:t>
            </w:r>
          </w:p>
        </w:tc>
        <w:tc>
          <w:tcPr>
            <w:tcW w:type="pct" w:w="54%"/>
          </w:tcPr>
          <w:p>
            <w:r>
              <w:rPr>
                <w:rFonts w:ascii="Calibri" w:cs="Calibri" w:eastAsia="Calibri" w:hAnsi="Calibri"/>
                <w:b w:val="false"/>
                <w:bCs w:val="false"/>
                <w:i w:val="false"/>
                <w:iCs w:val="false"/>
                <w:strike w:val="false"/>
                <w:color w:val="000000"/>
                <w:sz w:val="20"/>
                <w:szCs w:val="20"/>
              </w:rPr>
              <w:t xml:space="preserve">The ordered list of Fact Unit identifiers that are members of this Bundle; order is significant and governs linearization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BundleHash</w:t>
            </w:r>
          </w:p>
        </w:tc>
        <w:tc>
          <w:tcPr>
            <w:tcW w:type="pct" w:w="34%"/>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54%"/>
          </w:tcPr>
          <w:p>
            <w:r>
              <w:rPr>
                <w:rFonts w:ascii="Calibri" w:cs="Calibri" w:eastAsia="Calibri" w:hAnsi="Calibri"/>
                <w:b w:val="false"/>
                <w:bCs w:val="false"/>
                <w:i w:val="false"/>
                <w:iCs w:val="false"/>
                <w:strike w:val="false"/>
                <w:color w:val="000000"/>
                <w:sz w:val="20"/>
                <w:szCs w:val="20"/>
              </w:rPr>
              <w:t xml:space="preserve">Cryptographic hash of the ordered MemberFUIDs list and BundleVersion; enables integrity verification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4%"/>
          </w:tcPr>
          <w:p>
            <w:r>
              <w:rPr>
                <w:rFonts w:ascii="Calibri" w:cs="Calibri" w:eastAsia="Calibri" w:hAnsi="Calibri"/>
                <w:b w:val="false"/>
                <w:bCs w:val="false"/>
                <w:i w:val="false"/>
                <w:iCs w:val="false"/>
                <w:strike w:val="false"/>
                <w:color w:val="000000"/>
                <w:sz w:val="20"/>
                <w:szCs w:val="20"/>
              </w:rPr>
              <w:t xml:space="preserve">AccessControlList (same structure as Fact Unit ACL)</w:t>
            </w:r>
          </w:p>
        </w:tc>
        <w:tc>
          <w:tcPr>
            <w:tcW w:type="pct" w:w="54%"/>
          </w:tcPr>
          <w:p>
            <w:r>
              <w:rPr>
                <w:rFonts w:ascii="Calibri" w:cs="Calibri" w:eastAsia="Calibri" w:hAnsi="Calibri"/>
                <w:b w:val="false"/>
                <w:bCs w:val="false"/>
                <w:i w:val="false"/>
                <w:iCs w:val="false"/>
                <w:strike w:val="false"/>
                <w:color w:val="000000"/>
                <w:sz w:val="20"/>
                <w:szCs w:val="20"/>
              </w:rPr>
              <w:t xml:space="preserve">Access control entries governing operations on this Bundle as a whole; individual member Fact Units retain their own ACLs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BundleLineage</w:t>
            </w:r>
          </w:p>
        </w:tc>
        <w:tc>
          <w:tcPr>
            <w:tcW w:type="pct" w:w="34%"/>
          </w:tcPr>
          <w:p>
            <w:r>
              <w:rPr>
                <w:rFonts w:ascii="Calibri" w:cs="Calibri" w:eastAsia="Calibri" w:hAnsi="Calibri"/>
                <w:b w:val="false"/>
                <w:bCs w:val="false"/>
                <w:i w:val="false"/>
                <w:iCs w:val="false"/>
                <w:strike w:val="false"/>
                <w:color w:val="000000"/>
                <w:sz w:val="20"/>
                <w:szCs w:val="20"/>
              </w:rPr>
              <w:t xml:space="preserve">ProvenanceID (SHA-256 → Provenance Ledger)</w:t>
            </w:r>
          </w:p>
        </w:tc>
        <w:tc>
          <w:tcPr>
            <w:tcW w:type="pct" w:w="54%"/>
          </w:tcPr>
          <w:p>
            <w:r>
              <w:rPr>
                <w:rFonts w:ascii="Calibri" w:cs="Calibri" w:eastAsia="Calibri" w:hAnsi="Calibri"/>
                <w:b w:val="false"/>
                <w:bCs w:val="false"/>
                <w:i w:val="false"/>
                <w:iCs w:val="false"/>
                <w:strike w:val="false"/>
                <w:color w:val="000000"/>
                <w:sz w:val="20"/>
                <w:szCs w:val="20"/>
              </w:rPr>
              <w:t xml:space="preserve">Pointer to the Bundle's root Provenance Record; captures the origin and all subsequent modifications to the Bundle itself (not its members)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BundleType</w:t>
            </w:r>
          </w:p>
        </w:tc>
        <w:tc>
          <w:tcPr>
            <w:tcW w:type="pct" w:w="34%"/>
          </w:tcPr>
          <w:p>
            <w:r>
              <w:rPr>
                <w:rFonts w:ascii="Calibri" w:cs="Calibri" w:eastAsia="Calibri" w:hAnsi="Calibri"/>
                <w:b w:val="false"/>
                <w:bCs w:val="false"/>
                <w:i w:val="false"/>
                <w:iCs w:val="false"/>
                <w:strike w:val="false"/>
                <w:color w:val="000000"/>
                <w:sz w:val="20"/>
                <w:szCs w:val="20"/>
              </w:rPr>
              <w:t xml:space="preserve">enum {DOCUMENT, DATASET, KNOWLEDGE_DOMAIN, EXPORT, PROJECT, TRAINING_SET, REPORT}</w:t>
            </w:r>
          </w:p>
        </w:tc>
        <w:tc>
          <w:tcPr>
            <w:tcW w:type="pct" w:w="54%"/>
          </w:tcPr>
          <w:p>
            <w:r>
              <w:rPr>
                <w:rFonts w:ascii="Calibri" w:cs="Calibri" w:eastAsia="Calibri" w:hAnsi="Calibri"/>
                <w:b w:val="false"/>
                <w:bCs w:val="false"/>
                <w:i w:val="false"/>
                <w:iCs w:val="false"/>
                <w:strike w:val="false"/>
                <w:color w:val="000000"/>
                <w:sz w:val="20"/>
                <w:szCs w:val="20"/>
              </w:rPr>
              <w:t xml:space="preserve">Classification of this Bundle's intended purpose; governs applicable validation rules and export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Description</w:t>
            </w:r>
          </w:p>
        </w:tc>
        <w:tc>
          <w:tcPr>
            <w:tcW w:type="pct" w:w="34%"/>
          </w:tcPr>
          <w:p>
            <w:r>
              <w:rPr>
                <w:rFonts w:ascii="Calibri" w:cs="Calibri" w:eastAsia="Calibri" w:hAnsi="Calibri"/>
                <w:b w:val="false"/>
                <w:bCs w:val="false"/>
                <w:i w:val="false"/>
                <w:iCs w:val="false"/>
                <w:strike w:val="false"/>
                <w:color w:val="000000"/>
                <w:sz w:val="20"/>
                <w:szCs w:val="20"/>
              </w:rPr>
              <w:t xml:space="preserve">UTF-8 string (max 4096 chars) | null</w:t>
            </w:r>
          </w:p>
        </w:tc>
        <w:tc>
          <w:tcPr>
            <w:tcW w:type="pct" w:w="54%"/>
          </w:tcPr>
          <w:p>
            <w:r>
              <w:rPr>
                <w:rFonts w:ascii="Calibri" w:cs="Calibri" w:eastAsia="Calibri" w:hAnsi="Calibri"/>
                <w:b w:val="false"/>
                <w:bCs w:val="false"/>
                <w:i w:val="false"/>
                <w:iCs w:val="false"/>
                <w:strike w:val="false"/>
                <w:color w:val="000000"/>
                <w:sz w:val="20"/>
                <w:szCs w:val="20"/>
              </w:rPr>
              <w:t xml:space="preserve">Optional human-readable description of this Bundle's contents and purpose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3.5 Fact Stream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Stream is the primary mechanism for real-time continuous ingestion of Fact Units from a single logical source. Fact Streams support both push (source-initiated) and pull (QueryBook-initiated) delivery models and implement robust checkpointing for fault-tolerant ingestion.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Globally unique identifier for this Stream; used as the idempotency anchor for exactly-once delivery semantics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SourceRef</w:t>
            </w:r>
          </w:p>
        </w:tc>
        <w:tc>
          <w:tcPr>
            <w:tcW w:type="pct" w:w="37%"/>
          </w:tcPr>
          <w:p>
            <w:r>
              <w:rPr>
                <w:rFonts w:ascii="Calibri" w:cs="Calibri" w:eastAsia="Calibri" w:hAnsi="Calibri"/>
                <w:b w:val="false"/>
                <w:bCs w:val="false"/>
                <w:i w:val="false"/>
                <w:iCs w:val="false"/>
                <w:strike w:val="false"/>
                <w:color w:val="000000"/>
                <w:sz w:val="20"/>
                <w:szCs w:val="20"/>
              </w:rPr>
              <w:t xml:space="preserve">SourceID (UUID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Reference to the registered source system from which this Stream originates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StreamProtocol</w:t>
            </w:r>
          </w:p>
        </w:tc>
        <w:tc>
          <w:tcPr>
            <w:tcW w:type="pct" w:w="37%"/>
          </w:tcPr>
          <w:p>
            <w:r>
              <w:rPr>
                <w:rFonts w:ascii="Calibri" w:cs="Calibri" w:eastAsia="Calibri" w:hAnsi="Calibri"/>
                <w:b w:val="false"/>
                <w:bCs w:val="false"/>
                <w:i w:val="false"/>
                <w:iCs w:val="false"/>
                <w:strike w:val="false"/>
                <w:color w:val="000000"/>
                <w:sz w:val="20"/>
                <w:szCs w:val="20"/>
              </w:rPr>
              <w:t xml:space="preserve">enum {PUSH_WEBHOOK, PUSH_GRPC_STREAM, PULL_POLLING, SUBSCRIPTION_KAFKA, SUBSCRIPTION_PUBSUB, BATCH_UPLOAD}</w:t>
            </w:r>
          </w:p>
        </w:tc>
        <w:tc>
          <w:tcPr>
            <w:tcW w:type="pct" w:w="50%"/>
          </w:tcPr>
          <w:p>
            <w:r>
              <w:rPr>
                <w:rFonts w:ascii="Calibri" w:cs="Calibri" w:eastAsia="Calibri" w:hAnsi="Calibri"/>
                <w:b w:val="false"/>
                <w:bCs w:val="false"/>
                <w:i w:val="false"/>
                <w:iCs w:val="false"/>
                <w:strike w:val="false"/>
                <w:color w:val="000000"/>
                <w:sz w:val="20"/>
                <w:szCs w:val="20"/>
              </w:rPr>
              <w:t xml:space="preserve">The delivery protocol for this Stream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Encoding</w:t>
            </w:r>
          </w:p>
        </w:tc>
        <w:tc>
          <w:tcPr>
            <w:tcW w:type="pct" w:w="37%"/>
          </w:tcPr>
          <w:p>
            <w:r>
              <w:rPr>
                <w:rFonts w:ascii="Calibri" w:cs="Calibri" w:eastAsia="Calibri" w:hAnsi="Calibri"/>
                <w:b w:val="false"/>
                <w:bCs w:val="false"/>
                <w:i w:val="false"/>
                <w:iCs w:val="false"/>
                <w:strike w:val="false"/>
                <w:color w:val="000000"/>
                <w:sz w:val="20"/>
                <w:szCs w:val="20"/>
              </w:rPr>
              <w:t xml:space="preserve">enum {QBF_BINARY, JSON_LD, PROTOBUF, AVRO, CSV, PARQUET}</w:t>
            </w:r>
          </w:p>
        </w:tc>
        <w:tc>
          <w:tcPr>
            <w:tcW w:type="pct" w:w="50%"/>
          </w:tcPr>
          <w:p>
            <w:r>
              <w:rPr>
                <w:rFonts w:ascii="Calibri" w:cs="Calibri" w:eastAsia="Calibri" w:hAnsi="Calibri"/>
                <w:b w:val="false"/>
                <w:bCs w:val="false"/>
                <w:i w:val="false"/>
                <w:iCs w:val="false"/>
                <w:strike w:val="false"/>
                <w:color w:val="000000"/>
                <w:sz w:val="20"/>
                <w:szCs w:val="20"/>
              </w:rPr>
              <w:t xml:space="preserve">The wire encoding format of records in this Stream; QBF_BINARY is the canonical format; others are supported via transcoding adapters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Compression</w:t>
            </w:r>
          </w:p>
        </w:tc>
        <w:tc>
          <w:tcPr>
            <w:tcW w:type="pct" w:w="37%"/>
          </w:tcPr>
          <w:p>
            <w:r>
              <w:rPr>
                <w:rFonts w:ascii="Calibri" w:cs="Calibri" w:eastAsia="Calibri" w:hAnsi="Calibri"/>
                <w:b w:val="false"/>
                <w:bCs w:val="false"/>
                <w:i w:val="false"/>
                <w:iCs w:val="false"/>
                <w:strike w:val="false"/>
                <w:color w:val="000000"/>
                <w:sz w:val="20"/>
                <w:szCs w:val="20"/>
              </w:rPr>
              <w:t xml:space="preserve">enum {NONE, LZ4, ZSTANDARD, GZIP}</w:t>
            </w:r>
          </w:p>
        </w:tc>
        <w:tc>
          <w:tcPr>
            <w:tcW w:type="pct" w:w="50%"/>
          </w:tcPr>
          <w:p>
            <w:r>
              <w:rPr>
                <w:rFonts w:ascii="Calibri" w:cs="Calibri" w:eastAsia="Calibri" w:hAnsi="Calibri"/>
                <w:b w:val="false"/>
                <w:bCs w:val="false"/>
                <w:i w:val="false"/>
                <w:iCs w:val="false"/>
                <w:strike w:val="false"/>
                <w:color w:val="000000"/>
                <w:sz w:val="20"/>
                <w:szCs w:val="20"/>
              </w:rPr>
              <w:t xml:space="preserve">Compression algorithm applied to stream records; LZ4 for low-latency streams, ZSTANDARD for high-throughput batch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CheckpointCursor</w:t>
            </w:r>
          </w:p>
        </w:tc>
        <w:tc>
          <w:tcPr>
            <w:tcW w:type="pct" w:w="37%"/>
          </w:tcPr>
          <w:p>
            <w:r>
              <w:rPr>
                <w:rFonts w:ascii="Calibri" w:cs="Calibri" w:eastAsia="Calibri" w:hAnsi="Calibri"/>
                <w:b w:val="false"/>
                <w:bCs w:val="false"/>
                <w:i w:val="false"/>
                <w:iCs w:val="false"/>
                <w:strike w:val="false"/>
                <w:color w:val="000000"/>
                <w:sz w:val="20"/>
                <w:szCs w:val="20"/>
              </w:rPr>
              <w:t xml:space="preserve">bytes (opaque, max 1KB)</w:t>
            </w:r>
          </w:p>
        </w:tc>
        <w:tc>
          <w:tcPr>
            <w:tcW w:type="pct" w:w="50%"/>
          </w:tcPr>
          <w:p>
            <w:r>
              <w:rPr>
                <w:rFonts w:ascii="Calibri" w:cs="Calibri" w:eastAsia="Calibri" w:hAnsi="Calibri"/>
                <w:b w:val="false"/>
                <w:bCs w:val="false"/>
                <w:i w:val="false"/>
                <w:iCs w:val="false"/>
                <w:strike w:val="false"/>
                <w:color w:val="000000"/>
                <w:sz w:val="20"/>
                <w:szCs w:val="20"/>
              </w:rPr>
              <w:t xml:space="preserve">Opaque cursor value identifying the last successfully processed record in this Stream; used for resumption after interruption</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CheckpointPolicy</w:t>
            </w:r>
          </w:p>
        </w:tc>
        <w:tc>
          <w:tcPr>
            <w:tcW w:type="pct" w:w="37%"/>
          </w:tcPr>
          <w:p>
            <w:r>
              <w:rPr>
                <w:rFonts w:ascii="Calibri" w:cs="Calibri" w:eastAsia="Calibri" w:hAnsi="Calibri"/>
                <w:b w:val="false"/>
                <w:bCs w:val="false"/>
                <w:i w:val="false"/>
                <w:iCs w:val="false"/>
                <w:strike w:val="false"/>
                <w:color w:val="000000"/>
                <w:sz w:val="20"/>
                <w:szCs w:val="20"/>
              </w:rPr>
              <w:t xml:space="preserve">Struct {interval_ms: uint32, mode: enum {PERIODIC, PER_RECORD, ON_FLUSH}}</w:t>
            </w:r>
          </w:p>
        </w:tc>
        <w:tc>
          <w:tcPr>
            <w:tcW w:type="pct" w:w="50%"/>
          </w:tcPr>
          <w:p>
            <w:r>
              <w:rPr>
                <w:rFonts w:ascii="Calibri" w:cs="Calibri" w:eastAsia="Calibri" w:hAnsi="Calibri"/>
                <w:b w:val="false"/>
                <w:bCs w:val="false"/>
                <w:i w:val="false"/>
                <w:iCs w:val="false"/>
                <w:strike w:val="false"/>
                <w:color w:val="000000"/>
                <w:sz w:val="20"/>
                <w:szCs w:val="20"/>
              </w:rPr>
              <w:t xml:space="preserve">Policy governing how frequently the CheckpointCursor is durably persisted</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BackpressurePolicy</w:t>
            </w:r>
          </w:p>
        </w:tc>
        <w:tc>
          <w:tcPr>
            <w:tcW w:type="pct" w:w="37%"/>
          </w:tcPr>
          <w:p>
            <w:r>
              <w:rPr>
                <w:rFonts w:ascii="Calibri" w:cs="Calibri" w:eastAsia="Calibri" w:hAnsi="Calibri"/>
                <w:b w:val="false"/>
                <w:bCs w:val="false"/>
                <w:i w:val="false"/>
                <w:iCs w:val="false"/>
                <w:strike w:val="false"/>
                <w:color w:val="000000"/>
                <w:sz w:val="20"/>
                <w:szCs w:val="20"/>
              </w:rPr>
              <w:t xml:space="preserve">Struct {max_inflight: uint32, strategy: enum {BLOCK, DROP, SAMPLE, PRIORITIZE}}</w:t>
            </w:r>
          </w:p>
        </w:tc>
        <w:tc>
          <w:tcPr>
            <w:tcW w:type="pct" w:w="50%"/>
          </w:tcPr>
          <w:p>
            <w:r>
              <w:rPr>
                <w:rFonts w:ascii="Calibri" w:cs="Calibri" w:eastAsia="Calibri" w:hAnsi="Calibri"/>
                <w:b w:val="false"/>
                <w:bCs w:val="false"/>
                <w:i w:val="false"/>
                <w:iCs w:val="false"/>
                <w:strike w:val="false"/>
                <w:color w:val="000000"/>
                <w:sz w:val="20"/>
                <w:szCs w:val="20"/>
              </w:rPr>
              <w:t xml:space="preserve">Policy controlling behavior when the Ingestion Pipeline is overwhelmed; BLOCK is default; SAMPLE and PRIORITIZE are available for high-volume sensor streams</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DeliverySemantics</w:t>
            </w:r>
          </w:p>
        </w:tc>
        <w:tc>
          <w:tcPr>
            <w:tcW w:type="pct" w:w="37%"/>
          </w:tcPr>
          <w:p>
            <w:r>
              <w:rPr>
                <w:rFonts w:ascii="Calibri" w:cs="Calibri" w:eastAsia="Calibri" w:hAnsi="Calibri"/>
                <w:b w:val="false"/>
                <w:bCs w:val="false"/>
                <w:i w:val="false"/>
                <w:iCs w:val="false"/>
                <w:strike w:val="false"/>
                <w:color w:val="000000"/>
                <w:sz w:val="20"/>
                <w:szCs w:val="20"/>
              </w:rPr>
              <w:t xml:space="preserve">enum {AT_LEAST_ONCE, EXACTLY_ONCE}</w:t>
            </w:r>
          </w:p>
        </w:tc>
        <w:tc>
          <w:tcPr>
            <w:tcW w:type="pct" w:w="50%"/>
          </w:tcPr>
          <w:p>
            <w:r>
              <w:rPr>
                <w:rFonts w:ascii="Calibri" w:cs="Calibri" w:eastAsia="Calibri" w:hAnsi="Calibri"/>
                <w:b w:val="false"/>
                <w:bCs w:val="false"/>
                <w:i w:val="false"/>
                <w:iCs w:val="false"/>
                <w:strike w:val="false"/>
                <w:color w:val="000000"/>
                <w:sz w:val="20"/>
                <w:szCs w:val="20"/>
              </w:rPr>
              <w:t xml:space="preserve">Delivery guarantee for this Stream; EXACTLY_ONCE requires idempotency key support from the source system</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SchemaRef</w:t>
            </w:r>
          </w:p>
        </w:tc>
        <w:tc>
          <w:tcPr>
            <w:tcW w:type="pct" w:w="37%"/>
          </w:tcPr>
          <w:p>
            <w:r>
              <w:rPr>
                <w:rFonts w:ascii="Calibri" w:cs="Calibri" w:eastAsia="Calibri" w:hAnsi="Calibri"/>
                <w:b w:val="false"/>
                <w:bCs w:val="false"/>
                <w:i w:val="false"/>
                <w:iCs w:val="false"/>
                <w:strike w:val="false"/>
                <w:color w:val="000000"/>
                <w:sz w:val="20"/>
                <w:szCs w:val="20"/>
              </w:rPr>
              <w:t xml:space="preserve">OntologyMesh.SchemaID (UUID) | null</w:t>
            </w:r>
          </w:p>
        </w:tc>
        <w:tc>
          <w:tcPr>
            <w:tcW w:type="pct" w:w="50%"/>
          </w:tcPr>
          <w:p>
            <w:r>
              <w:rPr>
                <w:rFonts w:ascii="Calibri" w:cs="Calibri" w:eastAsia="Calibri" w:hAnsi="Calibri"/>
                <w:b w:val="false"/>
                <w:bCs w:val="false"/>
                <w:i w:val="false"/>
                <w:iCs w:val="false"/>
                <w:strike w:val="false"/>
                <w:color w:val="000000"/>
                <w:sz w:val="20"/>
                <w:szCs w:val="20"/>
              </w:rPr>
              <w:t xml:space="preserve">Optional schema constraint; all Fact Units produced from this Stream must conform to the specified FactType schema</w:t>
            </w:r>
          </w:p>
        </w:tc>
      </w:tr>
      <w:tr>
        <w:trPr>
          <w:tblHeader w:val="false"/>
        </w:trPr>
        <w:tc>
          <w:tcPr>
            <w:tcW w:type="pct" w:w="13%"/>
          </w:tcPr>
          <w:p>
            <w:r>
              <w:rPr>
                <w:rFonts w:ascii="Consolas" w:cs="Consolas" w:eastAsia="Consolas" w:hAnsi="Consolas"/>
                <w:b/>
                <w:bCs/>
                <w:i w:val="false"/>
                <w:iCs w:val="false"/>
                <w:strike w:val="false"/>
                <w:color w:val="0D2A5E"/>
                <w:sz w:val="19"/>
                <w:szCs w:val="19"/>
              </w:rPr>
              <w:t xml:space="preserve">RetentionPolicy</w:t>
            </w:r>
          </w:p>
        </w:tc>
        <w:tc>
          <w:tcPr>
            <w:tcW w:type="pct" w:w="37%"/>
          </w:tcPr>
          <w:p>
            <w:r>
              <w:rPr>
                <w:rFonts w:ascii="Calibri" w:cs="Calibri" w:eastAsia="Calibri" w:hAnsi="Calibri"/>
                <w:b w:val="false"/>
                <w:bCs w:val="false"/>
                <w:i w:val="false"/>
                <w:iCs w:val="false"/>
                <w:strike w:val="false"/>
                <w:color w:val="000000"/>
                <w:sz w:val="20"/>
                <w:szCs w:val="20"/>
              </w:rPr>
              <w:t xml:space="preserve">Struct {ttl_hours: uint32, max_records: uint64}</w:t>
            </w:r>
          </w:p>
        </w:tc>
        <w:tc>
          <w:tcPr>
            <w:tcW w:type="pct" w:w="50%"/>
          </w:tcPr>
          <w:p>
            <w:r>
              <w:rPr>
                <w:rFonts w:ascii="Calibri" w:cs="Calibri" w:eastAsia="Calibri" w:hAnsi="Calibri"/>
                <w:b w:val="false"/>
                <w:bCs w:val="false"/>
                <w:i w:val="false"/>
                <w:iCs w:val="false"/>
                <w:strike w:val="false"/>
                <w:color w:val="000000"/>
                <w:sz w:val="20"/>
                <w:szCs w:val="20"/>
              </w:rPr>
              <w:t xml:space="preserve">Governs how long raw stream records are retained in the dead-letter queue and stream replay buffer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III — INGESTION PIPELINE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III Executive Summary</w:t>
            </w:r>
            <w:r>
              <w:rPr>
                <w:rFonts w:ascii="Calibri" w:cs="Calibri" w:eastAsia="Calibri" w:hAnsi="Calibri"/>
                <w:b/>
                <w:bCs/>
                <w:i w:val="false"/>
                <w:iCs w:val="false"/>
                <w:strike w:val="false"/>
                <w:color w:val="333333"/>
                <w:sz w:val="24"/>
                <w:szCs w:val="24"/>
              </w:rPr>
              <w:t xml:space="preserve">Part III specifies the complete Multimodal Ingestion Pipeline — the system responsible for transforming raw inputs from eight distinct modalities into validated, typed Fact Units ready for insertion into the Fact Graph. It covers the six-stage sequential pipeline architecture, per-modality extraction specifications, the Ingestion Orchestrator, entity resolution and linking, and confidence calibration. This Part is the primary reference for patent Cluster C claims and provides the foundation for understanding how QueryBook acquires knowledge from the external world.</w:t>
            </w:r>
          </w:p>
        </w:tc>
      </w:tr>
    </w:tbl>
    <w:p>
      <w:pPr>
        <w:pStyle w:val="Heading3"/>
        <w:spacing w:after="120" w:before="200" w:line="288" w:lineRule="auto"/>
      </w:pPr>
      <w:r>
        <w:rPr>
          <w:rFonts w:ascii="Calibri" w:cs="Calibri" w:eastAsia="Calibri" w:hAnsi="Calibri"/>
          <w:color w:val="000000"/>
          <w:sz w:val="28"/>
          <w:szCs w:val="28"/>
        </w:rPr>
        <w:t xml:space="preserve">3.2 Worked Example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illustrates the schema of §3.1 applied to a concrete assertion, given source content stating that a named entity is located within a named containing region.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Entity resolution: the subject and object references are each resolved to a canonical entity identifier within the Ontology Mesh (Chapter 6), and the asserted relationship is resolved to a canonical predicate identifier — not stored as the original text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 construction: FUID is deterministically derived from the resolved assertion, its source, and its ingestion timestamp; ConfidenceScore reflects extraction agreement and source reliability per the calibration model of Chapter 4; SafetyFlags are set per the Safety Substrate's evaluation (Chapter 8); SemanticHash is computed from the resolved, language-independent assertion rather than the original source text; TemporalAnchor records both when the assertion was true and when it was ingested; and the provenance reference identifies the specific source passage.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Retrieval: a subsequent query for the same entity's location resolves through the identical canonical identifiers and retrieves the constructed Fact Unit deterministically, not through approximate text matching against the original source string.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Revision: where the source content is later revised, a new, linked Fact Unit version is created via the VersionChain rather than the original record being modified, with both versions independently queryable.</w:t>
      </w:r>
    </w:p>
    <w:p>
      <w:pPr>
        <w:spacing w:after="200" w:before="0"/>
      </w:pPr>
    </w:p>
    <w:p>
      <w:pPr>
        <w:pStyle w:val="Heading2"/>
      </w:pPr>
      <w:r>
        <w:t xml:space="preserve">3.6 The Post-Baconian Layered Definition</w:t>
      </w:r>
    </w:p>
    <w:p>
      <w:r>
        <w:t xml:space="preserve">This section does not replace the schema of §3.1; it includes it whole and organizes it. Every field of the schema remains in force exactly as specified, and every field appears below inside the layer it belongs to. What this section adds is the organizing structure and the Baconian enrichment: the Fact Unit read as nine layers, so that the validation metadata the feedback loop of §3.7 accumulates — evidence, stability, alignment, provenance, and rights — is visible as architecture rather than scattered as fields. The semantic identity never changes; everything the loop adds surrounds that identity without touching it.</w:t>
      </w:r>
    </w:p>
    <w:p>
      <w:r>
        <w:t xml:space="preserve">Layer 1, Core Semantic Identity, is the irreducible assertion and the only part of the record that never changes: the FUID,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 a revision produces a new, linked version — which is what lets every other layer accumulate without the identity ever drifting. The record holds an assertion, not a concept; the concept models an assertion contributes to are formed and held in the World-View Model.</w:t>
      </w:r>
    </w:p>
    <w:p>
      <w:r>
        <w:t xml:space="preserve">Layer 2, Structural Adjacency, is the record’s connections: typed, weighted edges to other records and hyperedge memberships binding sets of records, in the semantic, temporal, editorial, media, and language edge classes with their registered traversal costs, strengthened on co-activation under the Hebbian rule — deterministic and auditable, never fitted by gradient descent.</w:t>
      </w:r>
    </w:p>
    <w:p>
      <w:r>
        <w:t xml:space="preserve">Layer 3, Temporal Stability, is read rather than asserted: the three timestamps distinguish when the assertion held, when it was ingested, and when its source was created, and the supersession chain links each version to the one it replaces under a correction or restatement relation. An assertion that persists unrevised across attestations, editions, and consolidation cycles is stable by demonstration.</w:t>
      </w:r>
    </w:p>
    <w:p>
      <w:r>
        <w:t xml:space="preserve">Layer 4, Edition Differential, captures how the assertion behaves across editions of its work — present in every edition, present in some, modified, expanded, compressed, or transformed — through edition version chains, so an edition comparison is a traversal of markers rather than a text diff, and alignment across editions converges only below the divergence threshold.</w:t>
      </w:r>
    </w:p>
    <w:p>
      <w:r>
        <w:t xml:space="preserve">Layer 5, Multi-Language Alignment, is carried by identity rather than translation memory: the semantic fingerprint makes realizations in any language the same record, parallel realizations align record-by-record, a wording-operative span is reproduced verbatim with a separately marked gloss, and an idiom resolves only to a registered equivalent.</w:t>
      </w:r>
    </w:p>
    <w:p>
      <w:r>
        <w:t xml:space="preserve">Layer 6, Media Provenance, holds the multimodal attachments as evidence contributions in their own source classes, with cross-modality corroboration elevated where observations co-occur within a window narrow enough to indicate a common cause, and with any transformed asset carrying the provenance of its source and any introduced value marked as introduced and inadmissible as grounding.</w:t>
      </w:r>
    </w:p>
    <w:p>
      <w:r>
        <w:t xml:space="preserve">Layer 7, Observation and Evidence, is the Baconian core. The confidence value is maintained as a first parameter accumulating evidence supporting the assertion and a second accumulating evidence contradicting it, the reported confidence being the ratio of the first to their sum, their sum constituting the evidential weight from which a credible interval and a propagation precision are computed. The observation count is that weight; observation diversity is the effective number of contributing source classes computed from the attribution of contributed weight; contradiction markers are first-class, a conflict entering the persistent contradiction index and a contradiction too weak to revise being recorded rather than discarded; revision history is the version chain itself; and every update is closed-form, order-independent, and free of sampling. The record therefore carries not only how firmly the assertion is held but how much is known about it: two records reporting identical confidence on different quantities or varieties of evidence are distinguishable, which a scalar could not express.</w:t>
      </w:r>
    </w:p>
    <w:p>
      <w:r>
        <w:t xml:space="preserve">Layer 8, Rights and Ownership, carries entitlement as a property of the assertion rather than a filter over a result: the safety classification and access-control list live within the record, territory, edition, and license scope govern reach, keys are scoped per tenant with hardware custody where configured, and where an operator elects it per title, an external, pre-existing blockchain-based ownership-verification service may be consulted for resale with the system as requesting party only. Ownership metadata informs entitlement; it does not enter the record as an identity node, and the system operates no token infrastructure.</w:t>
      </w:r>
    </w:p>
    <w:p>
      <w:r>
        <w:t xml:space="preserve">Layer 9, Deterministic Output, is 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through the signed provenance chain.</w:t>
      </w:r>
    </w:p>
    <w:p>
      <w:r>
        <w:t xml:space="preserve">Master definition. 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the neuromorphic mesh, above which the World-View Model builds its concept models of the world. (Drafting record, Pass 114, September 2, 2026: adopted upon the inventor’s approval. Source material describing the record as a concept-node, and adding token-based ownership identity nodes, was corrected on adoption: concepts belong to the World-View Model, and the declined blockchain ownership layer remains declined.)</w:t>
      </w:r>
    </w:p>
    <w:p>
      <w:pPr>
        <w:pStyle w:val="Heading2"/>
      </w:pPr>
      <w:r>
        <w:t xml:space="preserve">3.7 The Baconian Feedback Loop</w:t>
      </w:r>
    </w:p>
    <w:p>
      <w:r>
        <w:t xml:space="preserve">The Baconian feedback loop is a critical design feature of the cognitive mesh: the cycle of action, observation, measurement, adjustment, and iteration, inductive and evidence-driven, under which internal structures update only as independent observations accumulate and agree, and under which nothing ever alters a record’s semantic identity. Each stage is bound to a specified mechanism, so the loop is an architecture rather than an aspiration.</w:t>
      </w:r>
    </w:p>
    <w:p>
      <w:r>
        <w:t xml:space="preserve">Action and observation: the system acts — answers, ingests, executes a bounded program, directs registered capture equipment — and observations return through every ingestion modality and through outcome feedback, a delivered response being recorded with its cited records and their confidence at delivery, and a report bearing on it admitted as a knowledge record attributed to the reporting identity. Feedback is evidence, not correction: no report sets a confidence value, supersedes a record, or removes one.</w:t>
      </w:r>
    </w:p>
    <w:p>
      <w:r>
        <w:t xml:space="preserve">Measurement: each observation increments the evidence pair under the incrementing rule with fractional weighting — the supporting or contradicting parameter moves by the observation’s source-reliability weight — and a reporting identity constitutes a single source class, its hundredth report weighing no more than a report from a hundredth identity. Diversity is the effective number of contributing source classes, corroboration from a class already dominating the parameters is admitted at reduced weight, and a generalization requires a diversity floor as well as a count floor: varied rather than merely numerous instances, made arithmetic.</w:t>
      </w:r>
    </w:p>
    <w:p>
      <w:r>
        <w:t xml:space="preserve">Adjustment: revision is precision-weighted, the gain on a contradiction being the error’s precision divided by the sum of the error’s and the prior’s precisions, with a gain below the configured floor producing no revision and the withheld contradiction recorded. Adjustment reaches only the layers the loop owns — evidence parameters, adjacency weights, participation metadata, stability and differential markers — and never the semantic core; where evidence demands new content the loop produces a new linked version, and an inductive generalization is emitted as a proposal that only a named human may validate.</w:t>
      </w:r>
    </w:p>
    <w:p>
      <w:r>
        <w:t xml:space="preserve">Iteration and convergence: the cycle runs continuously across sessions, editions, languages, and modalities; long-term consolidation strengthens stable relationships on the gated election; and convergence terminates by energy descent. An assertion strengthens only as varied evidence converges upon it, weakens in proportion to the precision of what contradicts it, and can never be quietly rewritten — the anti-drift, truth-maintenance discipline of the platform.</w:t>
      </w:r>
    </w:p>
    <w:p>
      <w:pPr>
        <w:pStyle w:val="Heading2"/>
      </w:pPr>
      <w:r>
        <w:t xml:space="preserve">3.8 The Enhanced Record: Uncertainty Decomposition, Polarity, Arity, Scope, History, Integrity, and Encoding</w:t>
      </w:r>
    </w:p>
    <w:p>
      <w:r>
        <w:t xml:space="preserve">This section extends the record defined by §3.1 and organized by §3.6 with seven additional field families, adopted as a single enhancement pass. Nothing here replaces or narrows any existing field, layer, or behaviour: every field of the §3.1 schema and every layer of §3.6 remains in force exactly as specified, the Baconian feedback loop of §3.7 remains the record’s engine of convergence, and each family below is an additive enrichment of the assertion record itself. Concepts continue to belong to the World-View Model; the fields of this section describe the assertion record only. The master definition of §3.6 is accordingly read as enriched by the seven families of this section: uncertainty decomposed, polarity explicit, arity native, scope stated, history journaled, integrity hash-chained, and encoding canonical.</w:t>
      </w:r>
    </w:p>
    <w:p>
      <w:pPr>
        <w:pStyle w:val="Heading3"/>
      </w:pPr>
      <w:r>
        <w:t xml:space="preserve">3.8.1 Uncertainty Decomposition</w:t>
      </w:r>
    </w:p>
    <w:p>
      <w:r>
        <w:t xml:space="preserve">The evidence pair of Layer 7 is extended with a deterministic classification of residual uncertainty into an epistemic component, reducible in principle by further observation, and an aleatory component, the irreducible variability of the observed world itself. The classification is computed, not asserted: where successive observations from distinct source classes continue to narrow the credible interval, residual uncertainty is classified epistemic; where observations accumulate without narrowing it — the interval stabilizing around persistent dispersion — the residue is classified aleatory. Alongside the classification the record carries decomposed sub-parameters already implicit in the update machinery, made explicit and queryable: the fractional source-reliability weighting in effect, the measurement precision of the contributing observations, and the breadth of consensus measured as effective source classes. The decomposition gives the Baconian loop a principled stopping condition: iteration continues while residual uncertainty is predominantly epistemic and further observation is expected to narrow the interval, and stands down, without discarding any evidence, when the residue is aleatory and further sampling can only re-measure the world’s own variance.</w:t>
      </w:r>
    </w:p>
    <w:p>
      <w:pPr>
        <w:pStyle w:val="Heading3"/>
      </w:pPr>
      <w:r>
        <w:t xml:space="preserve">3.8.2 Assertion Polarity</w:t>
      </w:r>
    </w:p>
    <w:p>
      <w:r>
        <w:t xml:space="preserve">Every Fact Unit carries an explicit polarity field marking the assertion as affirmative or negative, so that a negative finding — that a relation does not hold, that an event did not occur — is a first-class record rather than an inference left to interpretation of assertion content. Polarity participates in the semantic fingerprint, and contradiction detection thereby gains a structural fast path: two records whose fingerprints agree on the same assertion core but differ in polarity are a contradiction by field comparison, before any semantic analysis runs. Polarity also sharpens the Without-Information Rule: the absence of any record, which obliges refusal under the Prime Directive’s without-information behaviour, is now formally distinct from the presence of a negated assertion, which is an answer — the system can say that a thing is known not to be so, rather than merely that nothing is known.</w:t>
      </w:r>
    </w:p>
    <w:p>
      <w:pPr>
        <w:pStyle w:val="Heading3"/>
      </w:pPr>
      <w:r>
        <w:t xml:space="preserve">3.8.3 Native N-ary Assertion Structure</w:t>
      </w:r>
    </w:p>
    <w:p>
      <w:r>
        <w:t xml:space="preserve">A single Fact Unit may carry one assertion with multiple typed argument slots — subject, value, unit, instrument, method, condition, observer, and further roles as the catalogue of its domain defines — while remaining one atomic assertion with one FUID, one fingerprint, and one evidence pair. A measurement made with a named instrument under stated conditions is one fact, and the record holds it as one fact, rather than shattering it into a constellation of binary statements joined by synthetic nodes as reification-based representations must. The semantic fingerprint is computed over the complete argument structure, so two realizations of the same n-ary assertion in different languages or notations resolve to the same record, and the typed, weighted adjacency of Layer 2 continues to bind the record to its neighbours exactly as before.</w:t>
      </w:r>
    </w:p>
    <w:p>
      <w:pPr>
        <w:pStyle w:val="Heading3"/>
      </w:pPr>
      <w:r>
        <w:t xml:space="preserve">3.8.4 Applicability Scope</w:t>
      </w:r>
    </w:p>
    <w:p>
      <w:r>
        <w:t xml:space="preserve">The record carries an explicit applicability-scope field stating the conditions under which the assertion holds: a temporal interval, a jurisdiction, an edition, an environmental or parameter range, a population, or a conjunction of these. Scope is the record-side complement of the context lock: the lock fixes the eight dimensions under which a query is answered, and the scope field states, in the record itself, the region of those dimensions within which the assertion is warranted, so validity is stored rather than re-derived at query time. Scope participates in retrieval matching, and it disciplines contradiction detection: two records asserting differently under disjoint scopes are not in conflict, and the system reports under which conditions each holds rather than reporting a contradiction that is not there.</w:t>
      </w:r>
    </w:p>
    <w:p>
      <w:pPr>
        <w:pStyle w:val="Heading3"/>
      </w:pPr>
      <w:r>
        <w:t xml:space="preserve">3.8.5 Baconian Adjustment History</w:t>
      </w:r>
    </w:p>
    <w:p>
      <w:r>
        <w:t xml:space="preserve">Each pass of the feedback loop of §3.7 appends an immutable entry to an adjustment-history layer within the record’s metadata: the observation that arrived, its source class, the fractional reliability weighting applied under the incrementing rule, and the resulting movement of the evidence pair and credible interval. The history layer is metadata in the strict sense of §3.7 — the semantic identity of Layer 1 is never touched — and it makes the record self-auditing: the current confidence of any Fact Unit can be replayed, entry by entry, from its first observation to its present state, and the replay is deterministic, reproducing the stored values exactly. The record thereby carries not only its conclusion but its own revision trajectory, and an audit of any answer can descend from the answer to the records to the observations that made them.</w:t>
      </w:r>
    </w:p>
    <w:p>
      <w:pPr>
        <w:pStyle w:val="Heading3"/>
      </w:pPr>
      <w:r>
        <w:t xml:space="preserve">3.8.6 Cryptographic Integrity Chain</w:t>
      </w:r>
    </w:p>
    <w:p>
      <w:r>
        <w:t xml:space="preserve">Every record carries a cryptographic hash computed over its immutable core, and every supersession link includes the hash of the record it supersedes, so that each version chain is tamper-evident end to end by standard hashing alone: any alteration of a superseded record breaks the chain at the point of alteration and is detected by recomputation. This is integrity machinery internal to the Fact Graph, and nothing more: there is no distributed ledger, no token, and no ownership identity node — the declined blockchain ownership layer remains declined — and rights and entitlement continue to be carried exactly as Layer 8 specifies. What the chain adds is proof: the provenance and supersession structure the record has always carried becomes independently verifiable by any party holding the records.</w:t>
      </w:r>
    </w:p>
    <w:p>
      <w:pPr>
        <w:pStyle w:val="Heading3"/>
      </w:pPr>
      <w:r>
        <w:t xml:space="preserve">3.8.7 Canonical Compact Encoding</w:t>
      </w:r>
    </w:p>
    <w:p>
      <w:r>
        <w:t xml:space="preserve">The Fact Unit has a defined canonical binary serialization in which the required fields of §3.1 occupy fixed positions and optional fields are carried as tagged extensions. The encoding is lossless and bidirectional — a record round-trips between its full and compact forms without change, and the semantic fingerprint and FUID are identical in either form — so the compact form is the same record, not a summary of it. The encoding is what makes the micro-embedded deployments concrete: an offline reader or handset carries its Fact Units in canonical form at a fraction of the footprint of the source media, and the semantic compression of audio, video, and volumetric media rests on a specified record-level mechanism rather than a projection.</w:t>
      </w:r>
    </w:p>
    <w:p>
      <w:pPr>
        <w:pStyle w:val="Heading3"/>
      </w:pPr>
      <w:r>
        <w:t xml:space="preserve">3.8.8 Architectural Integration</w:t>
      </w:r>
    </w:p>
    <w:p>
      <w:r>
        <w:t xml:space="preserve">The enhanced fields are consumed across the architecture rather than sitting inert in the record. Precision-weighted error propagation under §41.6.4 reads the uncertainty decomposition, the propagation gain drawing on the explicit measurement-precision sub-parameter, and the Baconian loop consults the epistemic–aleatory classification as its stopping condition while writing the adjustment history of §3.8.5 on every pass. Contradiction detection under §41.4.6 reads polarity and applicability scope, surfacing structural contradictions by field comparison and dissolving apparent conflicts whose scopes are disjoint. Competitive Candidate Resolution under §41.5.3 carries polarity and scope on every candidate, so competing candidates of opposite polarity or disjoint scope are distinguished at the candidate level before resolution. The ingestion pipeline computes fingerprints over the complete n-ary argument structure at admission; the supersession machinery maintains the integrity chain as versions are created; and the deployment layer serializes records in canonical compact form for edge and offline operation. Every field of this section is a deterministic function of record content and the observation stream, so the determinism guarantee — identical conditions under an identical context key producing identical results — is preserved without qualification. (Drafting record, Pass 115, September 2, 2026: added upon the inventor’s direction to update the Fact Unit definition and the architectural features and functions associated with it. All seven field families are additive; no field of §3.1, no layer of §3.6, and no behaviour of §3.7 is removed or altered.)</w:t>
      </w:r>
    </w:p>
    <w:p>
      <w:pPr>
        <w:pStyle w:val="Heading2"/>
      </w:pPr>
      <w:r>
        <w:t xml:space="preserve">3.9 Record-Fused Encoding and the Database-Neutral Boundary</w:t>
      </w:r>
    </w:p>
    <w:p>
      <w:r>
        <w:t xml:space="preserve">This section fuses the canonical compact encoding of §3.8.7 to the Fact Unit as the record’s own form, and states the boundary that keeps the system storable in any database. It adds no field to the schema of §3.1 and removes none; it specifies how the record already defined is encoded, stored, queried, and moved. Nothing here reintroduces a separate transport or storage standard external to the record: the encoding and the query interface operate on Fact Units within the system’s own boundary, and the previously-declined framing of a mandatory external fact-transport format and external fact-query language, which would have required a host store to understand the record, remains declined. Concepts continue to belong to the World-View Model, and the determinism guarantee is preserved without qualification.</w:t>
      </w:r>
    </w:p>
    <w:p>
      <w:pPr>
        <w:pStyle w:val="Heading3"/>
      </w:pPr>
      <w:r>
        <w:t xml:space="preserve">3.9.1 The Record-Fused Encoding</w:t>
      </w:r>
    </w:p>
    <w:p>
      <w:r>
        <w:t xml:space="preserve">The compact encoding of §3.8.7 is the Fact Unit’s own canonical at-rest and wire form. A record is not translated into a foreign storage schema and back; it is carried as itself — required fields at fixed offsets, optional fields tagged, the FUID and semantic fingerprint identical to the full form — so that the encoded record is self-describing and self-identifying without an external schema. The encoding is fused to the record rather than to any store: it is a property of the Fact Unit, computed and consumed within the system, and it is the same record whether resident in memory, written to disk, or in flight between deployments.</w:t>
      </w:r>
    </w:p>
    <w:p>
      <w:pPr>
        <w:pStyle w:val="Heading3"/>
      </w:pPr>
      <w:r>
        <w:t xml:space="preserve">3.9.2 The Opaque-Blob Storage Contract</w:t>
      </w:r>
    </w:p>
    <w:p>
      <w:r>
        <w:t xml:space="preserve">A host database, content repository, or key-value store holds an encoded Fact Unit as an opaque value — a blob in a column, a file, an object, or a key’s payload — and is never required to parse it, index its interior, or understand its fields. The store’s sole obligations are to accept bytes and return them unchanged. This is the invariant that preserves the system’s database-neutral property: because the store is asked only to hold and return bytes, any database, repository, or e-reader platform qualifies, and no proprietary format, schema migration, or query-engine capability is imposed on it. The record’s own identifiers — the FUID as a stable key, the fingerprint as a content address — are exposed to the store as plain opaque keys where an index is wanted, so retrieval by identity is available without the store reading the record’s meaning.</w:t>
      </w:r>
    </w:p>
    <w:p>
      <w:pPr>
        <w:pStyle w:val="Heading3"/>
      </w:pPr>
      <w:r>
        <w:t xml:space="preserve">3.9.3 Internal Fact Query and Edge Translation</w:t>
      </w:r>
    </w:p>
    <w:p>
      <w:r>
        <w:t xml:space="preserve">Queries over Fact Units are expressed within the system in terms of the record — its identifiers, its fingerprint, its typed adjacency, its confidence and its applicability scope — and are resolved against the Fact Graph by the system’s own retrieval. Where raw material must be drawn from an external store, an adapter translates the system’s request into that store’s native language — a relational query, an object lookup, a key fetch — and the external store never receives the system’s internal fact-query form. This is the external-connection pattern already specified applied to storage: a declared capability, an adapter at the boundary, and no assumption that the outside system speaks the record’s language. An external store is thereby a source and a repository, never the reasoning engine, which is the position that makes it replaceable and the determinism and groundedness guarantees independent of it.</w:t>
      </w:r>
    </w:p>
    <w:p>
      <w:pPr>
        <w:pStyle w:val="Heading3"/>
      </w:pPr>
      <w:r>
        <w:t xml:space="preserve">3.9.4 Confidentiality and Integrity Across the Boundary</w:t>
      </w:r>
    </w:p>
    <w:p>
      <w:r>
        <w:t xml:space="preserve">Because the host store holds the record as an opaque blob, the properties the record carries in §3.1 and §3.8 travel with it across the boundary. The integrity hash chain of §3.8.6 makes any alteration of a stored record detectable on read, so a store that corrupts or reorders a record cannot do so undetectably. The in-record safety classification and access-control list of §3.1 remain within the encoded record, so entitlement is a property the record carries into the store rather than a filter the store is trusted to apply; and where a deployment elects the zero-knowledge and key-custody provisions, an encoded record written to an external store is unreadable by that store, which holds bytes it cannot interpret. The database-neutral property is thereby not merely preserved but strengthened: any store will hold the record, and no store can read, reorder, or leak its meaning.</w:t>
      </w:r>
    </w:p>
    <w:p>
      <w:pPr>
        <w:pStyle w:val="Heading3"/>
      </w:pPr>
      <w:r>
        <w:t xml:space="preserve">3.9.5 The Fuse-to-the-Record Invariant</w:t>
      </w:r>
    </w:p>
    <w:p>
      <w:r>
        <w:t xml:space="preserve">The encoding and the query interface are fused to the Fact Unit and never to the storage or query interface of a host system. Stated as a design invariant: no host store is ever required to understand the record’s format or to speak the record’s query language in order to store or return it. The invariant is what distinguishes this fusion from the declined external transport-and-query standard — fused to the record, the system gains a compact, identity-bearing, integrity-sealed form and an internal query language while remaining storable in and retrievable from any database; fused instead to the store, the system would gain the same encoding but would require every database to adopt its format, converting an open architecture into a proprietary one. The former is specified here; the latter remains declined. (Drafting record, Pass 116, September 6, 2026: added upon the inventor’s direction to implement a Fact Unit fused with the record. The encoding and query interface are additive extensions of §3.8.7 operating within the system boundary; no field of §3.1, no layer of §3.6, and no behaviour of §3.7 is removed or altered. The record remains an assertion record and concepts remain in the World-View Model; the previously-removed mandatory external fact-transport format and external fact-query language, which would require a host store to understand the record, remain removed; and the database-neutral property is preserved and, per §3.9.4, strengthened.)</w:t>
      </w: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III: Ingestion Pipeline</w:t>
      </w:r>
    </w:p>
    <w:p>
      <w:pPr>
        <w:pStyle w:val="Heading1"/>
        <w:spacing w:after="120" w:before="240" w:line="288" w:lineRule="auto"/>
      </w:pPr>
      <w:r>
        <w:rPr>
          <w:rFonts w:ascii="Calibri" w:cs="Calibri" w:eastAsia="Calibri" w:hAnsi="Calibri"/>
          <w:color w:val="000000"/>
          <w:sz w:val="48"/>
          <w:szCs w:val="48"/>
        </w:rPr>
        <w:t xml:space="preserve">Chapter 4: Multimodal Ingestion Pipeline — Complete Specification</w:t>
      </w:r>
    </w:p>
    <w:p>
      <w:pPr>
        <w:pStyle w:val="Heading2"/>
        <w:spacing w:after="120" w:before="240" w:line="288" w:lineRule="auto"/>
      </w:pPr>
      <w:r>
        <w:rPr>
          <w:rFonts w:ascii="Calibri" w:cs="Calibri" w:eastAsia="Calibri" w:hAnsi="Calibri"/>
          <w:color w:val="000000"/>
          <w:sz w:val="36"/>
          <w:szCs w:val="36"/>
        </w:rPr>
        <w:t xml:space="preserve">4.1 Pipeline Architecture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QueryBook Ingestion Pipeline is a six-stage sequential processing architecture with parallel branch processors for each supported input modality. Each stage is independently scalable and failure-isolated; a failure in one modality's branch processor does not propagate to other modality branches processing the same ingestion event.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Whatever form a source takes — an ebook's prose, a podcast's audio, a lecture's video, a live sensor feed, a running application's structured output, a web page — this pipeline reduces it to the same underlying unit: the Fact Unit, the atom this Bible's Fact Graph is built from (§1.1). The reduction is not mere reformatting; it is architecturally the same pattern this Bible's Sensory Abstraction Pipeline specifies for embodied agents (§55.1–§55.2): modality-specific raw input converted into structured, storable concepts before any reasoning occurs over it. Audiobooks, video, web pages, live data feeds, applications, and sensor data are not separate integrations bolted onto a text-first system — they are the same eight-modality pipeline (§4.2) QueryBook was built with from the start.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53%"/>
            <w:shd w:fill="DCE6F0" w:color="auto" w:val="clear"/>
          </w:tcPr>
          <w:p>
            <w:r>
              <w:rPr>
                <w:rFonts w:ascii="Calibri" w:cs="Calibri" w:eastAsia="Calibri" w:hAnsi="Calibri"/>
                <w:b/>
                <w:bCs/>
                <w:i w:val="false"/>
                <w:iCs w:val="false"/>
                <w:strike w:val="false"/>
                <w:color w:val="0D2A5E"/>
                <w:sz w:val="20"/>
                <w:szCs w:val="20"/>
              </w:rPr>
              <w:t xml:space="preserve">Primary Operations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6%"/>
          </w:tcPr>
          <w:p>
            <w:r>
              <w:rPr>
                <w:rFonts w:ascii="Calibri" w:cs="Calibri" w:eastAsia="Calibri" w:hAnsi="Calibri"/>
                <w:b w:val="false"/>
                <w:bCs w:val="false"/>
                <w:i w:val="false"/>
                <w:iCs w:val="false"/>
                <w:strike w:val="false"/>
                <w:color w:val="000000"/>
                <w:sz w:val="20"/>
                <w:szCs w:val="20"/>
              </w:rPr>
              <w:t xml:space="preserve">Source Acquisition and Normalization</w:t>
            </w:r>
          </w:p>
        </w:tc>
        <w:tc>
          <w:tcPr>
            <w:tcW w:type="pct" w:w="53%"/>
          </w:tcPr>
          <w:p>
            <w:r>
              <w:rPr>
                <w:rFonts w:ascii="Calibri" w:cs="Calibri" w:eastAsia="Calibri" w:hAnsi="Calibri"/>
                <w:b w:val="false"/>
                <w:bCs w:val="false"/>
                <w:i w:val="false"/>
                <w:iCs w:val="false"/>
                <w:strike w:val="false"/>
                <w:color w:val="000000"/>
                <w:sz w:val="20"/>
                <w:szCs w:val="20"/>
              </w:rPr>
              <w:t xml:space="preserve">Fetch raw data from source system; apply encoding normalization; compute source checksum; assign StreamID and ingestion epoch; apply decompression</w:t>
            </w:r>
          </w:p>
        </w:tc>
        <w:tc>
          <w:tcPr>
            <w:tcW w:type="pct" w:w="23%"/>
          </w:tcPr>
          <w:p>
            <w:r>
              <w:rPr>
                <w:rFonts w:ascii="Calibri" w:cs="Calibri" w:eastAsia="Calibri" w:hAnsi="Calibri"/>
                <w:b w:val="false"/>
                <w:bCs w:val="false"/>
                <w:i w:val="false"/>
                <w:iCs w:val="false"/>
                <w:strike w:val="false"/>
                <w:color w:val="000000"/>
                <w:sz w:val="20"/>
                <w:szCs w:val="20"/>
              </w:rPr>
              <w:t xml:space="preserve">Normalized raw byte stream with source metadata</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6%"/>
          </w:tcPr>
          <w:p>
            <w:r>
              <w:rPr>
                <w:rFonts w:ascii="Calibri" w:cs="Calibri" w:eastAsia="Calibri" w:hAnsi="Calibri"/>
                <w:b w:val="false"/>
                <w:bCs w:val="false"/>
                <w:i w:val="false"/>
                <w:iCs w:val="false"/>
                <w:strike w:val="false"/>
                <w:color w:val="000000"/>
                <w:sz w:val="20"/>
                <w:szCs w:val="20"/>
              </w:rPr>
              <w:t xml:space="preserve">Modality Detection and Segmentation</w:t>
            </w:r>
          </w:p>
        </w:tc>
        <w:tc>
          <w:tcPr>
            <w:tcW w:type="pct" w:w="53%"/>
          </w:tcPr>
          <w:p>
            <w:r>
              <w:rPr>
                <w:rFonts w:ascii="Calibri" w:cs="Calibri" w:eastAsia="Calibri" w:hAnsi="Calibri"/>
                <w:b w:val="false"/>
                <w:bCs w:val="false"/>
                <w:i w:val="false"/>
                <w:iCs w:val="false"/>
                <w:strike w:val="false"/>
                <w:color w:val="000000"/>
                <w:sz w:val="20"/>
                <w:szCs w:val="20"/>
              </w:rPr>
              <w:t xml:space="preserve">Detect MIME type and modality; segment composite inputs (e.g., PDFs with embedded images); route each segment to its modality branch processor</w:t>
            </w:r>
          </w:p>
        </w:tc>
        <w:tc>
          <w:tcPr>
            <w:tcW w:type="pct" w:w="23%"/>
          </w:tcPr>
          <w:p>
            <w:r>
              <w:rPr>
                <w:rFonts w:ascii="Calibri" w:cs="Calibri" w:eastAsia="Calibri" w:hAnsi="Calibri"/>
                <w:b w:val="false"/>
                <w:bCs w:val="false"/>
                <w:i w:val="false"/>
                <w:iCs w:val="false"/>
                <w:strike w:val="false"/>
                <w:color w:val="000000"/>
                <w:sz w:val="20"/>
                <w:szCs w:val="20"/>
              </w:rPr>
              <w:t xml:space="preserve">Modality-tagged segments with routing headers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6%"/>
          </w:tcPr>
          <w:p>
            <w:r>
              <w:rPr>
                <w:rFonts w:ascii="Calibri" w:cs="Calibri" w:eastAsia="Calibri" w:hAnsi="Calibri"/>
                <w:b w:val="false"/>
                <w:bCs w:val="false"/>
                <w:i w:val="false"/>
                <w:iCs w:val="false"/>
                <w:strike w:val="false"/>
                <w:color w:val="000000"/>
                <w:sz w:val="20"/>
                <w:szCs w:val="20"/>
              </w:rPr>
              <w:t xml:space="preserve">Semantic Extraction and Parsing</w:t>
            </w:r>
          </w:p>
        </w:tc>
        <w:tc>
          <w:tcPr>
            <w:tcW w:type="pct" w:w="53%"/>
          </w:tcPr>
          <w:p>
            <w:r>
              <w:rPr>
                <w:rFonts w:ascii="Calibri" w:cs="Calibri" w:eastAsia="Calibri" w:hAnsi="Calibri"/>
                <w:b w:val="false"/>
                <w:bCs w:val="false"/>
                <w:i w:val="false"/>
                <w:iCs w:val="false"/>
                <w:strike w:val="false"/>
                <w:color w:val="000000"/>
                <w:sz w:val="20"/>
                <w:szCs w:val="20"/>
              </w:rPr>
              <w:t xml:space="preserve">Apply modality-specific parsers; extract semantic content; produce intermediate semantic representations (ISRs)</w:t>
            </w:r>
          </w:p>
        </w:tc>
        <w:tc>
          <w:tcPr>
            <w:tcW w:type="pct" w:w="23%"/>
          </w:tcPr>
          <w:p>
            <w:r>
              <w:rPr>
                <w:rFonts w:ascii="Calibri" w:cs="Calibri" w:eastAsia="Calibri" w:hAnsi="Calibri"/>
                <w:b w:val="false"/>
                <w:bCs w:val="false"/>
                <w:i w:val="false"/>
                <w:iCs w:val="false"/>
                <w:strike w:val="false"/>
                <w:color w:val="000000"/>
                <w:sz w:val="20"/>
                <w:szCs w:val="20"/>
              </w:rPr>
              <w:t xml:space="preserve">Intermediate Semantic Representations per segment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6%"/>
          </w:tcPr>
          <w:p>
            <w:r>
              <w:rPr>
                <w:rFonts w:ascii="Calibri" w:cs="Calibri" w:eastAsia="Calibri" w:hAnsi="Calibri"/>
                <w:b w:val="false"/>
                <w:bCs w:val="false"/>
                <w:i w:val="false"/>
                <w:iCs w:val="false"/>
                <w:strike w:val="false"/>
                <w:color w:val="000000"/>
                <w:sz w:val="20"/>
                <w:szCs w:val="20"/>
              </w:rPr>
              <w:t xml:space="preserve">Entity and Relation Recognition</w:t>
            </w:r>
          </w:p>
        </w:tc>
        <w:tc>
          <w:tcPr>
            <w:tcW w:type="pct" w:w="53%"/>
          </w:tcPr>
          <w:p>
            <w:r>
              <w:rPr>
                <w:rFonts w:ascii="Calibri" w:cs="Calibri" w:eastAsia="Calibri" w:hAnsi="Calibri"/>
                <w:b w:val="false"/>
                <w:bCs w:val="false"/>
                <w:i w:val="false"/>
                <w:iCs w:val="false"/>
                <w:strike w:val="false"/>
                <w:color w:val="000000"/>
                <w:sz w:val="20"/>
                <w:szCs w:val="20"/>
              </w:rPr>
              <w:t xml:space="preserve">Named Entity Recognition (NER); coreference resolution; entity disambiguation; predicate extraction; relation identification</w:t>
            </w:r>
          </w:p>
        </w:tc>
        <w:tc>
          <w:tcPr>
            <w:tcW w:type="pct" w:w="23%"/>
          </w:tcPr>
          <w:p>
            <w:r>
              <w:rPr>
                <w:rFonts w:ascii="Calibri" w:cs="Calibri" w:eastAsia="Calibri" w:hAnsi="Calibri"/>
                <w:b w:val="false"/>
                <w:bCs w:val="false"/>
                <w:i w:val="false"/>
                <w:iCs w:val="false"/>
                <w:strike w:val="false"/>
                <w:color w:val="000000"/>
                <w:sz w:val="20"/>
                <w:szCs w:val="20"/>
              </w:rPr>
              <w:t xml:space="preserve">Annotated ISRs with resolved EntityRefs and PredicateRefs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6%"/>
          </w:tcPr>
          <w:p>
            <w:r>
              <w:rPr>
                <w:rFonts w:ascii="Calibri" w:cs="Calibri" w:eastAsia="Calibri" w:hAnsi="Calibri"/>
                <w:b w:val="false"/>
                <w:bCs w:val="false"/>
                <w:i w:val="false"/>
                <w:iCs w:val="false"/>
                <w:strike w:val="false"/>
                <w:color w:val="000000"/>
                <w:sz w:val="20"/>
                <w:szCs w:val="20"/>
              </w:rPr>
              <w:t xml:space="preserve">Fact Unit Construction and Validation</w:t>
            </w:r>
          </w:p>
        </w:tc>
        <w:tc>
          <w:tcPr>
            <w:tcW w:type="pct" w:w="53%"/>
          </w:tcPr>
          <w:p>
            <w:r>
              <w:rPr>
                <w:rFonts w:ascii="Calibri" w:cs="Calibri" w:eastAsia="Calibri" w:hAnsi="Calibri"/>
                <w:b w:val="false"/>
                <w:bCs w:val="false"/>
                <w:i w:val="false"/>
                <w:iCs w:val="false"/>
                <w:strike w:val="false"/>
                <w:color w:val="000000"/>
                <w:sz w:val="20"/>
                <w:szCs w:val="20"/>
              </w:rPr>
              <w:t xml:space="preserve">Assemble Fact Unit candidates from annotated ISRs; compute SemanticHash; assign FUID; execute Ontology Mesh validation; invoke Safety Substrate pre-insertion checks</w:t>
            </w:r>
          </w:p>
        </w:tc>
        <w:tc>
          <w:tcPr>
            <w:tcW w:type="pct" w:w="23%"/>
          </w:tcPr>
          <w:p>
            <w:r>
              <w:rPr>
                <w:rFonts w:ascii="Calibri" w:cs="Calibri" w:eastAsia="Calibri" w:hAnsi="Calibri"/>
                <w:b w:val="false"/>
                <w:bCs w:val="false"/>
                <w:i w:val="false"/>
                <w:iCs w:val="false"/>
                <w:strike w:val="false"/>
                <w:color w:val="000000"/>
                <w:sz w:val="20"/>
                <w:szCs w:val="20"/>
              </w:rPr>
              <w:t xml:space="preserve">Validated Fact Unit candidates in DRAFT state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6%"/>
          </w:tcPr>
          <w:p>
            <w:r>
              <w:rPr>
                <w:rFonts w:ascii="Calibri" w:cs="Calibri" w:eastAsia="Calibri" w:hAnsi="Calibri"/>
                <w:b w:val="false"/>
                <w:bCs w:val="false"/>
                <w:i w:val="false"/>
                <w:iCs w:val="false"/>
                <w:strike w:val="false"/>
                <w:color w:val="000000"/>
                <w:sz w:val="20"/>
                <w:szCs w:val="20"/>
              </w:rPr>
              <w:t xml:space="preserve">Graph Insertion and Index Update</w:t>
            </w:r>
          </w:p>
        </w:tc>
        <w:tc>
          <w:tcPr>
            <w:tcW w:type="pct" w:w="53%"/>
          </w:tcPr>
          <w:p>
            <w:r>
              <w:rPr>
                <w:rFonts w:ascii="Calibri" w:cs="Calibri" w:eastAsia="Calibri" w:hAnsi="Calibri"/>
                <w:b w:val="false"/>
                <w:bCs w:val="false"/>
                <w:i w:val="false"/>
                <w:iCs w:val="false"/>
                <w:strike w:val="false"/>
                <w:color w:val="000000"/>
                <w:sz w:val="20"/>
                <w:szCs w:val="20"/>
              </w:rPr>
              <w:t xml:space="preserve">Execute deduplication protocol; insert new Fact Units into Fact Graph; update Vector Index with EmbeddingVectors; update Semantic Hash Index; write Provenance Records; transition Fact Units to ACTIVE state</w:t>
            </w:r>
          </w:p>
        </w:tc>
        <w:tc>
          <w:tcPr>
            <w:tcW w:type="pct" w:w="23%"/>
          </w:tcPr>
          <w:p>
            <w:r>
              <w:rPr>
                <w:rFonts w:ascii="Calibri" w:cs="Calibri" w:eastAsia="Calibri" w:hAnsi="Calibri"/>
                <w:b w:val="false"/>
                <w:bCs w:val="false"/>
                <w:i w:val="false"/>
                <w:iCs w:val="false"/>
                <w:strike w:val="false"/>
                <w:color w:val="000000"/>
                <w:sz w:val="20"/>
                <w:szCs w:val="20"/>
              </w:rPr>
              <w:t xml:space="preserve">Active Fact Units in Fact Graph; updated indexes; Provenance Records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4.2 Supported Input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Ingestion Pipeline supports the following eight distinct input modalities, each with dedicated branch processors at Stages 3 and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Modality</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Bitmask Bit</w:t>
            </w:r>
          </w:p>
        </w:tc>
        <w:tc>
          <w:tcPr>
            <w:tcW w:type="pct" w:w="79%"/>
            <w:shd w:fill="DCE6F0" w:color="auto" w:val="clear"/>
          </w:tcPr>
          <w:p>
            <w:r>
              <w:rPr>
                <w:rFonts w:ascii="Calibri" w:cs="Calibri" w:eastAsia="Calibri" w:hAnsi="Calibri"/>
                <w:b/>
                <w:bCs/>
                <w:i w:val="false"/>
                <w:iCs w:val="false"/>
                <w:strike w:val="false"/>
                <w:color w:val="0D2A5E"/>
                <w:sz w:val="20"/>
                <w:szCs w:val="20"/>
              </w:rPr>
              <w:t xml:space="preserve">Supported Formats and Sources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Unstructured Text</w:t>
            </w:r>
          </w:p>
        </w:tc>
        <w:tc>
          <w:tcPr>
            <w:tcW w:type="pct" w:w="9%"/>
          </w:tcPr>
          <w:p>
            <w:r>
              <w:rPr>
                <w:rFonts w:ascii="Calibri" w:cs="Calibri" w:eastAsia="Calibri" w:hAnsi="Calibri"/>
                <w:b w:val="false"/>
                <w:bCs w:val="false"/>
                <w:i w:val="false"/>
                <w:iCs w:val="false"/>
                <w:strike w:val="false"/>
                <w:color w:val="000000"/>
                <w:sz w:val="20"/>
                <w:szCs w:val="20"/>
              </w:rPr>
              <w:t xml:space="preserve">Bit 0</w:t>
            </w:r>
          </w:p>
        </w:tc>
        <w:tc>
          <w:tcPr>
            <w:tcW w:type="pct" w:w="79%"/>
          </w:tcPr>
          <w:p>
            <w:r>
              <w:rPr>
                <w:rFonts w:ascii="Calibri" w:cs="Calibri" w:eastAsia="Calibri" w:hAnsi="Calibri"/>
                <w:b w:val="false"/>
                <w:bCs w:val="false"/>
                <w:i w:val="false"/>
                <w:iCs w:val="false"/>
                <w:strike w:val="false"/>
                <w:color w:val="000000"/>
                <w:sz w:val="20"/>
                <w:szCs w:val="20"/>
              </w:rPr>
              <w:t xml:space="preserve">Web documents (HTML, XHTML), PDF, DOCX, EPUB, plain text (UTF-8, UTF-16), email (RFC 5322, MIME), transcripts, books (EPUB, PDF), social media posts, news feeds (RSS/Atom), markdown, LaTeX, RTF</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Structured Data</w:t>
            </w:r>
          </w:p>
        </w:tc>
        <w:tc>
          <w:tcPr>
            <w:tcW w:type="pct" w:w="9%"/>
          </w:tcPr>
          <w:p>
            <w:r>
              <w:rPr>
                <w:rFonts w:ascii="Calibri" w:cs="Calibri" w:eastAsia="Calibri" w:hAnsi="Calibri"/>
                <w:b w:val="false"/>
                <w:bCs w:val="false"/>
                <w:i w:val="false"/>
                <w:iCs w:val="false"/>
                <w:strike w:val="false"/>
                <w:color w:val="000000"/>
                <w:sz w:val="20"/>
                <w:szCs w:val="20"/>
              </w:rPr>
              <w:t xml:space="preserve">Bit 4</w:t>
            </w:r>
          </w:p>
        </w:tc>
        <w:tc>
          <w:tcPr>
            <w:tcW w:type="pct" w:w="79%"/>
          </w:tcPr>
          <w:p>
            <w:r>
              <w:rPr>
                <w:rFonts w:ascii="Calibri" w:cs="Calibri" w:eastAsia="Calibri" w:hAnsi="Calibri"/>
                <w:b w:val="false"/>
                <w:bCs w:val="false"/>
                <w:i w:val="false"/>
                <w:iCs w:val="false"/>
                <w:strike w:val="false"/>
                <w:color w:val="000000"/>
                <w:sz w:val="20"/>
                <w:szCs w:val="20"/>
              </w:rPr>
              <w:t xml:space="preserve">Relational tables (SQL dump, query results), CSV, TSV, JSON, JSON-LD, XML, YAML, TOML, spreadsheets (XLSX, ODS), protocol buffers, Apache Avro, Apache Parquet, Apache Arrow, HDF5</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Images</w:t>
            </w:r>
          </w:p>
        </w:tc>
        <w:tc>
          <w:tcPr>
            <w:tcW w:type="pct" w:w="9%"/>
          </w:tcPr>
          <w:p>
            <w:r>
              <w:rPr>
                <w:rFonts w:ascii="Calibri" w:cs="Calibri" w:eastAsia="Calibri" w:hAnsi="Calibri"/>
                <w:b w:val="false"/>
                <w:bCs w:val="false"/>
                <w:i w:val="false"/>
                <w:iCs w:val="false"/>
                <w:strike w:val="false"/>
                <w:color w:val="000000"/>
                <w:sz w:val="20"/>
                <w:szCs w:val="20"/>
              </w:rPr>
              <w:t xml:space="preserve">Bit 1</w:t>
            </w:r>
          </w:p>
        </w:tc>
        <w:tc>
          <w:tcPr>
            <w:tcW w:type="pct" w:w="79%"/>
          </w:tcPr>
          <w:p>
            <w:r>
              <w:rPr>
                <w:rFonts w:ascii="Calibri" w:cs="Calibri" w:eastAsia="Calibri" w:hAnsi="Calibri"/>
                <w:b w:val="false"/>
                <w:bCs w:val="false"/>
                <w:i w:val="false"/>
                <w:iCs w:val="false"/>
                <w:strike w:val="false"/>
                <w:color w:val="000000"/>
                <w:sz w:val="20"/>
                <w:szCs w:val="20"/>
              </w:rPr>
              <w:t xml:space="preserve">Photographs (JPEG, PNG, HEIC, WEBP, TIFF), diagrams (SVG, PNG vector), charts (PNG, JPEG), maps (GeoTIFF, PNG), infographics, satellite imagery (GeoTIFF, COG), medical imaging (DICOM), scientific images (FITS)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Audio</w:t>
            </w:r>
          </w:p>
        </w:tc>
        <w:tc>
          <w:tcPr>
            <w:tcW w:type="pct" w:w="9%"/>
          </w:tcPr>
          <w:p>
            <w:r>
              <w:rPr>
                <w:rFonts w:ascii="Calibri" w:cs="Calibri" w:eastAsia="Calibri" w:hAnsi="Calibri"/>
                <w:b w:val="false"/>
                <w:bCs w:val="false"/>
                <w:i w:val="false"/>
                <w:iCs w:val="false"/>
                <w:strike w:val="false"/>
                <w:color w:val="000000"/>
                <w:sz w:val="20"/>
                <w:szCs w:val="20"/>
              </w:rPr>
              <w:t xml:space="preserve">Bit 2</w:t>
            </w:r>
          </w:p>
        </w:tc>
        <w:tc>
          <w:tcPr>
            <w:tcW w:type="pct" w:w="79%"/>
          </w:tcPr>
          <w:p>
            <w:r>
              <w:rPr>
                <w:rFonts w:ascii="Calibri" w:cs="Calibri" w:eastAsia="Calibri" w:hAnsi="Calibri"/>
                <w:b w:val="false"/>
                <w:bCs w:val="false"/>
                <w:i w:val="false"/>
                <w:iCs w:val="false"/>
                <w:strike w:val="false"/>
                <w:color w:val="000000"/>
                <w:sz w:val="20"/>
                <w:szCs w:val="20"/>
              </w:rPr>
              <w:t xml:space="preserve">Speech recordings (WAV, MP3, FLAC, AAC, OGG), music, environmental sound, recorded interviews, telephone call recordings (WAV, MP3), podcast audio, broadcast audio</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Video</w:t>
            </w:r>
          </w:p>
        </w:tc>
        <w:tc>
          <w:tcPr>
            <w:tcW w:type="pct" w:w="9%"/>
          </w:tcPr>
          <w:p>
            <w:r>
              <w:rPr>
                <w:rFonts w:ascii="Calibri" w:cs="Calibri" w:eastAsia="Calibri" w:hAnsi="Calibri"/>
                <w:b w:val="false"/>
                <w:bCs w:val="false"/>
                <w:i w:val="false"/>
                <w:iCs w:val="false"/>
                <w:strike w:val="false"/>
                <w:color w:val="000000"/>
                <w:sz w:val="20"/>
                <w:szCs w:val="20"/>
              </w:rPr>
              <w:t xml:space="preserve">Bit 3</w:t>
            </w:r>
          </w:p>
        </w:tc>
        <w:tc>
          <w:tcPr>
            <w:tcW w:type="pct" w:w="79%"/>
          </w:tcPr>
          <w:p>
            <w:r>
              <w:rPr>
                <w:rFonts w:ascii="Calibri" w:cs="Calibri" w:eastAsia="Calibri" w:hAnsi="Calibri"/>
                <w:b w:val="false"/>
                <w:bCs w:val="false"/>
                <w:i w:val="false"/>
                <w:iCs w:val="false"/>
                <w:strike w:val="false"/>
                <w:color w:val="000000"/>
                <w:sz w:val="20"/>
                <w:szCs w:val="20"/>
              </w:rPr>
              <w:t xml:space="preserve">Raw video (MP4, MKV, AVI, MOV, WEBM), screen recordings, lecture videos, surveillance footage, broadcast video, video with embedded closed captions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Sensor Data</w:t>
            </w:r>
          </w:p>
        </w:tc>
        <w:tc>
          <w:tcPr>
            <w:tcW w:type="pct" w:w="9%"/>
          </w:tcPr>
          <w:p>
            <w:r>
              <w:rPr>
                <w:rFonts w:ascii="Calibri" w:cs="Calibri" w:eastAsia="Calibri" w:hAnsi="Calibri"/>
                <w:b w:val="false"/>
                <w:bCs w:val="false"/>
                <w:i w:val="false"/>
                <w:iCs w:val="false"/>
                <w:strike w:val="false"/>
                <w:color w:val="000000"/>
                <w:sz w:val="20"/>
                <w:szCs w:val="20"/>
              </w:rPr>
              <w:t xml:space="preserve">Bit 5</w:t>
            </w:r>
          </w:p>
        </w:tc>
        <w:tc>
          <w:tcPr>
            <w:tcW w:type="pct" w:w="79%"/>
          </w:tcPr>
          <w:p>
            <w:r>
              <w:rPr>
                <w:rFonts w:ascii="Calibri" w:cs="Calibri" w:eastAsia="Calibri" w:hAnsi="Calibri"/>
                <w:b w:val="false"/>
                <w:bCs w:val="false"/>
                <w:i w:val="false"/>
                <w:iCs w:val="false"/>
                <w:strike w:val="false"/>
                <w:color w:val="000000"/>
                <w:sz w:val="20"/>
                <w:szCs w:val="20"/>
              </w:rPr>
              <w:t xml:space="preserve">IoT telemetry (MQTT payloads, CSV time series), biometric streams (ECG, EEG, HRV), environmental sensors (temperature, humidity, air quality), financial tick data (FIX protocol, CSV), GPS traces, LIDAR point clouds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Graphs</w:t>
            </w:r>
          </w:p>
        </w:tc>
        <w:tc>
          <w:tcPr>
            <w:tcW w:type="pct" w:w="9%"/>
          </w:tcPr>
          <w:p>
            <w:r>
              <w:rPr>
                <w:rFonts w:ascii="Calibri" w:cs="Calibri" w:eastAsia="Calibri" w:hAnsi="Calibri"/>
                <w:b w:val="false"/>
                <w:bCs w:val="false"/>
                <w:i w:val="false"/>
                <w:iCs w:val="false"/>
                <w:strike w:val="false"/>
                <w:color w:val="000000"/>
                <w:sz w:val="20"/>
                <w:szCs w:val="20"/>
              </w:rPr>
              <w:t xml:space="preserve">Bit 6</w:t>
            </w:r>
          </w:p>
        </w:tc>
        <w:tc>
          <w:tcPr>
            <w:tcW w:type="pct" w:w="79%"/>
          </w:tcPr>
          <w:p>
            <w:r>
              <w:rPr>
                <w:rFonts w:ascii="Calibri" w:cs="Calibri" w:eastAsia="Calibri" w:hAnsi="Calibri"/>
                <w:b w:val="false"/>
                <w:bCs w:val="false"/>
                <w:i w:val="false"/>
                <w:iCs w:val="false"/>
                <w:strike w:val="false"/>
                <w:color w:val="000000"/>
                <w:sz w:val="20"/>
                <w:szCs w:val="20"/>
              </w:rPr>
              <w:t xml:space="preserve">RDF/OWL (Turtle, N-Triples, RDF/XML, JSON-LD), property graphs (GraphML, Cypher dump), Wikidata JSON exports, SPARQL query results (SPARQL XML, JSON), SKOS taxonomies, schema.org markup</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Code</w:t>
            </w:r>
          </w:p>
        </w:tc>
        <w:tc>
          <w:tcPr>
            <w:tcW w:type="pct" w:w="9%"/>
          </w:tcPr>
          <w:p>
            <w:r>
              <w:rPr>
                <w:rFonts w:ascii="Calibri" w:cs="Calibri" w:eastAsia="Calibri" w:hAnsi="Calibri"/>
                <w:b w:val="false"/>
                <w:bCs w:val="false"/>
                <w:i w:val="false"/>
                <w:iCs w:val="false"/>
                <w:strike w:val="false"/>
                <w:color w:val="000000"/>
                <w:sz w:val="20"/>
                <w:szCs w:val="20"/>
              </w:rPr>
              <w:t xml:space="preserve">Bit 7</w:t>
            </w:r>
          </w:p>
        </w:tc>
        <w:tc>
          <w:tcPr>
            <w:tcW w:type="pct" w:w="79%"/>
          </w:tcPr>
          <w:p>
            <w:r>
              <w:rPr>
                <w:rFonts w:ascii="Calibri" w:cs="Calibri" w:eastAsia="Calibri" w:hAnsi="Calibri"/>
                <w:b w:val="false"/>
                <w:bCs w:val="false"/>
                <w:i w:val="false"/>
                <w:iCs w:val="false"/>
                <w:strike w:val="false"/>
                <w:color w:val="000000"/>
                <w:sz w:val="20"/>
                <w:szCs w:val="20"/>
              </w:rPr>
              <w:t xml:space="preserve">Source code files (all major programming languages), API specification schemas (OpenAPI, AsyncAPI, JSON Schema, Protobuf .proto), configuration files (YAML, TOML, JSON, HCL), infrastructure-as-code (Terraform, Kubernetes YAML, Dockerfile), shell scripts, Jupyter notebooks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4.2.1 Content Outside the Eight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eight modalities in §4.2 are broad, but not unbounded — a genuinely novel file format, or a composite artifact that doesn't cleanly resolve to a single bitmask bit, is a real possibility this Bible did not previously specify behavior for. This section closes that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Best-effort classification is attempted first: an artifact that doesn't match a listed format exactly may still resolve cleanly to one of the eight modalities by its underlying structure — an unlisted but structurally ordinary container format for unstructured text, for instance, still resolves to the Unstructured Text modality (Bit 0) rather than being rejected on format-name technicality.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no reasonable resolution exists, ingestion halts for that artifact with a stated reason — not a silent drop, and not a forced fit into the nearest modality regardless of actual structure. This is the same non-silent-failure discipline already applied to ΔE validation (§70.3), registration drift (§70.4), and ambiguous NLPL compilation (§48.4.1) — a Fact Unit is not manufactured from content the pipeline cannot actually classify.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halted artifact is retained in its original form, not discarded, so a future modality addition or a manual author decision can resolve it later without requiring the source to be re-uploaded.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A CLASSIFICATION FALLBACK, NOT A NINTH MODALITY</w:t>
            </w:r>
            <w:r>
              <w:rPr>
                <w:rFonts w:ascii="Calibri" w:cs="Calibri" w:eastAsia="Calibri" w:hAnsi="Calibri"/>
                <w:b/>
                <w:bCs/>
                <w:i w:val="false"/>
                <w:iCs w:val="false"/>
                <w:strike w:val="false"/>
                <w:color w:val="333333"/>
                <w:sz w:val="24"/>
                <w:szCs w:val="24"/>
              </w:rPr>
              <w:t xml:space="preserve">This section does not add a ninth input modality or an open-ended “accept anything” ingestion path. It specifies what happens at the edges of the eight modalities already defined in §4.2 — attempt honest classification, and fail visibly rather than silently when honest classification isn't possible. Every Fact Unit that does result still carries the same ConfidenceScore, provenance, and safety-flag fields as any other (Appendix 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 Per-Modality Extraction Specifications</w:t>
      </w:r>
    </w:p>
    <w:p>
      <w:pPr>
        <w:pStyle w:val="Heading3"/>
        <w:spacing w:after="120" w:before="240" w:line="288" w:lineRule="auto"/>
      </w:pPr>
      <w:r>
        <w:rPr>
          <w:rFonts w:ascii="Calibri" w:cs="Calibri" w:eastAsia="Calibri" w:hAnsi="Calibri"/>
          <w:color w:val="000000"/>
          <w:sz w:val="30"/>
          <w:szCs w:val="30"/>
        </w:rPr>
        <w:t xml:space="preserve">4.3.1 Unstructured Text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Multi-stage NLP pipeline: sentence segmentation, tokenization, dependency parsing, constituency parsing, semantic role labeling (SRL), open information extraction (OpenIE), discourse parsing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encoder (minimum 1B parameters) fine-tuned on diverse text corpora for SRL and OpenIE; outputs (Subject, Predicate, Object) tuples from each sentence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ASSERTION, DEFINITION, CLAIM, QUOTATION, EVENT_DESCRIPTION, TEMPORAL_STATEMENT, CAUSAL_CLAIM, COMPARISON, INSTRUCTION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Base confidence from SRL probability × source reliability weight × temporal relevance decay; calibrated against held-out verification set with Platt scaling</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input: retry with fallback OCR if text extraction fails; encoding errors: attempt UTF-8/Latin-1/Windows-1252 detection cascade; semantic parse failure: store as UNSTRUCTURED_TEXT Fact Unit with reduced confidence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4.3.2 Structured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Schema inference for schemaless formats (CSV, JSON); schema-driven parsing for typed formats (Parquet, Avro); relational decomposition into atomic (entity, attribute, value) triples; foreign key traversal for relational 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Rule-based schema mapper with LLM-assisted column header semantic labeling; maps column names and data types to Predicate Library entries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ENTITY_ATTRIBUTE, MEASUREMENT, STATISTIC, RECORD, TIME_SERIES_POINT, CLASSIFICATION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Structured data receives baseline confidence 0.85; adjusted by: schema validation pass/fail (±0.10), source authority rating (±0.15), data freshness (temporal decay)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Schema parse failure: attempt schema inference; type coercion errors: log and skip with dead-letter queue entry; missing required fields: create partial Fact Unit with INCOMPLETE flag in AnnotationSet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4.3.3 Image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(bounding box + class label); scene classification; OCR for embedded text; chart/diagram parsing; face and landmark recognition (where permitted by SafetyFlags); medical image segmentation (DICOM)</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Vision-language model (VLM) for holistic image description; specialized models for chart parsing and medical imaging; EXIF metadata extraction for geolocation and timestamp</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VISUAL_OBSERVATION, DEPICTED_ENTITY, CHART_DATA_POINT, MAP_LOCATION, MEDICAL_FINDING, TEXT_IN_IMAGE, SCENE_DESCRIPTION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Object detection confidence from model output; scene classification softmax probability; OCR character-level confidence averaged to word level; VLM-generated descriptions capped at 0.75 without secondary verification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Corrupted image: attempt partial decoding; unsupported format: convert via image transcoding service; model timeout: queue for batch processing with priority downgrade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4.3.4 Audio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Automatic Speech Recognition (ASR) with speaker diarization; acoustic event detection; music analysis (tempo, key, genre); sentiment and prosody analysis from speech</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Transformer-based ASR model (minimum 300M parameters); NLP pipeline applied to transcripts; speaker embedding model for diarization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SPOKEN_STATEMENT (attributed to speaker), ACOUSTIC_EVENT, INTERVIEW_EXCHANGE, AUDIO_METADATA</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ASR word-level confidence averaged to sentence level; diarization confidence as speaker attribution probability; acoustic event confidence from detection model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High noise audio: apply noise reduction preprocessing; multiple overlapping speakers: produce separate low-confidence Fact Units per detected voice; audio codec unsupported: transcode via FFmpeg adapter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4.3.5 Video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6%"/>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Extraction Method</w:t>
            </w:r>
          </w:p>
        </w:tc>
        <w:tc>
          <w:tcPr>
            <w:tcW w:type="pct" w:w="86%"/>
          </w:tcPr>
          <w:p>
            <w:r>
              <w:rPr>
                <w:rFonts w:ascii="Calibri" w:cs="Calibri" w:eastAsia="Calibri" w:hAnsi="Calibri"/>
                <w:b w:val="false"/>
                <w:bCs w:val="false"/>
                <w:i w:val="false"/>
                <w:iCs w:val="false"/>
                <w:strike w:val="false"/>
                <w:color w:val="000000"/>
                <w:sz w:val="20"/>
                <w:szCs w:val="20"/>
              </w:rPr>
              <w:t xml:space="preserve">Keyframe extraction at configurable interval (default: 1 frame per 2 seconds plus scene-change-triggered frames); apply Image Extraction to keyframes; apply Audio Extraction to audio track; extract embedded closed captions (SRT, VTT, CEA-608); temporal alignment of all streams</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Semantic Parser</w:t>
            </w:r>
          </w:p>
        </w:tc>
        <w:tc>
          <w:tcPr>
            <w:tcW w:type="pct" w:w="86%"/>
          </w:tcPr>
          <w:p>
            <w:r>
              <w:rPr>
                <w:rFonts w:ascii="Calibri" w:cs="Calibri" w:eastAsia="Calibri" w:hAnsi="Calibri"/>
                <w:b w:val="false"/>
                <w:bCs w:val="false"/>
                <w:i w:val="false"/>
                <w:iCs w:val="false"/>
                <w:strike w:val="false"/>
                <w:color w:val="000000"/>
                <w:sz w:val="20"/>
                <w:szCs w:val="20"/>
              </w:rPr>
              <w:t xml:space="preserve">Video-language model for scene understanding; temporal action recognition model; combined audio-visual fusion model for high-confidence event detection</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6%"/>
          </w:tcPr>
          <w:p>
            <w:r>
              <w:rPr>
                <w:rFonts w:ascii="Calibri" w:cs="Calibri" w:eastAsia="Calibri" w:hAnsi="Calibri"/>
                <w:b w:val="false"/>
                <w:bCs w:val="false"/>
                <w:i w:val="false"/>
                <w:iCs w:val="false"/>
                <w:strike w:val="false"/>
                <w:color w:val="000000"/>
                <w:sz w:val="20"/>
                <w:szCs w:val="20"/>
              </w:rPr>
              <w:t xml:space="preserve">VIDEO_EVENT, SCENE_SEGMENT, SPEAKER_TURN (from audio), DEPICTED_ENTITY_IN_VIDEO, CAPTION_STATEMENT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6%"/>
          </w:tcPr>
          <w:p>
            <w:r>
              <w:rPr>
                <w:rFonts w:ascii="Calibri" w:cs="Calibri" w:eastAsia="Calibri" w:hAnsi="Calibri"/>
                <w:b w:val="false"/>
                <w:bCs w:val="false"/>
                <w:i w:val="false"/>
                <w:iCs w:val="false"/>
                <w:strike w:val="false"/>
                <w:color w:val="000000"/>
                <w:sz w:val="20"/>
                <w:szCs w:val="20"/>
              </w:rPr>
              <w:t xml:space="preserve">Keyframe-derived facts: same as Image Extraction; audio track-derived facts: same as Audio Extraction; cross-modal agreement bonus: +0.10 when visual and audio signals independently support the same Fact Unit</w:t>
            </w:r>
          </w:p>
        </w:tc>
      </w:tr>
      <w:tr>
        <w:trPr>
          <w:tblHeader w:val="false"/>
        </w:trPr>
        <w:tc>
          <w:tcPr>
            <w:tcW w:type="pct" w:w="14%"/>
          </w:tcPr>
          <w:p>
            <w:r>
              <w:rPr>
                <w:rFonts w:ascii="Calibri" w:cs="Calibri" w:eastAsia="Calibri" w:hAnsi="Calibri"/>
                <w:b w:val="false"/>
                <w:bCs w:val="false"/>
                <w:i w:val="false"/>
                <w:iCs w:val="false"/>
                <w:strike w:val="false"/>
                <w:color w:val="000000"/>
                <w:sz w:val="20"/>
                <w:szCs w:val="20"/>
              </w:rPr>
              <w:t xml:space="preserve">Error Recovery</w:t>
            </w:r>
          </w:p>
        </w:tc>
        <w:tc>
          <w:tcPr>
            <w:tcW w:type="pct" w:w="86%"/>
          </w:tcPr>
          <w:p>
            <w:r>
              <w:rPr>
                <w:rFonts w:ascii="Calibri" w:cs="Calibri" w:eastAsia="Calibri" w:hAnsi="Calibri"/>
                <w:b w:val="false"/>
                <w:bCs w:val="false"/>
                <w:i w:val="false"/>
                <w:iCs w:val="false"/>
                <w:strike w:val="false"/>
                <w:color w:val="000000"/>
                <w:sz w:val="20"/>
                <w:szCs w:val="20"/>
              </w:rPr>
              <w:t xml:space="preserve">Corrupted video frames: skip and note gap in AnnotationSet; missing audio track: process visual stream only; excessive duration (&gt;4 hours): partition into segments with stream-level continuity tracking</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4.3.6 Sensor Data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Time series segmentation; anomaly detection; trend extraction; threshold event detection; statistical summary computation (mean, variance, min, max per window); pattern recognition for recurring events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Sensor schema registry-driven type mapping; unit-of-measure normalization to SI base units; IoT device metadata resolution from Device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MEASUREMENT, SENSOR_EVENT, ANOMALY, TREND, TIME_SERIES_SUMMARY, THRESHOLD_VIOLATION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Sensor accuracy rating from Device Registry × data freshness; anomaly confidence from statistical significance (p-value converted to confidence score); calibration verified against known reference values when available</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Dropped packets: interpolate if gap &lt;5% data-id="994" of window; sensor malfunction (out-of-range values): flag as SENSOR_ERROR FactType; clock drift: apply NTP-corrected timestamp reconciliation</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4.3.7 Knowledge Graph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4%"/>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Extraction Method</w:t>
            </w:r>
          </w:p>
        </w:tc>
        <w:tc>
          <w:tcPr>
            <w:tcW w:type="pct" w:w="84%"/>
          </w:tcPr>
          <w:p>
            <w:r>
              <w:rPr>
                <w:rFonts w:ascii="Calibri" w:cs="Calibri" w:eastAsia="Calibri" w:hAnsi="Calibri"/>
                <w:b w:val="false"/>
                <w:bCs w:val="false"/>
                <w:i w:val="false"/>
                <w:iCs w:val="false"/>
                <w:strike w:val="false"/>
                <w:color w:val="000000"/>
                <w:sz w:val="20"/>
                <w:szCs w:val="20"/>
              </w:rPr>
              <w:t xml:space="preserve">RDF triple parsing; OWL axiom extraction; property graph edge enumeration; SPARQL-based selective extraction; schema alignment to Ontology Mesh via CDRE mapping rules</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Semantic Parser</w:t>
            </w:r>
          </w:p>
        </w:tc>
        <w:tc>
          <w:tcPr>
            <w:tcW w:type="pct" w:w="84%"/>
          </w:tcPr>
          <w:p>
            <w:r>
              <w:rPr>
                <w:rFonts w:ascii="Calibri" w:cs="Calibri" w:eastAsia="Calibri" w:hAnsi="Calibri"/>
                <w:b w:val="false"/>
                <w:bCs w:val="false"/>
                <w:i w:val="false"/>
                <w:iCs w:val="false"/>
                <w:strike w:val="false"/>
                <w:color w:val="000000"/>
                <w:sz w:val="20"/>
                <w:szCs w:val="20"/>
              </w:rPr>
              <w:t xml:space="preserve">RDF parser (Apache Jena / RDFLib equivalent); OWL reasoner for inferred triples; Wikidata entity mapper to QB Entity Registry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4%"/>
          </w:tcPr>
          <w:p>
            <w:r>
              <w:rPr>
                <w:rFonts w:ascii="Calibri" w:cs="Calibri" w:eastAsia="Calibri" w:hAnsi="Calibri"/>
                <w:b w:val="false"/>
                <w:bCs w:val="false"/>
                <w:i w:val="false"/>
                <w:iCs w:val="false"/>
                <w:strike w:val="false"/>
                <w:color w:val="000000"/>
                <w:sz w:val="20"/>
                <w:szCs w:val="20"/>
              </w:rPr>
              <w:t xml:space="preserve">KG_TRIPLE, OWL_AXIOM, TAXONOMY_RELATION, EQUIVALENCE_ASSERTION, PROPERTY_RESTRICTION</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4%"/>
          </w:tcPr>
          <w:p>
            <w:r>
              <w:rPr>
                <w:rFonts w:ascii="Calibri" w:cs="Calibri" w:eastAsia="Calibri" w:hAnsi="Calibri"/>
                <w:b w:val="false"/>
                <w:bCs w:val="false"/>
                <w:i w:val="false"/>
                <w:iCs w:val="false"/>
                <w:strike w:val="false"/>
                <w:color w:val="000000"/>
                <w:sz w:val="20"/>
                <w:szCs w:val="20"/>
              </w:rPr>
              <w:t xml:space="preserve">Directly asserted triples: source authority weight; inferred triples: confidence = min(inference_chain_confidence_scores); Wikidata items: trust level derived from citation count and revision history stability</w:t>
            </w:r>
          </w:p>
        </w:tc>
      </w:tr>
      <w:tr>
        <w:trPr>
          <w:tblHeader w:val="false"/>
        </w:trPr>
        <w:tc>
          <w:tcPr>
            <w:tcW w:type="pct" w:w="16%"/>
          </w:tcPr>
          <w:p>
            <w:r>
              <w:rPr>
                <w:rFonts w:ascii="Calibri" w:cs="Calibri" w:eastAsia="Calibri" w:hAnsi="Calibri"/>
                <w:b w:val="false"/>
                <w:bCs w:val="false"/>
                <w:i w:val="false"/>
                <w:iCs w:val="false"/>
                <w:strike w:val="false"/>
                <w:color w:val="000000"/>
                <w:sz w:val="20"/>
                <w:szCs w:val="20"/>
              </w:rPr>
              <w:t xml:space="preserve">Error Recovery</w:t>
            </w:r>
          </w:p>
        </w:tc>
        <w:tc>
          <w:tcPr>
            <w:tcW w:type="pct" w:w="84%"/>
          </w:tcPr>
          <w:p>
            <w:r>
              <w:rPr>
                <w:rFonts w:ascii="Calibri" w:cs="Calibri" w:eastAsia="Calibri" w:hAnsi="Calibri"/>
                <w:b w:val="false"/>
                <w:bCs w:val="false"/>
                <w:i w:val="false"/>
                <w:iCs w:val="false"/>
                <w:strike w:val="false"/>
                <w:color w:val="000000"/>
                <w:sz w:val="20"/>
                <w:szCs w:val="20"/>
              </w:rPr>
              <w:t xml:space="preserve">Malformed RDF: attempt heuristic repair; unknown predicates: create provisional Predicate Library entry with UNVERIFIED status; blank node resolution: assign provisional EntityRef with ANONYMOUS type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4.3.8 Code Extraction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Specification Item</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Detail</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Extraction Method</w:t>
            </w:r>
          </w:p>
        </w:tc>
        <w:tc>
          <w:tcPr>
            <w:tcW w:type="pct" w:w="85%"/>
          </w:tcPr>
          <w:p>
            <w:r>
              <w:rPr>
                <w:rFonts w:ascii="Calibri" w:cs="Calibri" w:eastAsia="Calibri" w:hAnsi="Calibri"/>
                <w:b w:val="false"/>
                <w:bCs w:val="false"/>
                <w:i w:val="false"/>
                <w:iCs w:val="false"/>
                <w:strike w:val="false"/>
                <w:color w:val="000000"/>
                <w:sz w:val="20"/>
                <w:szCs w:val="20"/>
              </w:rPr>
              <w:t xml:space="preserve">Abstract Syntax Tree (AST) parsing; function and class signature extraction; API endpoint extraction from OpenAPI/AsyncAPI schemas; dependency graph construction; comment and docstring extraction; semantic code embedding generation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Semantic Parser</w:t>
            </w:r>
          </w:p>
        </w:tc>
        <w:tc>
          <w:tcPr>
            <w:tcW w:type="pct" w:w="85%"/>
          </w:tcPr>
          <w:p>
            <w:r>
              <w:rPr>
                <w:rFonts w:ascii="Calibri" w:cs="Calibri" w:eastAsia="Calibri" w:hAnsi="Calibri"/>
                <w:b w:val="false"/>
                <w:bCs w:val="false"/>
                <w:i w:val="false"/>
                <w:iCs w:val="false"/>
                <w:strike w:val="false"/>
                <w:color w:val="000000"/>
                <w:sz w:val="20"/>
                <w:szCs w:val="20"/>
              </w:rPr>
              <w:t xml:space="preserve">Language-specific AST parsers (Tree-sitter grammars for 50+ languages); code-specialized language model for semantic embedding; API schema validators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Output Fact Unit Types</w:t>
            </w:r>
          </w:p>
        </w:tc>
        <w:tc>
          <w:tcPr>
            <w:tcW w:type="pct" w:w="85%"/>
          </w:tcPr>
          <w:p>
            <w:r>
              <w:rPr>
                <w:rFonts w:ascii="Calibri" w:cs="Calibri" w:eastAsia="Calibri" w:hAnsi="Calibri"/>
                <w:b w:val="false"/>
                <w:bCs w:val="false"/>
                <w:i w:val="false"/>
                <w:iCs w:val="false"/>
                <w:strike w:val="false"/>
                <w:color w:val="000000"/>
                <w:sz w:val="20"/>
                <w:szCs w:val="20"/>
              </w:rPr>
              <w:t xml:space="preserve">CODE_DEFINITION, API_ENDPOINT, DEPENDENCY_RELATION, ALGORITHM_DESCRIPTION, CONFIGURATION_VALUE, INTERFACE_CONTRACT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Confidence Calibration</w:t>
            </w:r>
          </w:p>
        </w:tc>
        <w:tc>
          <w:tcPr>
            <w:tcW w:type="pct" w:w="85%"/>
          </w:tcPr>
          <w:p>
            <w:r>
              <w:rPr>
                <w:rFonts w:ascii="Calibri" w:cs="Calibri" w:eastAsia="Calibri" w:hAnsi="Calibri"/>
                <w:b w:val="false"/>
                <w:bCs w:val="false"/>
                <w:i w:val="false"/>
                <w:iCs w:val="false"/>
                <w:strike w:val="false"/>
                <w:color w:val="000000"/>
                <w:sz w:val="20"/>
                <w:szCs w:val="20"/>
              </w:rPr>
              <w:t xml:space="preserve">Structurally parsed facts (AST-derived): confidence 0.95; semantically interpreted facts (docstring, comment): confidence based on NLP parser output; API schemas: confidence from schema validation pass rate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Error Recovery</w:t>
            </w:r>
          </w:p>
        </w:tc>
        <w:tc>
          <w:tcPr>
            <w:tcW w:type="pct" w:w="85%"/>
          </w:tcPr>
          <w:p>
            <w:r>
              <w:rPr>
                <w:rFonts w:ascii="Calibri" w:cs="Calibri" w:eastAsia="Calibri" w:hAnsi="Calibri"/>
                <w:b w:val="false"/>
                <w:bCs w:val="false"/>
                <w:i w:val="false"/>
                <w:iCs w:val="false"/>
                <w:strike w:val="false"/>
                <w:color w:val="000000"/>
                <w:sz w:val="20"/>
                <w:szCs w:val="20"/>
              </w:rPr>
              <w:t xml:space="preserve">Parse error: attempt partial AST extraction; unsupported language: extract comments and string literals as Unstructured Text; invalid API schema: flag as SCHEMA_ERROR and extract partial facts where possible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 Ingestion Orchestrator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is the control plane for all ingestion operations. It manages job scheduling, rate limiting, idempotency, error handling, and observability across all Fact Streams and batch ingestion jobs.</w:t>
      </w:r>
    </w:p>
    <w:p>
      <w:pPr>
        <w:pStyle w:val="Heading3"/>
        <w:spacing w:after="120" w:before="240" w:line="288" w:lineRule="auto"/>
      </w:pPr>
      <w:r>
        <w:rPr>
          <w:rFonts w:ascii="Calibri" w:cs="Calibri" w:eastAsia="Calibri" w:hAnsi="Calibri"/>
          <w:color w:val="000000"/>
          <w:sz w:val="30"/>
          <w:szCs w:val="30"/>
        </w:rPr>
        <w:t xml:space="preserve">4.4.1 Job Scheduler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Ingestion Orchestrator maintains a priority queue of ingestion jobs with four priority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CRITICAL (P0):</w:t>
      </w:r>
      <w:r>
        <w:rPr>
          <w:rFonts w:ascii="Calibri" w:cs="Calibri" w:eastAsia="Calibri" w:hAnsi="Calibri"/>
          <w:b w:val="false"/>
          <w:bCs w:val="false"/>
          <w:i w:val="false"/>
          <w:iCs w:val="false"/>
          <w:strike w:val="false"/>
          <w:color w:val="000000"/>
          <w:sz w:val="22"/>
          <w:szCs w:val="22"/>
        </w:rPr>
        <w:t xml:space="preserve"> Real-time Fact Streams requiring sub-second processing; safety-flagged content requiring immediate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HIGH (P1):</w:t>
      </w:r>
      <w:r>
        <w:rPr>
          <w:rFonts w:ascii="Calibri" w:cs="Calibri" w:eastAsia="Calibri" w:hAnsi="Calibri"/>
          <w:b w:val="false"/>
          <w:bCs w:val="false"/>
          <w:i w:val="false"/>
          <w:iCs w:val="false"/>
          <w:strike w:val="false"/>
          <w:color w:val="000000"/>
          <w:sz w:val="22"/>
          <w:szCs w:val="22"/>
        </w:rPr>
        <w:t xml:space="preserve"> User-initiated on-demand ingestion; scheduled high-frequency batch sources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NORMAL (P2):</w:t>
      </w:r>
      <w:r>
        <w:rPr>
          <w:rFonts w:ascii="Calibri" w:cs="Calibri" w:eastAsia="Calibri" w:hAnsi="Calibri"/>
          <w:b w:val="false"/>
          <w:bCs w:val="false"/>
          <w:i w:val="false"/>
          <w:iCs w:val="false"/>
          <w:strike w:val="false"/>
          <w:color w:val="000000"/>
          <w:sz w:val="22"/>
          <w:szCs w:val="22"/>
        </w:rPr>
        <w:t xml:space="preserve"> Standard scheduled batch ingestion jobs; API-submitted documents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(P3):</w:t>
      </w:r>
      <w:r>
        <w:rPr>
          <w:rFonts w:ascii="Calibri" w:cs="Calibri" w:eastAsia="Calibri" w:hAnsi="Calibri"/>
          <w:b w:val="false"/>
          <w:bCs w:val="false"/>
          <w:i w:val="false"/>
          <w:iCs w:val="false"/>
          <w:strike w:val="false"/>
          <w:color w:val="000000"/>
          <w:sz w:val="22"/>
          <w:szCs w:val="22"/>
        </w:rPr>
        <w:t xml:space="preserve"> Historical re-ingestion; archive processing; low-priority crawl sources</w:t>
      </w:r>
    </w:p>
    <w:p>
      <w:pPr>
        <w:pStyle w:val="Heading3"/>
        <w:spacing w:after="120" w:before="240" w:line="288" w:lineRule="auto"/>
      </w:pPr>
      <w:r>
        <w:rPr>
          <w:rFonts w:ascii="Calibri" w:cs="Calibri" w:eastAsia="Calibri" w:hAnsi="Calibri"/>
          <w:color w:val="000000"/>
          <w:sz w:val="30"/>
          <w:szCs w:val="30"/>
        </w:rPr>
        <w:t xml:space="preserve">4.4.2 Rate Limiting and Throttling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Rate limiting is enforced per SourceRef using a token bucket algorithm with configurable parameters: burst capacity (max tokens), refill rate (tokens per second), and burst floor (minimum guaranteed throughput). Sources exceeding their rate limit have excess records queued in the source-specific holding queue with configurable maximum depth before backpressure is applied to the source.</w:t>
      </w:r>
    </w:p>
    <w:p>
      <w:pPr>
        <w:pStyle w:val="Heading3"/>
        <w:spacing w:after="120" w:before="240" w:line="288" w:lineRule="auto"/>
      </w:pPr>
      <w:r>
        <w:rPr>
          <w:rFonts w:ascii="Calibri" w:cs="Calibri" w:eastAsia="Calibri" w:hAnsi="Calibri"/>
          <w:color w:val="000000"/>
          <w:sz w:val="30"/>
          <w:szCs w:val="30"/>
        </w:rPr>
        <w:t xml:space="preserve">4.4.3 Idempotency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ingestion event is identified by the composite key (StreamID, CheckpointCursor). The Orchestrator maintains a deduplication window of configurable duration (default: 72 hours) using a bloom filter backed by a persistent set. Duplicate ingestion events within this window are detected and discarded without processing, ensuring at-most-once fact construction for duplicate source events.</w:t>
      </w:r>
    </w:p>
    <w:p>
      <w:pPr>
        <w:pStyle w:val="Heading3"/>
        <w:spacing w:after="120" w:before="240" w:line="288" w:lineRule="auto"/>
      </w:pPr>
      <w:r>
        <w:rPr>
          <w:rFonts w:ascii="Calibri" w:cs="Calibri" w:eastAsia="Calibri" w:hAnsi="Calibri"/>
          <w:color w:val="000000"/>
          <w:sz w:val="30"/>
          <w:szCs w:val="30"/>
        </w:rPr>
        <w:t xml:space="preserve">4.4.4 Dead-Letter Queue and Retry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Records that fail processing after three consecutive attempts are moved to the Dead-Letter Queue (DLQ) with the following metadata: SourceRef, StreamID, CheckpointCursor, failure stage, error code, error message, and failure timestamp. DLQ records are retained for configurable duration (default: 30 days). Automated retry is scheduled using exponential backoff with jitter: retry delay = min(2^attempt × base_delay_ms + random_jitter_ms, max_delay_ms). Base delay: 1,000ms; max delay: 3,600,000ms (1 hour).</w:t>
      </w:r>
    </w:p>
    <w:p>
      <w:pPr>
        <w:pStyle w:val="Heading2"/>
        <w:spacing w:after="120" w:before="240" w:line="288" w:lineRule="auto"/>
      </w:pPr>
      <w:r>
        <w:rPr>
          <w:rFonts w:ascii="Calibri" w:cs="Calibri" w:eastAsia="Calibri" w:hAnsi="Calibri"/>
          <w:color w:val="000000"/>
          <w:sz w:val="36"/>
          <w:szCs w:val="36"/>
        </w:rPr>
        <w:t xml:space="preserve">4.5 Entity Resolution and Linking</w:t>
      </w:r>
    </w:p>
    <w:p>
      <w:pPr>
        <w:pStyle w:val="Heading3"/>
        <w:spacing w:after="120" w:before="240" w:line="288" w:lineRule="auto"/>
      </w:pPr>
      <w:r>
        <w:rPr>
          <w:rFonts w:ascii="Calibri" w:cs="Calibri" w:eastAsia="Calibri" w:hAnsi="Calibri"/>
          <w:color w:val="000000"/>
          <w:sz w:val="30"/>
          <w:szCs w:val="30"/>
        </w:rPr>
        <w:t xml:space="preserve">4.5.1 Named Entity Recognition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 of the Ingestion Pipeline applies a cascaded NER system comprising three layers: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Rule-Based NER:</w:t>
      </w:r>
      <w:r>
        <w:rPr>
          <w:rFonts w:ascii="Calibri" w:cs="Calibri" w:eastAsia="Calibri" w:hAnsi="Calibri"/>
          <w:b w:val="false"/>
          <w:bCs w:val="false"/>
          <w:i w:val="false"/>
          <w:iCs w:val="false"/>
          <w:strike w:val="false"/>
          <w:color w:val="000000"/>
          <w:sz w:val="22"/>
          <w:szCs w:val="22"/>
        </w:rPr>
        <w:t xml:space="preserve"> Gazetteers, regular expressions, and deterministic rules for high-precision entity types (dates, times, monetary values, geographic coordinates, standard codes such as ISO 3166, ISIN, MeSH, ICD-10)</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Model-Based NER:</w:t>
      </w:r>
      <w:r>
        <w:rPr>
          <w:rFonts w:ascii="Calibri" w:cs="Calibri" w:eastAsia="Calibri" w:hAnsi="Calibri"/>
          <w:b w:val="false"/>
          <w:bCs w:val="false"/>
          <w:i w:val="false"/>
          <w:iCs w:val="false"/>
          <w:strike w:val="false"/>
          <w:color w:val="000000"/>
          <w:sz w:val="22"/>
          <w:szCs w:val="22"/>
        </w:rPr>
        <w:t xml:space="preserve"> Transformer-based sequence labeling model recognizing 64 fine-grained entity types (persons, organizations, locations, products, events, scientific concepts, legal entities,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Knowledge-Graph-Guided NER:</w:t>
      </w:r>
      <w:r>
        <w:rPr>
          <w:rFonts w:ascii="Calibri" w:cs="Calibri" w:eastAsia="Calibri" w:hAnsi="Calibri"/>
          <w:b w:val="false"/>
          <w:bCs w:val="false"/>
          <w:i w:val="false"/>
          <w:iCs w:val="false"/>
          <w:strike w:val="false"/>
          <w:color w:val="000000"/>
          <w:sz w:val="22"/>
          <w:szCs w:val="22"/>
        </w:rPr>
        <w:t xml:space="preserve"> Entity surface form lookup against the Entity Registry to capture entities already known to QueryBook with high confidence</w:t>
      </w:r>
    </w:p>
    <w:p>
      <w:pPr>
        <w:pStyle w:val="Heading3"/>
        <w:spacing w:after="120" w:before="240" w:line="288" w:lineRule="auto"/>
      </w:pPr>
      <w:r>
        <w:rPr>
          <w:rFonts w:ascii="Calibri" w:cs="Calibri" w:eastAsia="Calibri" w:hAnsi="Calibri"/>
          <w:color w:val="000000"/>
          <w:sz w:val="30"/>
          <w:szCs w:val="30"/>
        </w:rPr>
        <w:t xml:space="preserve">4.5.2 Coreference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single ingestion document or session, coreference resolution maps all mentions (pronouns, definite noun phrases, abbreviated forms) of the same entity to a single canonical EntityRef. Cross-document coreference is handled as entity disambiguation (Section 4.5.3).</w:t>
      </w:r>
    </w:p>
    <w:p>
      <w:pPr>
        <w:pStyle w:val="Heading3"/>
        <w:spacing w:after="120" w:before="240" w:line="288" w:lineRule="auto"/>
      </w:pPr>
      <w:r>
        <w:rPr>
          <w:rFonts w:ascii="Calibri" w:cs="Calibri" w:eastAsia="Calibri" w:hAnsi="Calibri"/>
          <w:color w:val="000000"/>
          <w:sz w:val="30"/>
          <w:szCs w:val="30"/>
        </w:rPr>
        <w:t xml:space="preserve">4.5.3 Entity Disambiguation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multiple EntityRef candidates exist in the Entity Registry for a surface form, the disambiguation system selects the most probable referent using a combination of: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Context embedding similarity: cosine similarity of the mention's contextual EmbeddingVector to each candidate entity's canonical EmbeddingVector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probability: estimated from entity frequency in the Fact Graph and source domain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compatibility: entity type (from NER) must be compatible with the EntityType in the Entity Registry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Cooccurrence signal: entities that frequently co-occur in the Fact Graph with nearby mentions receive a cooccurrence bonus</w:t>
      </w:r>
    </w:p>
    <w:p>
      <w:pPr>
        <w:pStyle w:val="Heading3"/>
        <w:spacing w:after="120" w:before="240" w:line="288" w:lineRule="auto"/>
      </w:pPr>
      <w:r>
        <w:rPr>
          <w:rFonts w:ascii="Calibri" w:cs="Calibri" w:eastAsia="Calibri" w:hAnsi="Calibri"/>
          <w:color w:val="000000"/>
          <w:sz w:val="30"/>
          <w:szCs w:val="30"/>
        </w:rPr>
        <w:t xml:space="preserve">4.5.4 Entity Registry (QB-ER)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Entity Registry is a globally consistent, distributed key-value store mapping EntityRef UUIDs to entity records. Each entity record contains: EntityID (UUID), CanonicalName (string), EntityType (OntologyMesh.EntityTypeID), AliasSet (list of surface forms), EmbeddingVector (4096-dim), ExternalIDs (map of {scheme → external_id}, e.g., Wikidata QID, ORCID, LEI), ConfidenceScore, CreationTime, LastVerifiedTime, and ProvenanceRef.</w:t>
      </w:r>
    </w:p>
    <w:p>
      <w:pPr>
        <w:pStyle w:val="Heading3"/>
        <w:spacing w:after="120" w:before="240" w:line="288" w:lineRule="auto"/>
      </w:pPr>
      <w:r>
        <w:rPr>
          <w:rFonts w:ascii="Calibri" w:cs="Calibri" w:eastAsia="Calibri" w:hAnsi="Calibri"/>
          <w:color w:val="000000"/>
          <w:sz w:val="30"/>
          <w:szCs w:val="30"/>
        </w:rPr>
        <w:t xml:space="preserve">4.5.5 New Entity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no existing EntityRef satisfies disambiguation criteria above a configurable confidence threshold (default: 0.65), a new entity record is created in the Entity Registry with status PROVISIONAL. Provisional entities receive a PROVISIONAL flag in the AnnotationSet of all Fact Units referencing them. The system continuously attempts to link provisional entities to external knowledge bases (Wikidata, DBpedia, GeoNames, etc.) and upgrades their status to VERIFIED when a reliable external link is established.</w:t>
      </w:r>
    </w:p>
    <w:p>
      <w:pPr>
        <w:pStyle w:val="Heading2"/>
        <w:spacing w:after="120" w:before="240" w:line="288" w:lineRule="auto"/>
      </w:pPr>
      <w:r>
        <w:rPr>
          <w:rFonts w:ascii="Calibri" w:cs="Calibri" w:eastAsia="Calibri" w:hAnsi="Calibri"/>
          <w:color w:val="000000"/>
          <w:sz w:val="36"/>
          <w:szCs w:val="36"/>
        </w:rPr>
        <w:t xml:space="preserve">4.6 Confidence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a fundamental property of every Fact Unit and must be accurately calibrated to be useful for downstream reasoning and conflict resolution. The following multi-stage calibration process is applied by the Ingestion Pipeline.</w:t>
      </w:r>
    </w:p>
    <w:p>
      <w:pPr>
        <w:pStyle w:val="Heading3"/>
        <w:spacing w:after="120" w:before="240" w:line="288" w:lineRule="auto"/>
      </w:pPr>
      <w:r>
        <w:rPr>
          <w:rFonts w:ascii="Calibri" w:cs="Calibri" w:eastAsia="Calibri" w:hAnsi="Calibri"/>
          <w:color w:val="000000"/>
          <w:sz w:val="30"/>
          <w:szCs w:val="30"/>
        </w:rPr>
        <w:t xml:space="preserve">4.6.1 Initial Confidence Assignment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ConfidenceScore is computed as a weighted product of: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Extraction confidence:</w:t>
      </w:r>
      <w:r>
        <w:rPr>
          <w:rFonts w:ascii="Calibri" w:cs="Calibri" w:eastAsia="Calibri" w:hAnsi="Calibri"/>
          <w:b w:val="false"/>
          <w:bCs w:val="false"/>
          <w:i w:val="false"/>
          <w:iCs w:val="false"/>
          <w:strike w:val="false"/>
          <w:color w:val="000000"/>
          <w:sz w:val="22"/>
          <w:szCs w:val="22"/>
        </w:rPr>
        <w:t xml:space="preserve"> The probability output of the semantic extraction model for the specific (Subject, Predicate, Object) triple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reliability weight:</w:t>
      </w:r>
      <w:r>
        <w:rPr>
          <w:rFonts w:ascii="Calibri" w:cs="Calibri" w:eastAsia="Calibri" w:hAnsi="Calibri"/>
          <w:b w:val="false"/>
          <w:bCs w:val="false"/>
          <w:i w:val="false"/>
          <w:iCs w:val="false"/>
          <w:strike w:val="false"/>
          <w:color w:val="000000"/>
          <w:sz w:val="22"/>
          <w:szCs w:val="22"/>
        </w:rPr>
        <w:t xml:space="preserve"> A per-source scalar in [0.0, 1.0] maintained in the Source Registry, reflecting historical accuracy of facts from this source as verified against ground truth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Modality confidence coefficient:</w:t>
      </w:r>
      <w:r>
        <w:rPr>
          <w:rFonts w:ascii="Calibri" w:cs="Calibri" w:eastAsia="Calibri" w:hAnsi="Calibri"/>
          <w:b w:val="false"/>
          <w:bCs w:val="false"/>
          <w:i w:val="false"/>
          <w:iCs w:val="false"/>
          <w:strike w:val="false"/>
          <w:color w:val="000000"/>
          <w:sz w:val="22"/>
          <w:szCs w:val="22"/>
        </w:rPr>
        <w:t xml:space="preserve"> A per-modality base coefficient reflecting the inherent reliability of each modality (Structured Data: 0.85; Knowledge Graphs: 0.80; Text: 0.70; Audio: 0.65; Image: 0.65; Video: 0.60; Sensor: 0.75; Code: 0.90)</w:t>
      </w:r>
    </w:p>
    <w:p>
      <w:pPr>
        <w:pStyle w:val="Heading3"/>
        <w:spacing w:after="120" w:before="240" w:line="288" w:lineRule="auto"/>
      </w:pPr>
      <w:r>
        <w:rPr>
          <w:rFonts w:ascii="Calibri" w:cs="Calibri" w:eastAsia="Calibri" w:hAnsi="Calibri"/>
          <w:color w:val="000000"/>
          <w:sz w:val="30"/>
          <w:szCs w:val="30"/>
        </w:rPr>
        <w:t xml:space="preserve">4.6.2 Multi-Source Triangulation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same semantic fact (identified by matching or near-matching Semantic Hash) is independently observed from N distinct sources, the ConfidenceScore is updated using an independent evidence combination model: </w:t>
      </w:r>
      <w:r>
        <w:rPr>
          <w:rFonts w:ascii="Calibri" w:cs="Calibri" w:eastAsia="Calibri" w:hAnsi="Calibri"/>
          <w:b w:val="false"/>
          <w:bCs w:val="false"/>
          <w:i w:val="false"/>
          <w:iCs w:val="false"/>
          <w:strike w:val="false"/>
          <w:color w:val="000000"/>
          <w:sz w:val="20"/>
          <w:szCs w:val="20"/>
          <w:shd w:fill="F3F4F6" w:color="auto" w:val="clear"/>
        </w:rPr>
        <w:t xml:space="preserve">P_combined = 1 - prod(1 - P_i)</w:t>
      </w:r>
      <w:r>
        <w:rPr>
          <w:rFonts w:ascii="Calibri" w:cs="Calibri" w:eastAsia="Calibri" w:hAnsi="Calibri"/>
          <w:b w:val="false"/>
          <w:bCs w:val="false"/>
          <w:i w:val="false"/>
          <w:iCs w:val="false"/>
          <w:strike w:val="false"/>
          <w:color w:val="000000"/>
          <w:sz w:val="22"/>
          <w:szCs w:val="22"/>
        </w:rPr>
        <w:t xml:space="preserve"> for independent sources, adjusted by source independence coefficient (two sources from the same organization are not fully independent).</w:t>
      </w:r>
    </w:p>
    <w:p>
      <w:pPr>
        <w:pStyle w:val="Heading3"/>
        <w:spacing w:after="120" w:before="240" w:line="288" w:lineRule="auto"/>
      </w:pPr>
      <w:r>
        <w:rPr>
          <w:rFonts w:ascii="Calibri" w:cs="Calibri" w:eastAsia="Calibri" w:hAnsi="Calibri"/>
          <w:color w:val="000000"/>
          <w:sz w:val="30"/>
          <w:szCs w:val="30"/>
        </w:rPr>
        <w:t xml:space="preserve">4.6.3 Temporal Decay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ConfidenceScore is subject to a temporal decay function applied by the NCL on each query cycle for time-sensitive Fact Units. The decay function is exponential: </w:t>
      </w:r>
      <w:r>
        <w:rPr>
          <w:rFonts w:ascii="Calibri" w:cs="Calibri" w:eastAsia="Calibri" w:hAnsi="Calibri"/>
          <w:b w:val="false"/>
          <w:bCs w:val="false"/>
          <w:i w:val="false"/>
          <w:iCs w:val="false"/>
          <w:strike w:val="false"/>
          <w:color w:val="000000"/>
          <w:sz w:val="20"/>
          <w:szCs w:val="20"/>
          <w:shd w:fill="F3F4F6" w:color="auto" w:val="clear"/>
        </w:rPr>
        <w:t xml:space="preserve">C_current = C_initial × exp(-λ × (T_now - T_ingestion))</w:t>
      </w:r>
      <w:r>
        <w:rPr>
          <w:rFonts w:ascii="Calibri" w:cs="Calibri" w:eastAsia="Calibri" w:hAnsi="Calibri"/>
          <w:b w:val="false"/>
          <w:bCs w:val="false"/>
          <w:i w:val="false"/>
          <w:iCs w:val="false"/>
          <w:strike w:val="false"/>
          <w:color w:val="000000"/>
          <w:sz w:val="22"/>
          <w:szCs w:val="22"/>
        </w:rPr>
        <w:t xml:space="preserve">, where λ is a per-FactType decay constant configurable in the Ontology Mesh schema. Immutable historical facts have λ = 0 (no decay).</w:t>
      </w:r>
    </w:p>
    <w:p>
      <w:pPr>
        <w:pStyle w:val="Heading3"/>
        <w:spacing w:after="120" w:before="240" w:line="288" w:lineRule="auto"/>
      </w:pPr>
      <w:r>
        <w:rPr>
          <w:rFonts w:ascii="Calibri" w:cs="Calibri" w:eastAsia="Calibri" w:hAnsi="Calibri"/>
          <w:color w:val="000000"/>
          <w:sz w:val="30"/>
          <w:szCs w:val="30"/>
        </w:rPr>
        <w:t xml:space="preserve">4.6.4 Bayesian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contradictory facts are subsequently ingested, the existing Fact Unit's ConfidenceScore is subject to a Bayesian downward revision. The revision magnitude depends on: the new conflicting fact's ConfidenceScore, the source authority differential, and the number of previously corroborating sources. The Bayesian update is computed incrementally and recorded as a Provenance Record update event in the Provenance Ledger.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IV — PROVENANCE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IV Executive Summary</w:t>
            </w:r>
            <w:r>
              <w:rPr>
                <w:rFonts w:ascii="Calibri" w:cs="Calibri" w:eastAsia="Calibri" w:hAnsi="Calibri"/>
                <w:b/>
                <w:bCs/>
                <w:i w:val="false"/>
                <w:iCs w:val="false"/>
                <w:strike w:val="false"/>
                <w:color w:val="333333"/>
                <w:sz w:val="24"/>
                <w:szCs w:val="24"/>
              </w:rPr>
              <w:t xml:space="preserve">Part IV specifies the Provenance Ledger — QueryBook's immutable, tamper-evident, complete record of all Fact Unit origins and transformations. Implemented as a Merkle DAG, the Provenance Ledger provides cryptographically verifiable lineage traversal, GDPR-compliant erasure via tombstoning, and full audit trail capabilities. This Part is the primary reference for patent Cluster M claims and is foundational to QueryBook's trust, compliance, and auditability value propositions.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IV: Provenance System</w:t>
      </w:r>
    </w:p>
    <w:p>
      <w:pPr>
        <w:pStyle w:val="Heading1"/>
        <w:spacing w:after="120" w:before="240" w:line="288" w:lineRule="auto"/>
      </w:pPr>
      <w:r>
        <w:rPr>
          <w:rFonts w:ascii="Calibri" w:cs="Calibri" w:eastAsia="Calibri" w:hAnsi="Calibri"/>
          <w:color w:val="000000"/>
          <w:sz w:val="48"/>
          <w:szCs w:val="48"/>
        </w:rPr>
        <w:t xml:space="preserve">Chapter 5: Provenance Ledger — Complete Specification</w:t>
      </w:r>
    </w:p>
    <w:p>
      <w:pPr>
        <w:pStyle w:val="Heading2"/>
        <w:spacing w:after="120" w:before="240" w:line="288" w:lineRule="auto"/>
      </w:pPr>
      <w:r>
        <w:rPr>
          <w:rFonts w:ascii="Calibri" w:cs="Calibri" w:eastAsia="Calibri" w:hAnsi="Calibri"/>
          <w:color w:val="000000"/>
          <w:sz w:val="36"/>
          <w:szCs w:val="36"/>
        </w:rPr>
        <w:t xml:space="preserve">5.1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an immutable, content-addressed, append-only distributed log implementing a Merkle Directed Acyclic Graph (Merkle DAG) structure. Every write to the Fact Graph — whether a Fact Unit creation, state transition, metadata update, or purge — produces a corresponding Provenance Record that is appended to the Merkle DAG. The content-addressable nature of the Merkle DAG guarantees that any tampering with a historical record is detectable by recomputing the chain hash from that record forward.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is organized into blocks of configurable size (default: 1,000 Provenance Records per block). Each block's hash is computed as SHA-256 of the concatenation of all Provenance Record hashes within the block. Block hashes are chained: each block header contains the hash of the previous block, forming the Merkle DAG structure. The chain tip (most recent block hash) is anchored periodically (default: every 15 minutes) to an external notarization service for third-party verifiability.</w:t>
      </w:r>
    </w:p>
    <w:p>
      <w:pPr>
        <w:pStyle w:val="Heading2"/>
        <w:spacing w:after="120" w:before="240" w:line="288" w:lineRule="auto"/>
      </w:pPr>
      <w:r>
        <w:rPr>
          <w:rFonts w:ascii="Calibri" w:cs="Calibri" w:eastAsia="Calibri" w:hAnsi="Calibri"/>
          <w:color w:val="000000"/>
          <w:sz w:val="36"/>
          <w:szCs w:val="36"/>
        </w:rPr>
        <w:t xml:space="preserve">5.2 Provenance Record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w:t>
            </w:r>
          </w:p>
        </w:tc>
        <w:tc>
          <w:tcPr>
            <w:tcW w:type="pct" w:w="50%"/>
          </w:tcPr>
          <w:p>
            <w:r>
              <w:rPr>
                <w:rFonts w:ascii="Calibri" w:cs="Calibri" w:eastAsia="Calibri" w:hAnsi="Calibri"/>
                <w:b w:val="false"/>
                <w:bCs w:val="false"/>
                <w:i w:val="false"/>
                <w:iCs w:val="false"/>
                <w:strike w:val="false"/>
                <w:color w:val="000000"/>
                <w:sz w:val="20"/>
                <w:szCs w:val="20"/>
              </w:rPr>
              <w:t xml:space="preserve">Content hash of this Provenance Record (all fields except ProvenanceID itself); serves as the unique identifier and content-integrity fingerprint</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FUID</w:t>
            </w:r>
          </w:p>
        </w:tc>
        <w:tc>
          <w:tcPr>
            <w:tcW w:type="pct" w:w="36%"/>
          </w:tcPr>
          <w:p>
            <w:r>
              <w:rPr>
                <w:rFonts w:ascii="Calibri" w:cs="Calibri" w:eastAsia="Calibri" w:hAnsi="Calibri"/>
                <w:b w:val="false"/>
                <w:bCs w:val="false"/>
                <w:i w:val="false"/>
                <w:iCs w:val="false"/>
                <w:strike w:val="false"/>
                <w:color w:val="000000"/>
                <w:sz w:val="20"/>
                <w:szCs w:val="20"/>
              </w:rPr>
              <w:t xml:space="preserve">UUID v7</w:t>
            </w:r>
          </w:p>
        </w:tc>
        <w:tc>
          <w:tcPr>
            <w:tcW w:type="pct" w:w="50%"/>
          </w:tcPr>
          <w:p>
            <w:r>
              <w:rPr>
                <w:rFonts w:ascii="Calibri" w:cs="Calibri" w:eastAsia="Calibri" w:hAnsi="Calibri"/>
                <w:b w:val="false"/>
                <w:bCs w:val="false"/>
                <w:i w:val="false"/>
                <w:iCs w:val="false"/>
                <w:strike w:val="false"/>
                <w:color w:val="000000"/>
                <w:sz w:val="20"/>
                <w:szCs w:val="20"/>
              </w:rPr>
              <w:t xml:space="preserve">The Fact Unit identifier to which this Provenance Record pertains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Operation</w:t>
            </w:r>
          </w:p>
        </w:tc>
        <w:tc>
          <w:tcPr>
            <w:tcW w:type="pct" w:w="36%"/>
          </w:tcPr>
          <w:p>
            <w:r>
              <w:rPr>
                <w:rFonts w:ascii="Calibri" w:cs="Calibri" w:eastAsia="Calibri" w:hAnsi="Calibri"/>
                <w:b w:val="false"/>
                <w:bCs w:val="false"/>
                <w:i w:val="false"/>
                <w:iCs w:val="false"/>
                <w:strike w:val="false"/>
                <w:color w:val="000000"/>
                <w:sz w:val="20"/>
                <w:szCs w:val="20"/>
              </w:rPr>
              <w:t xml:space="preserve">enum {CREATE, UPDATE, SUPERSEDE, ARCHIVE, PURGE, CONFIDENCE_UPDATE, SAFETY_FLAG_CHANGE, RELATION_ADD, RELATION_REMOVE}</w:t>
            </w:r>
          </w:p>
        </w:tc>
        <w:tc>
          <w:tcPr>
            <w:tcW w:type="pct" w:w="50%"/>
          </w:tcPr>
          <w:p>
            <w:r>
              <w:rPr>
                <w:rFonts w:ascii="Calibri" w:cs="Calibri" w:eastAsia="Calibri" w:hAnsi="Calibri"/>
                <w:b w:val="false"/>
                <w:bCs w:val="false"/>
                <w:i w:val="false"/>
                <w:iCs w:val="false"/>
                <w:strike w:val="false"/>
                <w:color w:val="000000"/>
                <w:sz w:val="20"/>
                <w:szCs w:val="20"/>
              </w:rPr>
              <w:t xml:space="preserve">The specific operation performed on the Fact Unit that this record documents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SourceID</w:t>
            </w:r>
          </w:p>
        </w:tc>
        <w:tc>
          <w:tcPr>
            <w:tcW w:type="pct" w:w="36%"/>
          </w:tcPr>
          <w:p>
            <w:r>
              <w:rPr>
                <w:rFonts w:ascii="Calibri" w:cs="Calibri" w:eastAsia="Calibri" w:hAnsi="Calibri"/>
                <w:b w:val="false"/>
                <w:bCs w:val="false"/>
                <w:i w:val="false"/>
                <w:iCs w:val="false"/>
                <w:strike w:val="false"/>
                <w:color w:val="000000"/>
                <w:sz w:val="20"/>
                <w:szCs w:val="20"/>
              </w:rPr>
              <w:t xml:space="preserve">UUID (→ Source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source system from which the originating data was acquired; null for derived or synthesized Fact Units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AgentID</w:t>
            </w:r>
          </w:p>
        </w:tc>
        <w:tc>
          <w:tcPr>
            <w:tcW w:type="pct" w:w="36%"/>
          </w:tcPr>
          <w:p>
            <w:r>
              <w:rPr>
                <w:rFonts w:ascii="Calibri" w:cs="Calibri" w:eastAsia="Calibri" w:hAnsi="Calibri"/>
                <w:b w:val="false"/>
                <w:bCs w:val="false"/>
                <w:i w:val="false"/>
                <w:iCs w:val="false"/>
                <w:strike w:val="false"/>
                <w:color w:val="000000"/>
                <w:sz w:val="20"/>
                <w:szCs w:val="20"/>
              </w:rPr>
              <w:t xml:space="preserve">UUID (→ Principal Registry)</w:t>
            </w:r>
          </w:p>
        </w:tc>
        <w:tc>
          <w:tcPr>
            <w:tcW w:type="pct" w:w="50%"/>
          </w:tcPr>
          <w:p>
            <w:r>
              <w:rPr>
                <w:rFonts w:ascii="Calibri" w:cs="Calibri" w:eastAsia="Calibri" w:hAnsi="Calibri"/>
                <w:b w:val="false"/>
                <w:bCs w:val="false"/>
                <w:i w:val="false"/>
                <w:iCs w:val="false"/>
                <w:strike w:val="false"/>
                <w:color w:val="000000"/>
                <w:sz w:val="20"/>
                <w:szCs w:val="20"/>
              </w:rPr>
              <w:t xml:space="preserve">The identifier of the system component, service, or human principal that executed the operation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Timestamp</w:t>
            </w:r>
          </w:p>
        </w:tc>
        <w:tc>
          <w:tcPr>
            <w:tcW w:type="pct" w:w="36%"/>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0%"/>
          </w:tcPr>
          <w:p>
            <w:r>
              <w:rPr>
                <w:rFonts w:ascii="Calibri" w:cs="Calibri" w:eastAsia="Calibri" w:hAnsi="Calibri"/>
                <w:b w:val="false"/>
                <w:bCs w:val="false"/>
                <w:i w:val="false"/>
                <w:iCs w:val="false"/>
                <w:strike w:val="false"/>
                <w:color w:val="000000"/>
                <w:sz w:val="20"/>
                <w:szCs w:val="20"/>
              </w:rPr>
              <w:t xml:space="preserve">The precise UTC timestamp at which this operation was executed; sourced from a synchronized NTP clock with nanosecond precision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PreviousProvenanceID</w:t>
            </w:r>
          </w:p>
        </w:tc>
        <w:tc>
          <w:tcPr>
            <w:tcW w:type="pct" w:w="36%"/>
          </w:tcPr>
          <w:p>
            <w:r>
              <w:rPr>
                <w:rFonts w:ascii="Calibri" w:cs="Calibri" w:eastAsia="Calibri" w:hAnsi="Calibri"/>
                <w:b w:val="false"/>
                <w:bCs w:val="false"/>
                <w:i w:val="false"/>
                <w:iCs w:val="false"/>
                <w:strike w:val="false"/>
                <w:color w:val="000000"/>
                <w:sz w:val="20"/>
                <w:szCs w:val="20"/>
              </w:rPr>
              <w:t xml:space="preserve">256-bit bytes (SHA-256) | null</w:t>
            </w:r>
          </w:p>
        </w:tc>
        <w:tc>
          <w:tcPr>
            <w:tcW w:type="pct" w:w="50%"/>
          </w:tcPr>
          <w:p>
            <w:r>
              <w:rPr>
                <w:rFonts w:ascii="Calibri" w:cs="Calibri" w:eastAsia="Calibri" w:hAnsi="Calibri"/>
                <w:b w:val="false"/>
                <w:bCs w:val="false"/>
                <w:i w:val="false"/>
                <w:iCs w:val="false"/>
                <w:strike w:val="false"/>
                <w:color w:val="000000"/>
                <w:sz w:val="20"/>
                <w:szCs w:val="20"/>
              </w:rPr>
              <w:t xml:space="preserve">The ProvenanceID of the preceding record in this Fact Unit's lineage chain; null for CREATE operations; forms the backward-linked list of the Fact Unit's history</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TransformationDescriptor</w:t>
            </w:r>
          </w:p>
        </w:tc>
        <w:tc>
          <w:tcPr>
            <w:tcW w:type="pct" w:w="36%"/>
          </w:tcPr>
          <w:p>
            <w:r>
              <w:rPr>
                <w:rFonts w:ascii="Calibri" w:cs="Calibri" w:eastAsia="Calibri" w:hAnsi="Calibri"/>
                <w:b w:val="false"/>
                <w:bCs w:val="false"/>
                <w:i w:val="false"/>
                <w:iCs w:val="false"/>
                <w:strike w:val="false"/>
                <w:color w:val="000000"/>
                <w:sz w:val="20"/>
                <w:szCs w:val="20"/>
              </w:rPr>
              <w:t xml:space="preserve">Struct {pipeline_stage: string, model_id: string, model_version: string, parameters: map&lt;string, string&gt;}</w:t>
            </w:r>
          </w:p>
        </w:tc>
        <w:tc>
          <w:tcPr>
            <w:tcW w:type="pct" w:w="50%"/>
          </w:tcPr>
          <w:p>
            <w:r>
              <w:rPr>
                <w:rFonts w:ascii="Calibri" w:cs="Calibri" w:eastAsia="Calibri" w:hAnsi="Calibri"/>
                <w:b w:val="false"/>
                <w:bCs w:val="false"/>
                <w:i w:val="false"/>
                <w:iCs w:val="false"/>
                <w:strike w:val="false"/>
                <w:color w:val="000000"/>
                <w:sz w:val="20"/>
                <w:szCs w:val="20"/>
              </w:rPr>
              <w:t xml:space="preserve">Description of what processing, transformation, or inference was applied to produce or modify this Fact Unit; enables full reproducibility of any Fact Unit's derivation</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InputFUIDs</w:t>
            </w:r>
          </w:p>
        </w:tc>
        <w:tc>
          <w:tcPr>
            <w:tcW w:type="pct" w:w="36%"/>
          </w:tcPr>
          <w:p>
            <w:r>
              <w:rPr>
                <w:rFonts w:ascii="Calibri" w:cs="Calibri" w:eastAsia="Calibri" w:hAnsi="Calibri"/>
                <w:b w:val="false"/>
                <w:bCs w:val="false"/>
                <w:i w:val="false"/>
                <w:iCs w:val="false"/>
                <w:strike w:val="false"/>
                <w:color w:val="000000"/>
                <w:sz w:val="20"/>
                <w:szCs w:val="20"/>
              </w:rPr>
              <w:t xml:space="preserve">List of FUID (UUID)</w:t>
            </w:r>
          </w:p>
        </w:tc>
        <w:tc>
          <w:tcPr>
            <w:tcW w:type="pct" w:w="50%"/>
          </w:tcPr>
          <w:p>
            <w:r>
              <w:rPr>
                <w:rFonts w:ascii="Calibri" w:cs="Calibri" w:eastAsia="Calibri" w:hAnsi="Calibri"/>
                <w:b w:val="false"/>
                <w:bCs w:val="false"/>
                <w:i w:val="false"/>
                <w:iCs w:val="false"/>
                <w:strike w:val="false"/>
                <w:color w:val="000000"/>
                <w:sz w:val="20"/>
                <w:szCs w:val="20"/>
              </w:rPr>
              <w:t xml:space="preserve">For Fact Units derived from other Fact Units (e.g., by inference, aggregation, or synthesis), the list of source Fact Units used as inputs; empty for directly ingested facts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ConfidenceAtWrite</w:t>
            </w:r>
          </w:p>
        </w:tc>
        <w:tc>
          <w:tcPr>
            <w:tcW w:type="pct" w:w="36%"/>
          </w:tcPr>
          <w:p>
            <w:r>
              <w:rPr>
                <w:rFonts w:ascii="Calibri" w:cs="Calibri" w:eastAsia="Calibri" w:hAnsi="Calibri"/>
                <w:b w:val="false"/>
                <w:bCs w:val="false"/>
                <w:i w:val="false"/>
                <w:iCs w:val="false"/>
                <w:strike w:val="false"/>
                <w:color w:val="000000"/>
                <w:sz w:val="20"/>
                <w:szCs w:val="20"/>
              </w:rPr>
              <w:t xml:space="preserve">float32</w:t>
            </w:r>
          </w:p>
        </w:tc>
        <w:tc>
          <w:tcPr>
            <w:tcW w:type="pct" w:w="50%"/>
          </w:tcPr>
          <w:p>
            <w:r>
              <w:rPr>
                <w:rFonts w:ascii="Calibri" w:cs="Calibri" w:eastAsia="Calibri" w:hAnsi="Calibri"/>
                <w:b w:val="false"/>
                <w:bCs w:val="false"/>
                <w:i w:val="false"/>
                <w:iCs w:val="false"/>
                <w:strike w:val="false"/>
                <w:color w:val="000000"/>
                <w:sz w:val="20"/>
                <w:szCs w:val="20"/>
              </w:rPr>
              <w:t xml:space="preserve">The ConfidenceScore of the Fact Unit at the moment this operation was executed; enables historical confidence tracking</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SafetyChecksum</w:t>
            </w:r>
          </w:p>
        </w:tc>
        <w:tc>
          <w:tcPr>
            <w:tcW w:type="pct" w:w="36%"/>
          </w:tcPr>
          <w:p>
            <w:r>
              <w:rPr>
                <w:rFonts w:ascii="Calibri" w:cs="Calibri" w:eastAsia="Calibri" w:hAnsi="Calibri"/>
                <w:b w:val="false"/>
                <w:bCs w:val="false"/>
                <w:i w:val="false"/>
                <w:iCs w:val="false"/>
                <w:strike w:val="false"/>
                <w:color w:val="000000"/>
                <w:sz w:val="20"/>
                <w:szCs w:val="20"/>
              </w:rPr>
              <w:t xml:space="preserve">256-bit bytes (HMAC-SHA-256)</w:t>
            </w:r>
          </w:p>
        </w:tc>
        <w:tc>
          <w:tcPr>
            <w:tcW w:type="pct" w:w="50%"/>
          </w:tcPr>
          <w:p>
            <w:r>
              <w:rPr>
                <w:rFonts w:ascii="Calibri" w:cs="Calibri" w:eastAsia="Calibri" w:hAnsi="Calibri"/>
                <w:b w:val="false"/>
                <w:bCs w:val="false"/>
                <w:i w:val="false"/>
                <w:iCs w:val="false"/>
                <w:strike w:val="false"/>
                <w:color w:val="000000"/>
                <w:sz w:val="20"/>
                <w:szCs w:val="20"/>
              </w:rPr>
              <w:t xml:space="preserve">HMAC-SHA-256 of the Provenance Record content computed with the Safety Substrate's signing key; enables detection of Safety Substrate bypass attempts</w:t>
            </w:r>
          </w:p>
        </w:tc>
      </w:tr>
      <w:tr>
        <w:trPr>
          <w:tblHeader w:val="false"/>
        </w:trPr>
        <w:tc>
          <w:tcPr>
            <w:tcW w:type="pct" w:w="14%"/>
          </w:tcPr>
          <w:p>
            <w:r>
              <w:rPr>
                <w:rFonts w:ascii="Consolas" w:cs="Consolas" w:eastAsia="Consolas" w:hAnsi="Consolas"/>
                <w:b/>
                <w:bCs/>
                <w:i w:val="false"/>
                <w:iCs w:val="false"/>
                <w:strike w:val="false"/>
                <w:color w:val="0D2A5E"/>
                <w:sz w:val="19"/>
                <w:szCs w:val="19"/>
              </w:rPr>
              <w:t xml:space="preserve">RawSourceRef</w:t>
            </w:r>
          </w:p>
        </w:tc>
        <w:tc>
          <w:tcPr>
            <w:tcW w:type="pct" w:w="36%"/>
          </w:tcPr>
          <w:p>
            <w:r>
              <w:rPr>
                <w:rFonts w:ascii="Calibri" w:cs="Calibri" w:eastAsia="Calibri" w:hAnsi="Calibri"/>
                <w:b w:val="false"/>
                <w:bCs w:val="false"/>
                <w:i w:val="false"/>
                <w:iCs w:val="false"/>
                <w:strike w:val="false"/>
                <w:color w:val="000000"/>
                <w:sz w:val="20"/>
                <w:szCs w:val="20"/>
              </w:rPr>
              <w:t xml:space="preserve">ContentAddressedRef (CID) | null</w:t>
            </w:r>
          </w:p>
        </w:tc>
        <w:tc>
          <w:tcPr>
            <w:tcW w:type="pct" w:w="50%"/>
          </w:tcPr>
          <w:p>
            <w:r>
              <w:rPr>
                <w:rFonts w:ascii="Calibri" w:cs="Calibri" w:eastAsia="Calibri" w:hAnsi="Calibri"/>
                <w:b w:val="false"/>
                <w:bCs w:val="false"/>
                <w:i w:val="false"/>
                <w:iCs w:val="false"/>
                <w:strike w:val="false"/>
                <w:color w:val="000000"/>
                <w:sz w:val="20"/>
                <w:szCs w:val="20"/>
              </w:rPr>
              <w:t xml:space="preserve">Content-addressed reference (IPFS CID or equivalent) to the raw source material in the Source Archive, if retained; null for derived facts and facts whose source retention has expired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 Fact Lineage Traversal</w:t>
      </w:r>
    </w:p>
    <w:p>
      <w:pPr>
        <w:pStyle w:val="Heading3"/>
        <w:spacing w:after="120" w:before="240" w:line="288" w:lineRule="auto"/>
      </w:pPr>
      <w:r>
        <w:rPr>
          <w:rFonts w:ascii="Calibri" w:cs="Calibri" w:eastAsia="Calibri" w:hAnsi="Calibri"/>
          <w:color w:val="000000"/>
          <w:sz w:val="30"/>
          <w:szCs w:val="30"/>
        </w:rPr>
        <w:t xml:space="preserve">5.3.1 Forward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source Fact Unit (identified by FUID), forward traversal enumerates all Fact Units that were derived from it, directly or transitively. The traversal follows the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index — a reverse mapping maintained by the Provenance Ledger service that maps each FUID to the list of Provenance Records in which it appears as an InputFUID. This traversal answers questions such as: "What conclusions were drawn from this observation?" and "Which downstream Fact Units should be re-evaluated if this source fact's confidence changes?"</w:t>
      </w:r>
    </w:p>
    <w:p>
      <w:pPr>
        <w:pStyle w:val="Heading3"/>
        <w:spacing w:after="120" w:before="240" w:line="288" w:lineRule="auto"/>
      </w:pPr>
      <w:r>
        <w:rPr>
          <w:rFonts w:ascii="Calibri" w:cs="Calibri" w:eastAsia="Calibri" w:hAnsi="Calibri"/>
          <w:color w:val="000000"/>
          <w:sz w:val="30"/>
          <w:szCs w:val="30"/>
        </w:rPr>
        <w:t xml:space="preserve">5.3.2 Backward Traversal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 Fact Unit, backward traversal follows the </w:t>
      </w:r>
      <w:r>
        <w:rPr>
          <w:rFonts w:ascii="Calibri" w:cs="Calibri" w:eastAsia="Calibri" w:hAnsi="Calibri"/>
          <w:b w:val="false"/>
          <w:bCs w:val="false"/>
          <w:i w:val="false"/>
          <w:iCs w:val="false"/>
          <w:strike w:val="false"/>
          <w:color w:val="000000"/>
          <w:sz w:val="20"/>
          <w:szCs w:val="20"/>
          <w:shd w:fill="F3F4F6" w:color="auto" w:val="clear"/>
        </w:rPr>
        <w:t xml:space="preserve">PreviousProvenanceID</w:t>
      </w:r>
      <w:r>
        <w:rPr>
          <w:rFonts w:ascii="Calibri" w:cs="Calibri" w:eastAsia="Calibri" w:hAnsi="Calibri"/>
          <w:b w:val="false"/>
          <w:bCs w:val="false"/>
          <w:i w:val="false"/>
          <w:iCs w:val="false"/>
          <w:strike w:val="false"/>
          <w:color w:val="000000"/>
          <w:sz w:val="22"/>
          <w:szCs w:val="22"/>
        </w:rPr>
        <w:t xml:space="preserve"> chain and </w:t>
      </w:r>
      <w:r>
        <w:rPr>
          <w:rFonts w:ascii="Calibri" w:cs="Calibri" w:eastAsia="Calibri" w:hAnsi="Calibri"/>
          <w:b w:val="false"/>
          <w:bCs w:val="false"/>
          <w:i w:val="false"/>
          <w:iCs w:val="false"/>
          <w:strike w:val="false"/>
          <w:color w:val="000000"/>
          <w:sz w:val="20"/>
          <w:szCs w:val="20"/>
          <w:shd w:fill="F3F4F6" w:color="auto" w:val="clear"/>
        </w:rPr>
        <w:t xml:space="preserve">InputFUIDs</w:t>
      </w:r>
      <w:r>
        <w:rPr>
          <w:rFonts w:ascii="Calibri" w:cs="Calibri" w:eastAsia="Calibri" w:hAnsi="Calibri"/>
          <w:b w:val="false"/>
          <w:bCs w:val="false"/>
          <w:i w:val="false"/>
          <w:iCs w:val="false"/>
          <w:strike w:val="false"/>
          <w:color w:val="000000"/>
          <w:sz w:val="22"/>
          <w:szCs w:val="22"/>
        </w:rPr>
        <w:t xml:space="preserve"> links back to the original raw ingestion event. For directly ingested facts, the chain terminates at the CREATE Provenance Record with a non-null RawSourceRef pointing to the original source material. For derived facts, the chain continues recursively through all InputFUIDs until all leaf nodes are directly ingested facts. Backward traversal answers questions such as: "What raw sources support this conclusion?" and "Is this fact ultimately traceable to a verified external source?"</w:t>
      </w:r>
    </w:p>
    <w:p>
      <w:pPr>
        <w:pStyle w:val="Heading3"/>
        <w:spacing w:after="120" w:before="240" w:line="288" w:lineRule="auto"/>
      </w:pPr>
      <w:r>
        <w:rPr>
          <w:rFonts w:ascii="Calibri" w:cs="Calibri" w:eastAsia="Calibri" w:hAnsi="Calibri"/>
          <w:color w:val="000000"/>
          <w:sz w:val="30"/>
          <w:szCs w:val="30"/>
        </w:rPr>
        <w:t xml:space="preserve">5.3.3 Cross-Source Lineage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Fact Unit's Semantic Hash matches an independently ingested fact from a different SourceID, the Provenance Ledger records a CORROBORATION event linking the two Provenance chains. Cross-source lineage enables the system to identify facts that have been independently discovered from multiple unrelated sources, increasing their effective ConfidenceScore and supporting robustness arguments in adversarial settings.</w:t>
      </w:r>
    </w:p>
    <w:p>
      <w:pPr>
        <w:pStyle w:val="Heading2"/>
        <w:spacing w:after="120" w:before="240" w:line="288" w:lineRule="auto"/>
      </w:pPr>
      <w:r>
        <w:rPr>
          <w:rFonts w:ascii="Calibri" w:cs="Calibri" w:eastAsia="Calibri" w:hAnsi="Calibri"/>
          <w:color w:val="000000"/>
          <w:sz w:val="36"/>
          <w:szCs w:val="36"/>
        </w:rPr>
        <w:t xml:space="preserve">5.4 Audit and Compliance</w:t>
      </w:r>
    </w:p>
    <w:p>
      <w:pPr>
        <w:pStyle w:val="Heading3"/>
        <w:spacing w:after="120" w:before="240" w:line="288" w:lineRule="auto"/>
      </w:pPr>
      <w:r>
        <w:rPr>
          <w:rFonts w:ascii="Calibri" w:cs="Calibri" w:eastAsia="Calibri" w:hAnsi="Calibri"/>
          <w:color w:val="000000"/>
          <w:sz w:val="30"/>
          <w:szCs w:val="30"/>
        </w:rPr>
        <w:t xml:space="preserve">5.4.1 Full Audit Log Export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supports full audit log export in multiple formats: QBF binary, JSON-LD, and NDJSON (newline-delimited JSON). Exports can be scoped by: time range, FUID set, SourceID, AgentID, Operation type, or SafetyFlags. Audit exports are signed with the system's ECDSA P-384 key and include a Merkle proof enabling third-party verification of log integrity without access to the full ledger.</w:t>
      </w:r>
      <w:r>
        <w:rPr>
          <w:rFonts w:ascii="Calibri" w:cs="Calibri" w:eastAsia="Calibri" w:hAnsi="Calibri"/>
          <w:b w:val="false"/>
          <w:bCs w:val="false"/>
          <w:i/>
          <w:iCs/>
          <w:strike w:val="false"/>
          <w:color w:val="555555"/>
          <w:sz w:val="20"/>
          <w:szCs w:val="20"/>
        </w:rPr>
        <w:t xml:space="preserve"> (This export capability is callable directly via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5.4.2 GDPR Right-to-Erasure Implementation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GDPR Article 17 right-to-erasure requests are implemented via cryptographic tombstoning: the substantive content of all Fact Units associated with the data subject is encrypted with a deletion key, and the deletion key is then destroyed. The Provenance Ledger retains the FUID, Semantic Hash, and a PURGE Provenance Record (recording that erasure occurred, when, and under what legal basis), but the actual fact content becomes permanently irrecoverable. This approach preserves the integrity of the Merkle DAG chain while satisfying erasure requirements. A PII_ERASURE_CERTIFICATE is generated for each erasure event for regulatory documentation.</w:t>
      </w:r>
    </w:p>
    <w:p>
      <w:pPr>
        <w:pStyle w:val="Heading3"/>
        <w:spacing w:after="120" w:before="240" w:line="288" w:lineRule="auto"/>
      </w:pPr>
      <w:r>
        <w:rPr>
          <w:rFonts w:ascii="Calibri" w:cs="Calibri" w:eastAsia="Calibri" w:hAnsi="Calibri"/>
          <w:color w:val="000000"/>
          <w:sz w:val="30"/>
          <w:szCs w:val="30"/>
        </w:rPr>
        <w:t xml:space="preserve">5.4.3 SOC 2 Audit Trail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complete operation log, combined with the Safety Audit Log (Chapter 8), constitutes the SOC 2 Type II audit trail. Every access to a Sensitive, Restricted, Confidential, or Hazardous Fact Unit is recorded with principal identity, timestamp, operation, and outcome. Access logs are tamper-evident via the same Merkle DAG chaining applied to Provenance Records.</w:t>
      </w:r>
    </w:p>
    <w:p>
      <w:pPr>
        <w:pStyle w:val="Heading3"/>
        <w:spacing w:after="120" w:before="240" w:line="288" w:lineRule="auto"/>
      </w:pPr>
      <w:r>
        <w:rPr>
          <w:rFonts w:ascii="Calibri" w:cs="Calibri" w:eastAsia="Calibri" w:hAnsi="Calibri"/>
          <w:color w:val="000000"/>
          <w:sz w:val="30"/>
          <w:szCs w:val="30"/>
        </w:rPr>
        <w:t xml:space="preserve">5.4.4 Regulatory Retention Policies</w:t>
      </w:r>
    </w:p>
    <w:p>
      <w:pPr>
        <w:spacing w:after="120" w:line="360" w:lineRule="auto"/>
      </w:pPr>
      <w:r>
        <w:rPr>
          <w:rFonts w:ascii="Calibri" w:cs="Calibri" w:eastAsia="Calibri" w:hAnsi="Calibri"/>
          <w:b w:val="false"/>
          <w:bCs w:val="false"/>
          <w:i w:val="false"/>
          <w:iCs w:val="false"/>
          <w:strike w:val="false"/>
          <w:color w:val="000000"/>
          <w:sz w:val="22"/>
          <w:szCs w:val="22"/>
        </w:rPr>
        <w:t xml:space="preserve">Retention policies are configurable per FactType and per SafetyFlags classification: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retention:</w:t>
      </w:r>
      <w:r>
        <w:rPr>
          <w:rFonts w:ascii="Calibri" w:cs="Calibri" w:eastAsia="Calibri" w:hAnsi="Calibri"/>
          <w:b w:val="false"/>
          <w:bCs w:val="false"/>
          <w:i w:val="false"/>
          <w:iCs w:val="false"/>
          <w:strike w:val="false"/>
          <w:color w:val="000000"/>
          <w:sz w:val="22"/>
          <w:szCs w:val="22"/>
        </w:rPr>
        <w:t xml:space="preserve"> Provenance Records retained for 7 years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(HIPAA):</w:t>
      </w:r>
      <w:r>
        <w:rPr>
          <w:rFonts w:ascii="Calibri" w:cs="Calibri" w:eastAsia="Calibri" w:hAnsi="Calibri"/>
          <w:b w:val="false"/>
          <w:bCs w:val="false"/>
          <w:i w:val="false"/>
          <w:iCs w:val="false"/>
          <w:strike w:val="false"/>
          <w:color w:val="000000"/>
          <w:sz w:val="22"/>
          <w:szCs w:val="22"/>
        </w:rPr>
        <w:t xml:space="preserve"> Minimum 6 years from creation or last activity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(FINRA):</w:t>
      </w:r>
      <w:r>
        <w:rPr>
          <w:rFonts w:ascii="Calibri" w:cs="Calibri" w:eastAsia="Calibri" w:hAnsi="Calibri"/>
          <w:b w:val="false"/>
          <w:bCs w:val="false"/>
          <w:i w:val="false"/>
          <w:iCs w:val="false"/>
          <w:strike w:val="false"/>
          <w:color w:val="000000"/>
          <w:sz w:val="22"/>
          <w:szCs w:val="22"/>
        </w:rPr>
        <w:t xml:space="preserve"> Minimum 7 years for transaction-related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REGULATED (GDPR):</w:t>
      </w:r>
      <w:r>
        <w:rPr>
          <w:rFonts w:ascii="Calibri" w:cs="Calibri" w:eastAsia="Calibri" w:hAnsi="Calibri"/>
          <w:b w:val="false"/>
          <w:bCs w:val="false"/>
          <w:i w:val="false"/>
          <w:iCs w:val="false"/>
          <w:strike w:val="false"/>
          <w:color w:val="000000"/>
          <w:sz w:val="22"/>
          <w:szCs w:val="22"/>
        </w:rPr>
        <w:t xml:space="preserve"> Retained until erasure request; tombstone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LEGALLY_SENSITIVE:</w:t>
      </w:r>
      <w:r>
        <w:rPr>
          <w:rFonts w:ascii="Calibri" w:cs="Calibri" w:eastAsia="Calibri" w:hAnsi="Calibri"/>
          <w:b w:val="false"/>
          <w:bCs w:val="false"/>
          <w:i w:val="false"/>
          <w:iCs w:val="false"/>
          <w:strike w:val="false"/>
          <w:color w:val="000000"/>
          <w:sz w:val="22"/>
          <w:szCs w:val="22"/>
        </w:rPr>
        <w:t xml:space="preserve"> Retained per applicable jurisdiction's statute of limitations plus 2 years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 — ONTOLOGY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 Executive Summary</w:t>
            </w:r>
            <w:r>
              <w:rPr>
                <w:rFonts w:ascii="Calibri" w:cs="Calibri" w:eastAsia="Calibri" w:hAnsi="Calibri"/>
                <w:b/>
                <w:bCs/>
                <w:i w:val="false"/>
                <w:iCs w:val="false"/>
                <w:strike w:val="false"/>
                <w:color w:val="333333"/>
                <w:sz w:val="24"/>
                <w:szCs w:val="24"/>
              </w:rPr>
              <w:t xml:space="preserve">Part V specifies the Ontology Mesh — the dynamic, versioned, poly-hierarchical type system governing all Fact Units and Fact Graph relations. It defines the four-layer architecture (Upper Ontology, Domain Ontologies, Task Ontologies, Instance Layer), the Predicate Library, ontology update protocols, and the Cross-Domain Rule Engine that enforces consistency across domain boundaries.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 Ontology System</w:t>
      </w:r>
    </w:p>
    <w:p>
      <w:pPr>
        <w:pStyle w:val="Heading1"/>
        <w:spacing w:after="120" w:before="240" w:line="288" w:lineRule="auto"/>
      </w:pPr>
      <w:r>
        <w:rPr>
          <w:rFonts w:ascii="Calibri" w:cs="Calibri" w:eastAsia="Calibri" w:hAnsi="Calibri"/>
          <w:color w:val="000000"/>
          <w:sz w:val="48"/>
          <w:szCs w:val="48"/>
        </w:rPr>
        <w:t xml:space="preserve">Chapter 6: Ontology Mesh — Complete Specification</w:t>
      </w:r>
    </w:p>
    <w:p>
      <w:pPr>
        <w:pStyle w:val="Heading2"/>
        <w:spacing w:after="120" w:before="240" w:line="288" w:lineRule="auto"/>
      </w:pPr>
      <w:r>
        <w:rPr>
          <w:rFonts w:ascii="Calibri" w:cs="Calibri" w:eastAsia="Calibri" w:hAnsi="Calibri"/>
          <w:color w:val="000000"/>
          <w:sz w:val="36"/>
          <w:szCs w:val="36"/>
        </w:rPr>
        <w:t xml:space="preserve">6.1 Design Principles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Ontology Mesh embodies the following design principles, each of which is an inviolable architectural constraint: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Poly-Hierarchical:</w:t>
      </w:r>
      <w:r>
        <w:rPr>
          <w:rFonts w:ascii="Calibri" w:cs="Calibri" w:eastAsia="Calibri" w:hAnsi="Calibri"/>
          <w:b w:val="false"/>
          <w:bCs w:val="false"/>
          <w:i w:val="false"/>
          <w:iCs w:val="false"/>
          <w:strike w:val="false"/>
          <w:color w:val="000000"/>
          <w:sz w:val="22"/>
          <w:szCs w:val="22"/>
        </w:rPr>
        <w:t xml:space="preserve"> Every concept in the Ontology Mesh may participate in multiple taxonomic hierarchies simultaneously. A concept such as "clinical trial" may simultaneously be a subtype of "scientific study" (under the Science domain ontology) and "regulated process" (under the Law domain ontology). This poly-hierarchical structure enables richer cross-domain reasoning than single-hierarchy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Open World Assumption with Closed World Extensions:</w:t>
      </w:r>
      <w:r>
        <w:rPr>
          <w:rFonts w:ascii="Calibri" w:cs="Calibri" w:eastAsia="Calibri" w:hAnsi="Calibri"/>
          <w:b w:val="false"/>
          <w:bCs w:val="false"/>
          <w:i w:val="false"/>
          <w:iCs w:val="false"/>
          <w:strike w:val="false"/>
          <w:color w:val="000000"/>
          <w:sz w:val="22"/>
          <w:szCs w:val="22"/>
        </w:rPr>
        <w:t xml:space="preserve"> By default, the Ontology Mesh operates under the Open World Assumption (OWA): the absence of a fact in the Fact Graph does not imply the fact is false. However, specific domain sub-ontologies may be declared as operating under the Closed World Assumption (CWA) when application requirements demand completeness guarantees (e.g., drug interaction databases, regulatory compliance catalogs).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Versioned and Backward-Compatible:</w:t>
      </w:r>
      <w:r>
        <w:rPr>
          <w:rFonts w:ascii="Calibri" w:cs="Calibri" w:eastAsia="Calibri" w:hAnsi="Calibri"/>
          <w:b w:val="false"/>
          <w:bCs w:val="false"/>
          <w:i w:val="false"/>
          <w:iCs w:val="false"/>
          <w:strike w:val="false"/>
          <w:color w:val="000000"/>
          <w:sz w:val="22"/>
          <w:szCs w:val="22"/>
        </w:rPr>
        <w:t xml:space="preserve"> Every schema change to any component of the Ontology Mesh is versioned using semantic versioning. Backward-incompatible changes (changes to required fields, removal of valid FactTypes, narrowing of value domains) are never permitted in minor or patch versions. All deployed Fact Units remain valid under the ontology version under which they were created, and are eligible for automated re-validation against the current version.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Domain-Federated:</w:t>
      </w:r>
      <w:r>
        <w:rPr>
          <w:rFonts w:ascii="Calibri" w:cs="Calibri" w:eastAsia="Calibri" w:hAnsi="Calibri"/>
          <w:b w:val="false"/>
          <w:bCs w:val="false"/>
          <w:i w:val="false"/>
          <w:iCs w:val="false"/>
          <w:strike w:val="false"/>
          <w:color w:val="000000"/>
          <w:sz w:val="22"/>
          <w:szCs w:val="22"/>
        </w:rPr>
        <w:t xml:space="preserve"> Different knowledge domains maintain their own sub-ontologies, governed by designated domain ontology stewards. Domain sub-ontologies must be registered with and approved by the Central Ontology Authority (COA) before activation. All domain sub-ontologies must declare their upper ontology mappings (Layer 1 alignments).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Machine-Actionable:</w:t>
      </w:r>
      <w:r>
        <w:rPr>
          <w:rFonts w:ascii="Calibri" w:cs="Calibri" w:eastAsia="Calibri" w:hAnsi="Calibri"/>
          <w:b w:val="false"/>
          <w:bCs w:val="false"/>
          <w:i w:val="false"/>
          <w:iCs w:val="false"/>
          <w:strike w:val="false"/>
          <w:color w:val="000000"/>
          <w:sz w:val="22"/>
          <w:szCs w:val="22"/>
        </w:rPr>
        <w:t xml:space="preserve"> Every component of the Ontology Mesh is expressed in a formal representation language (OWL 2 DL extended with probabilistic extensions) enabling automated consistency checking, subsumption reasoning, and query rewriting.</w:t>
      </w:r>
    </w:p>
    <w:p>
      <w:pPr>
        <w:pStyle w:val="Heading2"/>
        <w:spacing w:after="120" w:before="240" w:line="288" w:lineRule="auto"/>
      </w:pPr>
      <w:r>
        <w:rPr>
          <w:rFonts w:ascii="Calibri" w:cs="Calibri" w:eastAsia="Calibri" w:hAnsi="Calibri"/>
          <w:color w:val="000000"/>
          <w:sz w:val="36"/>
          <w:szCs w:val="36"/>
        </w:rPr>
        <w:t xml:space="preserve">6.2 Core Ontology Layers</w:t>
      </w:r>
    </w:p>
    <w:p>
      <w:pPr>
        <w:pStyle w:val="Heading3"/>
        <w:spacing w:after="120" w:before="240" w:line="288" w:lineRule="auto"/>
      </w:pPr>
      <w:r>
        <w:rPr>
          <w:rFonts w:ascii="Calibri" w:cs="Calibri" w:eastAsia="Calibri" w:hAnsi="Calibri"/>
          <w:color w:val="000000"/>
          <w:sz w:val="30"/>
          <w:szCs w:val="30"/>
        </w:rPr>
        <w:t xml:space="preserve">Layer 1 — Upper Ontology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Upper Ontology defines the universal top-level categories to which all domain-specific concepts must ultimately be mapped. The Upper Ontology is fixed and version-locked; changes require a formal Ontology Mesh Major Version upgrade with full system-wide impact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Top-Level 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43%"/>
            <w:shd w:fill="DCE6F0" w:color="auto" w:val="clear"/>
          </w:tcPr>
          <w:p>
            <w:r>
              <w:rPr>
                <w:rFonts w:ascii="Calibri" w:cs="Calibri" w:eastAsia="Calibri" w:hAnsi="Calibri"/>
                <w:b/>
                <w:bCs/>
                <w:i w:val="false"/>
                <w:iCs w:val="false"/>
                <w:strike w:val="false"/>
                <w:color w:val="0D2A5E"/>
                <w:sz w:val="20"/>
                <w:szCs w:val="20"/>
              </w:rPr>
              <w:t xml:space="preserve">Example Subcategories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Entity</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w:t>
            </w:r>
          </w:p>
        </w:tc>
        <w:tc>
          <w:tcPr>
            <w:tcW w:type="pct" w:w="43%"/>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or occurs at a specific time or over a time interval, involving participants</w:t>
            </w:r>
          </w:p>
        </w:tc>
        <w:tc>
          <w:tcPr>
            <w:tcW w:type="pct" w:w="43%"/>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w:t>
            </w:r>
          </w:p>
        </w:tc>
        <w:tc>
          <w:tcPr>
            <w:tcW w:type="pct" w:w="43%"/>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or events</w:t>
            </w:r>
          </w:p>
        </w:tc>
        <w:tc>
          <w:tcPr>
            <w:tcW w:type="pct" w:w="43%"/>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or event may possess</w:t>
            </w:r>
          </w:p>
        </w:tc>
        <w:tc>
          <w:tcPr>
            <w:tcW w:type="pct" w:w="43%"/>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w:t>
            </w:r>
          </w:p>
        </w:tc>
        <w:tc>
          <w:tcPr>
            <w:tcW w:type="pct" w:w="43%"/>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w:t>
            </w:r>
          </w:p>
        </w:tc>
        <w:tc>
          <w:tcPr>
            <w:tcW w:type="pct" w:w="43%"/>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Time</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w:t>
            </w:r>
          </w:p>
        </w:tc>
        <w:tc>
          <w:tcPr>
            <w:tcW w:type="pct" w:w="43%"/>
          </w:tcPr>
          <w:p>
            <w:r>
              <w:rPr>
                <w:rFonts w:ascii="Calibri" w:cs="Calibri" w:eastAsia="Calibri" w:hAnsi="Calibri"/>
                <w:b w:val="false"/>
                <w:bCs w:val="false"/>
                <w:i w:val="false"/>
                <w:iCs w:val="false"/>
                <w:strike w:val="false"/>
                <w:color w:val="000000"/>
                <w:sz w:val="20"/>
                <w:szCs w:val="20"/>
              </w:rPr>
              <w:t xml:space="preserve">Time_Instant, Time_Interval, Duration, Temporal_Order</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2 — Domain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Domain Ontologies extend the Upper Ontology with domain-specific concept hierarchies, predicates, and constraints. The following domains have registered sub-ontologies in the initial Ontology Mesh release: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Domain</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Domain Ontology ID</w:t>
            </w:r>
          </w:p>
        </w:tc>
        <w:tc>
          <w:tcPr>
            <w:tcW w:type="pct" w:w="39%"/>
            <w:shd w:fill="DCE6F0" w:color="auto" w:val="clear"/>
          </w:tcPr>
          <w:p>
            <w:r>
              <w:rPr>
                <w:rFonts w:ascii="Calibri" w:cs="Calibri" w:eastAsia="Calibri" w:hAnsi="Calibri"/>
                <w:b/>
                <w:bCs/>
                <w:i w:val="false"/>
                <w:iCs w:val="false"/>
                <w:strike w:val="false"/>
                <w:color w:val="0D2A5E"/>
                <w:sz w:val="20"/>
                <w:szCs w:val="20"/>
              </w:rPr>
              <w:t xml:space="preserve">Key Concept Types</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Key Predicates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Science</w:t>
            </w:r>
          </w:p>
        </w:tc>
        <w:tc>
          <w:tcPr>
            <w:tcW w:type="pct" w:w="13%"/>
          </w:tcPr>
          <w:p>
            <w:r>
              <w:rPr>
                <w:rFonts w:ascii="Calibri" w:cs="Calibri" w:eastAsia="Calibri" w:hAnsi="Calibri"/>
                <w:b w:val="false"/>
                <w:bCs w:val="false"/>
                <w:i w:val="false"/>
                <w:iCs w:val="false"/>
                <w:strike w:val="false"/>
                <w:color w:val="000000"/>
                <w:sz w:val="20"/>
                <w:szCs w:val="20"/>
              </w:rPr>
              <w:t xml:space="preserve">OM-DOM-SCI-001</w:t>
            </w:r>
          </w:p>
        </w:tc>
        <w:tc>
          <w:tcPr>
            <w:tcW w:type="pct" w:w="39%"/>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w:t>
            </w:r>
          </w:p>
        </w:tc>
        <w:tc>
          <w:tcPr>
            <w:tcW w:type="pct" w:w="36%"/>
          </w:tcPr>
          <w:p>
            <w:r>
              <w:rPr>
                <w:rFonts w:ascii="Calibri" w:cs="Calibri" w:eastAsia="Calibri" w:hAnsi="Calibri"/>
                <w:b w:val="false"/>
                <w:bCs w:val="false"/>
                <w:i w:val="false"/>
                <w:iCs w:val="false"/>
                <w:strike w:val="false"/>
                <w:color w:val="000000"/>
                <w:sz w:val="20"/>
                <w:szCs w:val="20"/>
              </w:rPr>
              <w:t xml:space="preserve">hypothesizes, replicates, contradicts_finding, cites, conducted_by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Law</w:t>
            </w:r>
          </w:p>
        </w:tc>
        <w:tc>
          <w:tcPr>
            <w:tcW w:type="pct" w:w="13%"/>
          </w:tcPr>
          <w:p>
            <w:r>
              <w:rPr>
                <w:rFonts w:ascii="Calibri" w:cs="Calibri" w:eastAsia="Calibri" w:hAnsi="Calibri"/>
                <w:b w:val="false"/>
                <w:bCs w:val="false"/>
                <w:i w:val="false"/>
                <w:iCs w:val="false"/>
                <w:strike w:val="false"/>
                <w:color w:val="000000"/>
                <w:sz w:val="20"/>
                <w:szCs w:val="20"/>
              </w:rPr>
              <w:t xml:space="preserve">OM-DOM-LAW-001</w:t>
            </w:r>
          </w:p>
        </w:tc>
        <w:tc>
          <w:tcPr>
            <w:tcW w:type="pct" w:w="39%"/>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w:t>
            </w:r>
          </w:p>
        </w:tc>
        <w:tc>
          <w:tcPr>
            <w:tcW w:type="pct" w:w="36%"/>
          </w:tcPr>
          <w:p>
            <w:r>
              <w:rPr>
                <w:rFonts w:ascii="Calibri" w:cs="Calibri" w:eastAsia="Calibri" w:hAnsi="Calibri"/>
                <w:b w:val="false"/>
                <w:bCs w:val="false"/>
                <w:i w:val="false"/>
                <w:iCs w:val="false"/>
                <w:strike w:val="false"/>
                <w:color w:val="000000"/>
                <w:sz w:val="20"/>
                <w:szCs w:val="20"/>
              </w:rPr>
              <w:t xml:space="preserve">governs, ruled_by, amends, violates, enforceable_in, supersedes_regulation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Medicine</w:t>
            </w:r>
          </w:p>
        </w:tc>
        <w:tc>
          <w:tcPr>
            <w:tcW w:type="pct" w:w="13%"/>
          </w:tcPr>
          <w:p>
            <w:r>
              <w:rPr>
                <w:rFonts w:ascii="Calibri" w:cs="Calibri" w:eastAsia="Calibri" w:hAnsi="Calibri"/>
                <w:b w:val="false"/>
                <w:bCs w:val="false"/>
                <w:i w:val="false"/>
                <w:iCs w:val="false"/>
                <w:strike w:val="false"/>
                <w:color w:val="000000"/>
                <w:sz w:val="20"/>
                <w:szCs w:val="20"/>
              </w:rPr>
              <w:t xml:space="preserve">OM-DOM-MED-001</w:t>
            </w:r>
          </w:p>
        </w:tc>
        <w:tc>
          <w:tcPr>
            <w:tcW w:type="pct" w:w="39%"/>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w:t>
            </w:r>
          </w:p>
        </w:tc>
        <w:tc>
          <w:tcPr>
            <w:tcW w:type="pct" w:w="36%"/>
          </w:tcPr>
          <w:p>
            <w:r>
              <w:rPr>
                <w:rFonts w:ascii="Calibri" w:cs="Calibri" w:eastAsia="Calibri" w:hAnsi="Calibri"/>
                <w:b w:val="false"/>
                <w:bCs w:val="false"/>
                <w:i w:val="false"/>
                <w:iCs w:val="false"/>
                <w:strike w:val="false"/>
                <w:color w:val="000000"/>
                <w:sz w:val="20"/>
                <w:szCs w:val="20"/>
              </w:rPr>
              <w:t xml:space="preserve">treats, contraindicates, causes_symptom, tested_in, diagnosed_with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Finance</w:t>
            </w:r>
          </w:p>
        </w:tc>
        <w:tc>
          <w:tcPr>
            <w:tcW w:type="pct" w:w="13%"/>
          </w:tcPr>
          <w:p>
            <w:r>
              <w:rPr>
                <w:rFonts w:ascii="Calibri" w:cs="Calibri" w:eastAsia="Calibri" w:hAnsi="Calibri"/>
                <w:b w:val="false"/>
                <w:bCs w:val="false"/>
                <w:i w:val="false"/>
                <w:iCs w:val="false"/>
                <w:strike w:val="false"/>
                <w:color w:val="000000"/>
                <w:sz w:val="20"/>
                <w:szCs w:val="20"/>
              </w:rPr>
              <w:t xml:space="preserve">OM-DOM-FIN-001</w:t>
            </w:r>
          </w:p>
        </w:tc>
        <w:tc>
          <w:tcPr>
            <w:tcW w:type="pct" w:w="39%"/>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w:t>
            </w:r>
          </w:p>
        </w:tc>
        <w:tc>
          <w:tcPr>
            <w:tcW w:type="pct" w:w="36%"/>
          </w:tcPr>
          <w:p>
            <w:r>
              <w:rPr>
                <w:rFonts w:ascii="Calibri" w:cs="Calibri" w:eastAsia="Calibri" w:hAnsi="Calibri"/>
                <w:b w:val="false"/>
                <w:bCs w:val="false"/>
                <w:i w:val="false"/>
                <w:iCs w:val="false"/>
                <w:strike w:val="false"/>
                <w:color w:val="000000"/>
                <w:sz w:val="20"/>
                <w:szCs w:val="20"/>
              </w:rPr>
              <w:t xml:space="preserve">trades_at, issued_by, regulated_by, correlated_with, denominates_in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Engineering</w:t>
            </w:r>
          </w:p>
        </w:tc>
        <w:tc>
          <w:tcPr>
            <w:tcW w:type="pct" w:w="13%"/>
          </w:tcPr>
          <w:p>
            <w:r>
              <w:rPr>
                <w:rFonts w:ascii="Calibri" w:cs="Calibri" w:eastAsia="Calibri" w:hAnsi="Calibri"/>
                <w:b w:val="false"/>
                <w:bCs w:val="false"/>
                <w:i w:val="false"/>
                <w:iCs w:val="false"/>
                <w:strike w:val="false"/>
                <w:color w:val="000000"/>
                <w:sz w:val="20"/>
                <w:szCs w:val="20"/>
              </w:rPr>
              <w:t xml:space="preserve">OM-DOM-ENG-001</w:t>
            </w:r>
          </w:p>
        </w:tc>
        <w:tc>
          <w:tcPr>
            <w:tcW w:type="pct" w:w="39%"/>
          </w:tcPr>
          <w:p>
            <w:r>
              <w:rPr>
                <w:rFonts w:ascii="Calibri" w:cs="Calibri" w:eastAsia="Calibri" w:hAnsi="Calibri"/>
                <w:b w:val="false"/>
                <w:bCs w:val="false"/>
                <w:i w:val="false"/>
                <w:iCs w:val="false"/>
                <w:strike w:val="false"/>
                <w:color w:val="000000"/>
                <w:sz w:val="20"/>
                <w:szCs w:val="20"/>
              </w:rPr>
              <w:t xml:space="preserve">SystemComponent, Interface, Specification, Patent, Standard, TechnicalProcess</w:t>
            </w:r>
          </w:p>
        </w:tc>
        <w:tc>
          <w:tcPr>
            <w:tcW w:type="pct" w:w="36%"/>
          </w:tcPr>
          <w:p>
            <w:r>
              <w:rPr>
                <w:rFonts w:ascii="Calibri" w:cs="Calibri" w:eastAsia="Calibri" w:hAnsi="Calibri"/>
                <w:b w:val="false"/>
                <w:bCs w:val="false"/>
                <w:i w:val="false"/>
                <w:iCs w:val="false"/>
                <w:strike w:val="false"/>
                <w:color w:val="000000"/>
                <w:sz w:val="20"/>
                <w:szCs w:val="20"/>
              </w:rPr>
              <w:t xml:space="preserve">implements, depends_on, conforms_to, supersedes_standard, interfaces_with</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Geopolitics</w:t>
            </w:r>
          </w:p>
        </w:tc>
        <w:tc>
          <w:tcPr>
            <w:tcW w:type="pct" w:w="13%"/>
          </w:tcPr>
          <w:p>
            <w:r>
              <w:rPr>
                <w:rFonts w:ascii="Calibri" w:cs="Calibri" w:eastAsia="Calibri" w:hAnsi="Calibri"/>
                <w:b w:val="false"/>
                <w:bCs w:val="false"/>
                <w:i w:val="false"/>
                <w:iCs w:val="false"/>
                <w:strike w:val="false"/>
                <w:color w:val="000000"/>
                <w:sz w:val="20"/>
                <w:szCs w:val="20"/>
              </w:rPr>
              <w:t xml:space="preserve">OM-DOM-GEO-001</w:t>
            </w:r>
          </w:p>
        </w:tc>
        <w:tc>
          <w:tcPr>
            <w:tcW w:type="pct" w:w="39%"/>
          </w:tcPr>
          <w:p>
            <w:r>
              <w:rPr>
                <w:rFonts w:ascii="Calibri" w:cs="Calibri" w:eastAsia="Calibri" w:hAnsi="Calibri"/>
                <w:b w:val="false"/>
                <w:bCs w:val="false"/>
                <w:i w:val="false"/>
                <w:iCs w:val="false"/>
                <w:strike w:val="false"/>
                <w:color w:val="000000"/>
                <w:sz w:val="20"/>
                <w:szCs w:val="20"/>
              </w:rPr>
              <w:t xml:space="preserve">Country, Government, Treaty, PoliticalParty, ElectionEvent, ConflictEvent</w:t>
            </w:r>
          </w:p>
        </w:tc>
        <w:tc>
          <w:tcPr>
            <w:tcW w:type="pct" w:w="36%"/>
          </w:tcPr>
          <w:p>
            <w:r>
              <w:rPr>
                <w:rFonts w:ascii="Calibri" w:cs="Calibri" w:eastAsia="Calibri" w:hAnsi="Calibri"/>
                <w:b w:val="false"/>
                <w:bCs w:val="false"/>
                <w:i w:val="false"/>
                <w:iCs w:val="false"/>
                <w:strike w:val="false"/>
                <w:color w:val="000000"/>
                <w:sz w:val="20"/>
                <w:szCs w:val="20"/>
              </w:rPr>
              <w:t xml:space="preserve">governs_territory, parties_to_treaty, allies_with, sanctions, recognized_by</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Culture</w:t>
            </w:r>
          </w:p>
        </w:tc>
        <w:tc>
          <w:tcPr>
            <w:tcW w:type="pct" w:w="13%"/>
          </w:tcPr>
          <w:p>
            <w:r>
              <w:rPr>
                <w:rFonts w:ascii="Calibri" w:cs="Calibri" w:eastAsia="Calibri" w:hAnsi="Calibri"/>
                <w:b w:val="false"/>
                <w:bCs w:val="false"/>
                <w:i w:val="false"/>
                <w:iCs w:val="false"/>
                <w:strike w:val="false"/>
                <w:color w:val="000000"/>
                <w:sz w:val="20"/>
                <w:szCs w:val="20"/>
              </w:rPr>
              <w:t xml:space="preserve">OM-DOM-CUL-001</w:t>
            </w:r>
          </w:p>
        </w:tc>
        <w:tc>
          <w:tcPr>
            <w:tcW w:type="pct" w:w="39%"/>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w:t>
            </w:r>
          </w:p>
        </w:tc>
        <w:tc>
          <w:tcPr>
            <w:tcW w:type="pct" w:w="36%"/>
          </w:tcPr>
          <w:p>
            <w:r>
              <w:rPr>
                <w:rFonts w:ascii="Calibri" w:cs="Calibri" w:eastAsia="Calibri" w:hAnsi="Calibri"/>
                <w:b w:val="false"/>
                <w:bCs w:val="false"/>
                <w:i w:val="false"/>
                <w:iCs w:val="false"/>
                <w:strike w:val="false"/>
                <w:color w:val="000000"/>
                <w:sz w:val="20"/>
                <w:szCs w:val="20"/>
              </w:rPr>
              <w:t xml:space="preserve">created_by, influenced_by, part_of_movement, spoken_in, depicts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Technology</w:t>
            </w:r>
          </w:p>
        </w:tc>
        <w:tc>
          <w:tcPr>
            <w:tcW w:type="pct" w:w="13%"/>
          </w:tcPr>
          <w:p>
            <w:r>
              <w:rPr>
                <w:rFonts w:ascii="Calibri" w:cs="Calibri" w:eastAsia="Calibri" w:hAnsi="Calibri"/>
                <w:b w:val="false"/>
                <w:bCs w:val="false"/>
                <w:i w:val="false"/>
                <w:iCs w:val="false"/>
                <w:strike w:val="false"/>
                <w:color w:val="000000"/>
                <w:sz w:val="20"/>
                <w:szCs w:val="20"/>
              </w:rPr>
              <w:t xml:space="preserve">OM-DOM-TEC-001</w:t>
            </w:r>
          </w:p>
        </w:tc>
        <w:tc>
          <w:tcPr>
            <w:tcW w:type="pct" w:w="39%"/>
          </w:tcPr>
          <w:p>
            <w:r>
              <w:rPr>
                <w:rFonts w:ascii="Calibri" w:cs="Calibri" w:eastAsia="Calibri" w:hAnsi="Calibri"/>
                <w:b w:val="false"/>
                <w:bCs w:val="false"/>
                <w:i w:val="false"/>
                <w:iCs w:val="false"/>
                <w:strike w:val="false"/>
                <w:color w:val="000000"/>
                <w:sz w:val="20"/>
                <w:szCs w:val="20"/>
              </w:rPr>
              <w:t xml:space="preserve">SoftwareSystem, Algorithm, Dataset, AIModel, HardwarePlatform, API</w:t>
            </w:r>
          </w:p>
        </w:tc>
        <w:tc>
          <w:tcPr>
            <w:tcW w:type="pct" w:w="36%"/>
          </w:tcPr>
          <w:p>
            <w:r>
              <w:rPr>
                <w:rFonts w:ascii="Calibri" w:cs="Calibri" w:eastAsia="Calibri" w:hAnsi="Calibri"/>
                <w:b w:val="false"/>
                <w:bCs w:val="false"/>
                <w:i w:val="false"/>
                <w:iCs w:val="false"/>
                <w:strike w:val="false"/>
                <w:color w:val="000000"/>
                <w:sz w:val="20"/>
                <w:szCs w:val="20"/>
              </w:rPr>
              <w:t xml:space="preserve">trained_on, benchmarked_on, built_with, exposes_api, replaces_system</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3 — Task Ontologies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Task Ontologies define schemas for specific reasoning operations, enabling the NCL and AGI Extension Modules to perform structured reasoning. Each Task Ontology defines the Fact Unit types required as input and produced as output for a specific reasoning task.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Task Ontology</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Input Fact Types</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Output Fact Types</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Governing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Comparison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 (multiple entities)</w:t>
            </w:r>
          </w:p>
        </w:tc>
        <w:tc>
          <w:tcPr>
            <w:tcW w:type="pct" w:w="30%"/>
          </w:tcPr>
          <w:p>
            <w:r>
              <w:rPr>
                <w:rFonts w:ascii="Calibri" w:cs="Calibri" w:eastAsia="Calibri" w:hAnsi="Calibri"/>
                <w:b w:val="false"/>
                <w:bCs w:val="false"/>
                <w:i w:val="false"/>
                <w:iCs w:val="false"/>
                <w:strike w:val="false"/>
                <w:color w:val="000000"/>
                <w:sz w:val="20"/>
                <w:szCs w:val="20"/>
              </w:rPr>
              <w:t xml:space="preserve">COMPARISON_RESULT, RANKING</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Causation</w:t>
            </w:r>
          </w:p>
        </w:tc>
        <w:tc>
          <w:tcPr>
            <w:tcW w:type="pct" w:w="28%"/>
          </w:tcPr>
          <w:p>
            <w:r>
              <w:rPr>
                <w:rFonts w:ascii="Calibri" w:cs="Calibri" w:eastAsia="Calibri" w:hAnsi="Calibri"/>
                <w:b w:val="false"/>
                <w:bCs w:val="false"/>
                <w:i w:val="false"/>
                <w:iCs w:val="false"/>
                <w:strike w:val="false"/>
                <w:color w:val="000000"/>
                <w:sz w:val="20"/>
                <w:szCs w:val="20"/>
              </w:rPr>
              <w:t xml:space="preserve">EVENT, CAUSAL_CLAIM</w:t>
            </w:r>
          </w:p>
        </w:tc>
        <w:tc>
          <w:tcPr>
            <w:tcW w:type="pct" w:w="30%"/>
          </w:tcPr>
          <w:p>
            <w:r>
              <w:rPr>
                <w:rFonts w:ascii="Calibri" w:cs="Calibri" w:eastAsia="Calibri" w:hAnsi="Calibri"/>
                <w:b w:val="false"/>
                <w:bCs w:val="false"/>
                <w:i w:val="false"/>
                <w:iCs w:val="false"/>
                <w:strike w:val="false"/>
                <w:color w:val="000000"/>
                <w:sz w:val="20"/>
                <w:szCs w:val="20"/>
              </w:rPr>
              <w:t xml:space="preserve">CAUSAL_RELATION, CAUSAL_CHAIN</w:t>
            </w:r>
          </w:p>
        </w:tc>
        <w:tc>
          <w:tcPr>
            <w:tcW w:type="pct" w:w="27%"/>
          </w:tcPr>
          <w:p>
            <w:r>
              <w:rPr>
                <w:rFonts w:ascii="Calibri" w:cs="Calibri" w:eastAsia="Calibri" w:hAnsi="Calibri"/>
                <w:b w:val="false"/>
                <w:bCs w:val="false"/>
                <w:i w:val="false"/>
                <w:iCs w:val="false"/>
                <w:strike w:val="false"/>
                <w:color w:val="000000"/>
                <w:sz w:val="20"/>
                <w:szCs w:val="20"/>
              </w:rPr>
              <w:t xml:space="preserve">AEM-3 Causal Discovery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Prediction</w:t>
            </w:r>
          </w:p>
        </w:tc>
        <w:tc>
          <w:tcPr>
            <w:tcW w:type="pct" w:w="28%"/>
          </w:tcPr>
          <w:p>
            <w:r>
              <w:rPr>
                <w:rFonts w:ascii="Calibri" w:cs="Calibri" w:eastAsia="Calibri" w:hAnsi="Calibri"/>
                <w:b w:val="false"/>
                <w:bCs w:val="false"/>
                <w:i w:val="false"/>
                <w:iCs w:val="false"/>
                <w:strike w:val="false"/>
                <w:color w:val="000000"/>
                <w:sz w:val="20"/>
                <w:szCs w:val="20"/>
              </w:rPr>
              <w:t xml:space="preserve">TREND, TIME_SERIES_POINT, CAUSAL_RELATION</w:t>
            </w:r>
          </w:p>
        </w:tc>
        <w:tc>
          <w:tcPr>
            <w:tcW w:type="pct" w:w="30%"/>
          </w:tcPr>
          <w:p>
            <w:r>
              <w:rPr>
                <w:rFonts w:ascii="Calibri" w:cs="Calibri" w:eastAsia="Calibri" w:hAnsi="Calibri"/>
                <w:b w:val="false"/>
                <w:bCs w:val="false"/>
                <w:i w:val="false"/>
                <w:iCs w:val="false"/>
                <w:strike w:val="false"/>
                <w:color w:val="000000"/>
                <w:sz w:val="20"/>
                <w:szCs w:val="20"/>
              </w:rPr>
              <w:t xml:space="preserve">PREDICTION (with confidence interval)</w:t>
            </w:r>
          </w:p>
        </w:tc>
        <w:tc>
          <w:tcPr>
            <w:tcW w:type="pct" w:w="27%"/>
          </w:tcPr>
          <w:p>
            <w:r>
              <w:rPr>
                <w:rFonts w:ascii="Calibri" w:cs="Calibri" w:eastAsia="Calibri" w:hAnsi="Calibri"/>
                <w:b w:val="false"/>
                <w:bCs w:val="false"/>
                <w:i w:val="false"/>
                <w:iCs w:val="false"/>
                <w:strike w:val="false"/>
                <w:color w:val="000000"/>
                <w:sz w:val="20"/>
                <w:szCs w:val="20"/>
              </w:rPr>
              <w:t xml:space="preserve">PIE Predictive Inference Engine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Classification</w:t>
            </w:r>
          </w:p>
        </w:tc>
        <w:tc>
          <w:tcPr>
            <w:tcW w:type="pct" w:w="28%"/>
          </w:tcPr>
          <w:p>
            <w:r>
              <w:rPr>
                <w:rFonts w:ascii="Calibri" w:cs="Calibri" w:eastAsia="Calibri" w:hAnsi="Calibri"/>
                <w:b w:val="false"/>
                <w:bCs w:val="false"/>
                <w:i w:val="false"/>
                <w:iCs w:val="false"/>
                <w:strike w:val="false"/>
                <w:color w:val="000000"/>
                <w:sz w:val="20"/>
                <w:szCs w:val="20"/>
              </w:rPr>
              <w:t xml:space="preserve">ENTITY_ATTRIBUTE</w:t>
            </w:r>
          </w:p>
        </w:tc>
        <w:tc>
          <w:tcPr>
            <w:tcW w:type="pct" w:w="30%"/>
          </w:tcPr>
          <w:p>
            <w:r>
              <w:rPr>
                <w:rFonts w:ascii="Calibri" w:cs="Calibri" w:eastAsia="Calibri" w:hAnsi="Calibri"/>
                <w:b w:val="false"/>
                <w:bCs w:val="false"/>
                <w:i w:val="false"/>
                <w:iCs w:val="false"/>
                <w:strike w:val="false"/>
                <w:color w:val="000000"/>
                <w:sz w:val="20"/>
                <w:szCs w:val="20"/>
              </w:rPr>
              <w:t xml:space="preserve">CLASSIFICATION_ASSIGNMENT</w:t>
            </w:r>
          </w:p>
        </w:tc>
        <w:tc>
          <w:tcPr>
            <w:tcW w:type="pct" w:w="27%"/>
          </w:tcPr>
          <w:p>
            <w:r>
              <w:rPr>
                <w:rFonts w:ascii="Calibri" w:cs="Calibri" w:eastAsia="Calibri" w:hAnsi="Calibri"/>
                <w:b w:val="false"/>
                <w:bCs w:val="false"/>
                <w:i w:val="false"/>
                <w:iCs w:val="false"/>
                <w:strike w:val="false"/>
                <w:color w:val="000000"/>
                <w:sz w:val="20"/>
                <w:szCs w:val="20"/>
              </w:rPr>
              <w:t xml:space="preserve">NCL Associative Recall Component (ARC)</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Abduction</w:t>
            </w:r>
          </w:p>
        </w:tc>
        <w:tc>
          <w:tcPr>
            <w:tcW w:type="pct" w:w="28%"/>
          </w:tcPr>
          <w:p>
            <w:r>
              <w:rPr>
                <w:rFonts w:ascii="Calibri" w:cs="Calibri" w:eastAsia="Calibri" w:hAnsi="Calibri"/>
                <w:b w:val="false"/>
                <w:bCs w:val="false"/>
                <w:i w:val="false"/>
                <w:iCs w:val="false"/>
                <w:strike w:val="false"/>
                <w:color w:val="000000"/>
                <w:sz w:val="20"/>
                <w:szCs w:val="20"/>
              </w:rPr>
              <w:t xml:space="preserve">OBSERVATION</w:t>
            </w:r>
          </w:p>
        </w:tc>
        <w:tc>
          <w:tcPr>
            <w:tcW w:type="pct" w:w="30%"/>
          </w:tcPr>
          <w:p>
            <w:r>
              <w:rPr>
                <w:rFonts w:ascii="Calibri" w:cs="Calibri" w:eastAsia="Calibri" w:hAnsi="Calibri"/>
                <w:b w:val="false"/>
                <w:bCs w:val="false"/>
                <w:i w:val="false"/>
                <w:iCs w:val="false"/>
                <w:strike w:val="false"/>
                <w:color w:val="000000"/>
                <w:sz w:val="20"/>
                <w:szCs w:val="20"/>
              </w:rPr>
              <w:t xml:space="preserve">HYPOTHESIS (ranked by posterior probability)</w:t>
            </w:r>
          </w:p>
        </w:tc>
        <w:tc>
          <w:tcPr>
            <w:tcW w:type="pct" w:w="27%"/>
          </w:tcPr>
          <w:p>
            <w:r>
              <w:rPr>
                <w:rFonts w:ascii="Calibri" w:cs="Calibri" w:eastAsia="Calibri" w:hAnsi="Calibri"/>
                <w:b w:val="false"/>
                <w:bCs w:val="false"/>
                <w:i w:val="false"/>
                <w:iCs w:val="false"/>
                <w:strike w:val="false"/>
                <w:color w:val="000000"/>
                <w:sz w:val="20"/>
                <w:szCs w:val="20"/>
              </w:rPr>
              <w:t xml:space="preserve">AEM-1 Abductive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Analogy</w:t>
            </w:r>
          </w:p>
        </w:tc>
        <w:tc>
          <w:tcPr>
            <w:tcW w:type="pct" w:w="28%"/>
          </w:tcPr>
          <w:p>
            <w:r>
              <w:rPr>
                <w:rFonts w:ascii="Calibri" w:cs="Calibri" w:eastAsia="Calibri" w:hAnsi="Calibri"/>
                <w:b w:val="false"/>
                <w:bCs w:val="false"/>
                <w:i w:val="false"/>
                <w:iCs w:val="false"/>
                <w:strike w:val="false"/>
                <w:color w:val="000000"/>
                <w:sz w:val="20"/>
                <w:szCs w:val="20"/>
              </w:rPr>
              <w:t xml:space="preserve">RELATION (source domain)</w:t>
            </w:r>
          </w:p>
        </w:tc>
        <w:tc>
          <w:tcPr>
            <w:tcW w:type="pct" w:w="30%"/>
          </w:tcPr>
          <w:p>
            <w:r>
              <w:rPr>
                <w:rFonts w:ascii="Calibri" w:cs="Calibri" w:eastAsia="Calibri" w:hAnsi="Calibri"/>
                <w:b w:val="false"/>
                <w:bCs w:val="false"/>
                <w:i w:val="false"/>
                <w:iCs w:val="false"/>
                <w:strike w:val="false"/>
                <w:color w:val="000000"/>
                <w:sz w:val="20"/>
                <w:szCs w:val="20"/>
              </w:rPr>
              <w:t xml:space="preserve">ANALOGICAL_MAPPING, CROSS_DOMAIN_INSIGHT</w:t>
            </w:r>
          </w:p>
        </w:tc>
        <w:tc>
          <w:tcPr>
            <w:tcW w:type="pct" w:w="27%"/>
          </w:tcPr>
          <w:p>
            <w:r>
              <w:rPr>
                <w:rFonts w:ascii="Calibri" w:cs="Calibri" w:eastAsia="Calibri" w:hAnsi="Calibri"/>
                <w:b w:val="false"/>
                <w:bCs w:val="false"/>
                <w:i w:val="false"/>
                <w:iCs w:val="false"/>
                <w:strike w:val="false"/>
                <w:color w:val="000000"/>
                <w:sz w:val="20"/>
                <w:szCs w:val="20"/>
              </w:rPr>
              <w:t xml:space="preserve">AEM-2 Analogical Reasoning Module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Counterfactual</w:t>
            </w:r>
          </w:p>
        </w:tc>
        <w:tc>
          <w:tcPr>
            <w:tcW w:type="pct" w:w="28%"/>
          </w:tcPr>
          <w:p>
            <w:r>
              <w:rPr>
                <w:rFonts w:ascii="Calibri" w:cs="Calibri" w:eastAsia="Calibri" w:hAnsi="Calibri"/>
                <w:b w:val="false"/>
                <w:bCs w:val="false"/>
                <w:i w:val="false"/>
                <w:iCs w:val="false"/>
                <w:strike w:val="false"/>
                <w:color w:val="000000"/>
                <w:sz w:val="20"/>
                <w:szCs w:val="20"/>
              </w:rPr>
              <w:t xml:space="preserve">EVENT, STATE (target to negate)</w:t>
            </w:r>
          </w:p>
        </w:tc>
        <w:tc>
          <w:tcPr>
            <w:tcW w:type="pct" w:w="30%"/>
          </w:tcPr>
          <w:p>
            <w:r>
              <w:rPr>
                <w:rFonts w:ascii="Calibri" w:cs="Calibri" w:eastAsia="Calibri" w:hAnsi="Calibri"/>
                <w:b w:val="false"/>
                <w:bCs w:val="false"/>
                <w:i w:val="false"/>
                <w:iCs w:val="false"/>
                <w:strike w:val="false"/>
                <w:color w:val="000000"/>
                <w:sz w:val="20"/>
                <w:szCs w:val="20"/>
              </w:rPr>
              <w:t xml:space="preserve">COUNTERFACTUAL_STATE (Scenario Graph branch)</w:t>
            </w:r>
          </w:p>
        </w:tc>
        <w:tc>
          <w:tcPr>
            <w:tcW w:type="pct" w:w="27%"/>
          </w:tcPr>
          <w:p>
            <w:r>
              <w:rPr>
                <w:rFonts w:ascii="Calibri" w:cs="Calibri" w:eastAsia="Calibri" w:hAnsi="Calibri"/>
                <w:b w:val="false"/>
                <w:bCs w:val="false"/>
                <w:i w:val="false"/>
                <w:iCs w:val="false"/>
                <w:strike w:val="false"/>
                <w:color w:val="000000"/>
                <w:sz w:val="20"/>
                <w:szCs w:val="20"/>
              </w:rPr>
              <w:t xml:space="preserve">AEM-4 Counterfactual Reasoning Module</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Layer 4 — Instance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Instance Layer is populated dynamically by the Ingestion Pipeline and NCL and comprises the actual Fact Units stored in the Fact Graph. It is not a static layer of the Ontology Mesh specification but is governed by the three layers above it. The Instance Layer's population and structure at any point in time reflects the cumulative knowledge state of the QueryBook deployment.</w:t>
      </w:r>
    </w:p>
    <w:p>
      <w:pPr>
        <w:pStyle w:val="Heading2"/>
        <w:spacing w:after="120" w:before="240" w:line="288" w:lineRule="auto"/>
      </w:pPr>
      <w:r>
        <w:rPr>
          <w:rFonts w:ascii="Calibri" w:cs="Calibri" w:eastAsia="Calibri" w:hAnsi="Calibri"/>
          <w:color w:val="000000"/>
          <w:sz w:val="36"/>
          <w:szCs w:val="36"/>
        </w:rPr>
        <w:t xml:space="preserve">6.3 Predicate Library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Predicate Library is a governed catalog of all valid predicates in the Ontology Mesh. Each predicate is specified with the following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3%"/>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PredicateID</w:t>
            </w:r>
          </w:p>
        </w:tc>
        <w:tc>
          <w:tcPr>
            <w:tcW w:type="pct" w:w="83%"/>
          </w:tcPr>
          <w:p>
            <w:r>
              <w:rPr>
                <w:rFonts w:ascii="Calibri" w:cs="Calibri" w:eastAsia="Calibri" w:hAnsi="Calibri"/>
                <w:b w:val="false"/>
                <w:bCs w:val="false"/>
                <w:i w:val="false"/>
                <w:iCs w:val="false"/>
                <w:strike w:val="false"/>
                <w:color w:val="000000"/>
                <w:sz w:val="20"/>
                <w:szCs w:val="20"/>
              </w:rPr>
              <w:t xml:space="preserve">UUID assigned at registration; immutable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Name</w:t>
            </w:r>
          </w:p>
        </w:tc>
        <w:tc>
          <w:tcPr>
            <w:tcW w:type="pct" w:w="83%"/>
          </w:tcPr>
          <w:p>
            <w:r>
              <w:rPr>
                <w:rFonts w:ascii="Calibri" w:cs="Calibri" w:eastAsia="Calibri" w:hAnsi="Calibri"/>
                <w:b w:val="false"/>
                <w:bCs w:val="false"/>
                <w:i w:val="false"/>
                <w:iCs w:val="false"/>
                <w:strike w:val="false"/>
                <w:color w:val="000000"/>
                <w:sz w:val="20"/>
                <w:szCs w:val="20"/>
              </w:rPr>
              <w:t xml:space="preserve">Canonical name in lowerCamelCase; unique within its domain</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Domain</w:t>
            </w:r>
          </w:p>
        </w:tc>
        <w:tc>
          <w:tcPr>
            <w:tcW w:type="pct" w:w="83%"/>
          </w:tcPr>
          <w:p>
            <w:r>
              <w:rPr>
                <w:rFonts w:ascii="Calibri" w:cs="Calibri" w:eastAsia="Calibri" w:hAnsi="Calibri"/>
                <w:b w:val="false"/>
                <w:bCs w:val="false"/>
                <w:i w:val="false"/>
                <w:iCs w:val="false"/>
                <w:strike w:val="false"/>
                <w:color w:val="000000"/>
                <w:sz w:val="20"/>
                <w:szCs w:val="20"/>
              </w:rPr>
              <w:t xml:space="preserve">The domain ontology to which this predicate belongs; null for upper ontology predicates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SubjectType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Subject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ObjectType</w:t>
            </w:r>
          </w:p>
        </w:tc>
        <w:tc>
          <w:tcPr>
            <w:tcW w:type="pct" w:w="83%"/>
          </w:tcPr>
          <w:p>
            <w:r>
              <w:rPr>
                <w:rFonts w:ascii="Calibri" w:cs="Calibri" w:eastAsia="Calibri" w:hAnsi="Calibri"/>
                <w:b w:val="false"/>
                <w:bCs w:val="false"/>
                <w:i w:val="false"/>
                <w:iCs w:val="false"/>
                <w:strike w:val="false"/>
                <w:color w:val="000000"/>
                <w:sz w:val="20"/>
                <w:szCs w:val="20"/>
              </w:rPr>
              <w:t xml:space="preserve">The required Upper Ontology type of the Object (entity or value type) in any Fact Unit using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Symmetry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implies P(B,A); system automatically creates the symmetric Fact Unit</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Transitivity</w:t>
            </w:r>
          </w:p>
        </w:tc>
        <w:tc>
          <w:tcPr>
            <w:tcW w:type="pct" w:w="83%"/>
          </w:tcPr>
          <w:p>
            <w:r>
              <w:rPr>
                <w:rFonts w:ascii="Calibri" w:cs="Calibri" w:eastAsia="Calibri" w:hAnsi="Calibri"/>
                <w:b w:val="false"/>
                <w:bCs w:val="false"/>
                <w:i w:val="false"/>
                <w:iCs w:val="false"/>
                <w:strike w:val="false"/>
                <w:color w:val="000000"/>
                <w:sz w:val="20"/>
                <w:szCs w:val="20"/>
              </w:rPr>
              <w:t xml:space="preserve">Boolean: if true, P(A,B) and P(B,C) implies P(A,C); CDRE enforces transitivity closure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InversePredicate</w:t>
            </w:r>
          </w:p>
        </w:tc>
        <w:tc>
          <w:tcPr>
            <w:tcW w:type="pct" w:w="83%"/>
          </w:tcPr>
          <w:p>
            <w:r>
              <w:rPr>
                <w:rFonts w:ascii="Calibri" w:cs="Calibri" w:eastAsia="Calibri" w:hAnsi="Calibri"/>
                <w:b w:val="false"/>
                <w:bCs w:val="false"/>
                <w:i w:val="false"/>
                <w:iCs w:val="false"/>
                <w:strike w:val="false"/>
                <w:color w:val="000000"/>
                <w:sz w:val="20"/>
                <w:szCs w:val="20"/>
              </w:rPr>
              <w:t xml:space="preserve">PredicateID of the inverse predicate, if defined; e.g., "parentOf" is the inverse of "childOf"</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Cardinality</w:t>
            </w:r>
          </w:p>
        </w:tc>
        <w:tc>
          <w:tcPr>
            <w:tcW w:type="pct" w:w="83%"/>
          </w:tcPr>
          <w:p>
            <w:r>
              <w:rPr>
                <w:rFonts w:ascii="Calibri" w:cs="Calibri" w:eastAsia="Calibri" w:hAnsi="Calibri"/>
                <w:b w:val="false"/>
                <w:bCs w:val="false"/>
                <w:i w:val="false"/>
                <w:iCs w:val="false"/>
                <w:strike w:val="false"/>
                <w:color w:val="000000"/>
                <w:sz w:val="20"/>
                <w:szCs w:val="20"/>
              </w:rPr>
              <w:t xml:space="preserve">Struct {min_objects: uint32, max_objects: uint32 | null} constraining how many Objects may be asserted per Subject for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OntologyLayer</w:t>
            </w:r>
          </w:p>
        </w:tc>
        <w:tc>
          <w:tcPr>
            <w:tcW w:type="pct" w:w="83%"/>
          </w:tcPr>
          <w:p>
            <w:r>
              <w:rPr>
                <w:rFonts w:ascii="Calibri" w:cs="Calibri" w:eastAsia="Calibri" w:hAnsi="Calibri"/>
                <w:b w:val="false"/>
                <w:bCs w:val="false"/>
                <w:i w:val="false"/>
                <w:iCs w:val="false"/>
                <w:strike w:val="false"/>
                <w:color w:val="000000"/>
                <w:sz w:val="20"/>
                <w:szCs w:val="20"/>
              </w:rPr>
              <w:t xml:space="preserve">enum {UPPER, DOMAIN, TASK}; determines which layer governs this predicate</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TemporalScope</w:t>
            </w:r>
          </w:p>
        </w:tc>
        <w:tc>
          <w:tcPr>
            <w:tcW w:type="pct" w:w="83%"/>
          </w:tcPr>
          <w:p>
            <w:r>
              <w:rPr>
                <w:rFonts w:ascii="Calibri" w:cs="Calibri" w:eastAsia="Calibri" w:hAnsi="Calibri"/>
                <w:b w:val="false"/>
                <w:bCs w:val="false"/>
                <w:i w:val="false"/>
                <w:iCs w:val="false"/>
                <w:strike w:val="false"/>
                <w:color w:val="000000"/>
                <w:sz w:val="20"/>
                <w:szCs w:val="20"/>
              </w:rPr>
              <w:t xml:space="preserve">enum {ETERNAL, TIME_INDEXED, POINT_IN_TIME}; governs TemporalAnchor requirements</w:t>
            </w:r>
          </w:p>
        </w:tc>
      </w:tr>
      <w:tr>
        <w:trPr>
          <w:tblHeader w:val="false"/>
        </w:trPr>
        <w:tc>
          <w:tcPr>
            <w:tcW w:type="pct" w:w="17%"/>
          </w:tcPr>
          <w:p>
            <w:r>
              <w:rPr>
                <w:rFonts w:ascii="Calibri" w:cs="Calibri" w:eastAsia="Calibri" w:hAnsi="Calibri"/>
                <w:b/>
                <w:bCs/>
                <w:i w:val="false"/>
                <w:iCs w:val="false"/>
                <w:strike w:val="false"/>
                <w:color w:val="000000"/>
                <w:sz w:val="22"/>
                <w:szCs w:val="22"/>
              </w:rPr>
              <w:t xml:space="preserve">Version</w:t>
            </w:r>
          </w:p>
        </w:tc>
        <w:tc>
          <w:tcPr>
            <w:tcW w:type="pct" w:w="83%"/>
          </w:tcPr>
          <w:p>
            <w:r>
              <w:rPr>
                <w:rFonts w:ascii="Calibri" w:cs="Calibri" w:eastAsia="Calibri" w:hAnsi="Calibri"/>
                <w:b w:val="false"/>
                <w:bCs w:val="false"/>
                <w:i w:val="false"/>
                <w:iCs w:val="false"/>
                <w:strike w:val="false"/>
                <w:color w:val="000000"/>
                <w:sz w:val="20"/>
                <w:szCs w:val="20"/>
              </w:rPr>
              <w:t xml:space="preserve">Semantic version at which this predicate was introduced; used for backward-compatibility enforcement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initial Predicate Library defines a minimum of 200 canonical predicates across all ontology layers and registered domain ontologies. These predicates are defined in the Predicate Library Reference (internal document OM-PL-REF-001, incorporated by reference into this Bible).</w:t>
      </w:r>
    </w:p>
    <w:p>
      <w:pPr>
        <w:pStyle w:val="Heading2"/>
        <w:spacing w:after="120" w:before="240" w:line="288" w:lineRule="auto"/>
      </w:pPr>
      <w:r>
        <w:rPr>
          <w:rFonts w:ascii="Calibri" w:cs="Calibri" w:eastAsia="Calibri" w:hAnsi="Calibri"/>
          <w:color w:val="000000"/>
          <w:sz w:val="36"/>
          <w:szCs w:val="36"/>
        </w:rPr>
        <w:t xml:space="preserve">6.4 Ontology Mesh Update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Changes to any component of the Ontology Mesh — whether the Upper Ontology, a Domain Ontology, the Task Ontologies, or the Predicate Library — follow a governed change management protocol: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Schema Change Proposal (SCP):</w:t>
      </w:r>
      <w:r>
        <w:rPr>
          <w:rFonts w:ascii="Calibri" w:cs="Calibri" w:eastAsia="Calibri" w:hAnsi="Calibri"/>
          <w:b w:val="false"/>
          <w:bCs w:val="false"/>
          <w:i w:val="false"/>
          <w:iCs w:val="false"/>
          <w:strike w:val="false"/>
          <w:color w:val="000000"/>
          <w:sz w:val="22"/>
          <w:szCs w:val="22"/>
        </w:rPr>
        <w:t xml:space="preserve"> The proposing party submits a formal SCP document specifying the proposed change, the motivation, the affected FactTypes and predicates, and the proposed semantic versioning classification (major, minor, or patch).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Ontology Mesh Impact Analysis Tool automatically computes the set of Active Fact Units that would require re-validation under the proposed change, the set of CDRE rules that would be affected, and the set of active QB-Query expressions that would require re-planning.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Backward-Compatibility Verification:</w:t>
      </w:r>
      <w:r>
        <w:rPr>
          <w:rFonts w:ascii="Calibri" w:cs="Calibri" w:eastAsia="Calibri" w:hAnsi="Calibri"/>
          <w:b w:val="false"/>
          <w:bCs w:val="false"/>
          <w:i w:val="false"/>
          <w:iCs w:val="false"/>
          <w:strike w:val="false"/>
          <w:color w:val="000000"/>
          <w:sz w:val="22"/>
          <w:szCs w:val="22"/>
        </w:rPr>
        <w:t xml:space="preserve"> For minor and patch changes, automated tooling verifies that all existing Active Fact Units remain valid under the proposed schema. Failures block promotion to staged rollout.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Rollout:</w:t>
      </w:r>
      <w:r>
        <w:rPr>
          <w:rFonts w:ascii="Calibri" w:cs="Calibri" w:eastAsia="Calibri" w:hAnsi="Calibri"/>
          <w:b w:val="false"/>
          <w:bCs w:val="false"/>
          <w:i w:val="false"/>
          <w:iCs w:val="false"/>
          <w:strike w:val="false"/>
          <w:color w:val="000000"/>
          <w:sz w:val="22"/>
          <w:szCs w:val="22"/>
        </w:rPr>
        <w:t xml:space="preserve"> Approved changes are deployed in stages: first to the development environment, then to a 5% production traffic canary, then to 25%, then to 100%. Automatic rollback is triggered if error rates exceed configurable thresholds at any stage.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Re-Validation:</w:t>
      </w:r>
      <w:r>
        <w:rPr>
          <w:rFonts w:ascii="Calibri" w:cs="Calibri" w:eastAsia="Calibri" w:hAnsi="Calibri"/>
          <w:b w:val="false"/>
          <w:bCs w:val="false"/>
          <w:i w:val="false"/>
          <w:iCs w:val="false"/>
          <w:strike w:val="false"/>
          <w:color w:val="000000"/>
          <w:sz w:val="22"/>
          <w:szCs w:val="22"/>
        </w:rPr>
        <w:t xml:space="preserve"> After full deployment, a background batch job re-validates all Active Fact Units against the new schema version. Fact Units that fail re-validation are flagged with a SCHEMA_MISMATCH flag in the AnnotationSet and scheduled for human review.</w:t>
      </w:r>
    </w:p>
    <w:p>
      <w:pPr>
        <w:pStyle w:val="Heading2"/>
        <w:spacing w:after="120" w:before="240" w:line="288" w:lineRule="auto"/>
      </w:pPr>
      <w:r>
        <w:rPr>
          <w:rFonts w:ascii="Calibri" w:cs="Calibri" w:eastAsia="Calibri" w:hAnsi="Calibri"/>
          <w:color w:val="000000"/>
          <w:sz w:val="36"/>
          <w:szCs w:val="36"/>
        </w:rPr>
        <w:t xml:space="preserve">6.5 Cross-Domain Rule Engine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specified in full detail in Chapter 17. This section provides the ontology-layer perspective on its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From the Ontology Mesh's perspective, the CDRE is the enforcement mechanism for the consistency constraints defined across domain boundaries. When a Fact Unit from the Medicine domain asserts a drug-disease relationship, and a Fact Unit from the Finance domain asserts the same company's product as a drug, the CDRE is responsible for ensuring that the two Fact Units are consistent with each other in their shared assertions about the underlying entities. The CDRE ruleset is part of the Ontology Mesh governance and is updated through the same SCP process as schema changes.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 — NEUROMORPHIC COGNITIVE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 Executive Summary</w:t>
            </w:r>
            <w:r>
              <w:rPr>
                <w:rFonts w:ascii="Calibri" w:cs="Calibri" w:eastAsia="Calibri" w:hAnsi="Calibri"/>
                <w:b/>
                <w:bCs/>
                <w:i w:val="false"/>
                <w:iCs w:val="false"/>
                <w:strike w:val="false"/>
                <w:color w:val="333333"/>
                <w:sz w:val="24"/>
                <w:szCs w:val="24"/>
              </w:rPr>
              <w:t xml:space="preserve">Part VI specifies the Neuromorphic Cognitive Layer (NCL) — the brain-inspired, adaptive reasoning engine that transforms QueryBook from a knowledge store into a living cognitive system. Inspired by mammalian cortical architecture, the NCL employs sparse distributed representations, spike-timing-dependent plasticity, attractor dynamics, and hierarchical temporal memory to perform associative recall, pattern completion, and predictive inference over the Fact Graph. This Part is the primary reference for patent Cluster B claims and is arguably the most technically novel component of the QueryBook system.</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 Neuromorphic Cognitive Layer</w:t>
      </w:r>
    </w:p>
    <w:p>
      <w:pPr>
        <w:pStyle w:val="Heading1"/>
        <w:spacing w:after="120" w:before="240" w:line="288" w:lineRule="auto"/>
      </w:pPr>
      <w:r>
        <w:rPr>
          <w:rFonts w:ascii="Calibri" w:cs="Calibri" w:eastAsia="Calibri" w:hAnsi="Calibri"/>
          <w:color w:val="000000"/>
          <w:sz w:val="48"/>
          <w:szCs w:val="48"/>
        </w:rPr>
        <w:t xml:space="preserve">Chapter 7: Neuromorphic Cognitive Layer (NCL) — Complete Specification</w:t>
      </w:r>
    </w:p>
    <w:p>
      <w:pPr>
        <w:pStyle w:val="Heading2"/>
        <w:spacing w:after="120" w:before="240" w:line="288" w:lineRule="auto"/>
      </w:pPr>
      <w:r>
        <w:rPr>
          <w:rFonts w:ascii="Calibri" w:cs="Calibri" w:eastAsia="Calibri" w:hAnsi="Calibri"/>
          <w:color w:val="000000"/>
          <w:sz w:val="36"/>
          <w:szCs w:val="36"/>
        </w:rPr>
        <w:t xml:space="preserve">7.1 Design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is designed around the observation that biological neural systems achieve sophisticated knowledge representation and retrieval capabilities not through brute-force search over large databases, but through sparse, distributed, associative representations that enable graceful degradation, pattern completion, and rapid generalization from sparse evidence. What the biological system associates and completes patterns over is, in QueryBook, always the Fact Unit — the same atomic, provenance-tracked knowledge unit specified from Chapter 1 onward. The NCL is not a general-purpose neural architecture applied incidentally to Fact Units; it is specified as the reasoning substrate for Fact Units specifically, which is why every principle below is stated in terms of Fact Unit operations rather than generic tensors. The NCL instantiates the following neurobiologically-inspired computational principles in a scalable distributed software 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Sparse Distributed Representations (SDR):</w:t>
      </w:r>
      <w:r>
        <w:rPr>
          <w:rFonts w:ascii="Calibri" w:cs="Calibri" w:eastAsia="Calibri" w:hAnsi="Calibri"/>
          <w:b w:val="false"/>
          <w:bCs w:val="false"/>
          <w:i w:val="false"/>
          <w:iCs w:val="false"/>
          <w:strike w:val="false"/>
          <w:color w:val="000000"/>
          <w:sz w:val="22"/>
          <w:szCs w:val="22"/>
        </w:rPr>
        <w:t xml:space="preserve"> Knowledge is encoded not as dense vectors but as sparse binary patterns where only approximately 2% of bits are active. SDRs provide robustness to noise (partial patterns still activate correct memories), union properties (multiple patterns can be superimposed without interference), and mathematical expressivity (the combinatorial space of 16,384-bit SDRs with 2% active bits contains approximately 10^472 distinct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Spike-Timing-Dependent Plasticity (STDP):</w:t>
      </w:r>
      <w:r>
        <w:rPr>
          <w:rFonts w:ascii="Calibri" w:cs="Calibri" w:eastAsia="Calibri" w:hAnsi="Calibri"/>
          <w:b w:val="false"/>
          <w:bCs w:val="false"/>
          <w:i w:val="false"/>
          <w:iCs w:val="false"/>
          <w:strike w:val="false"/>
          <w:color w:val="000000"/>
          <w:sz w:val="22"/>
          <w:szCs w:val="22"/>
        </w:rPr>
        <w:t xml:space="preserve"> Synaptic connections between Fact Unit representations are strengthened when the pre-synaptic unit activates shortly before the post-synaptic unit, and weakened when the order is reversed. This timing-dependent learning rule enables the NCL to learn temporal sequences and causal associations from the order in which facts are activated during queries.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Dynamics:</w:t>
      </w:r>
      <w:r>
        <w:rPr>
          <w:rFonts w:ascii="Calibri" w:cs="Calibri" w:eastAsia="Calibri" w:hAnsi="Calibri"/>
          <w:b w:val="false"/>
          <w:bCs w:val="false"/>
          <w:i w:val="false"/>
          <w:iCs w:val="false"/>
          <w:strike w:val="false"/>
          <w:color w:val="000000"/>
          <w:sz w:val="22"/>
          <w:szCs w:val="22"/>
        </w:rPr>
        <w:t xml:space="preserve"> The NCL implements an associative-memory-network-inspired attractor landscape over the Fact Graph — the same family of formalism popularly known as Hopfield networks, described more fully at §7.2.4. Well-established, high-confidence knowledge clusters form stable attractor basins — the system naturally returns to consistent knowledge states even when perturbed by noisy or contradictory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Hierarchical Temporal Memory (HTM):</w:t>
      </w:r>
      <w:r>
        <w:rPr>
          <w:rFonts w:ascii="Calibri" w:cs="Calibri" w:eastAsia="Calibri" w:hAnsi="Calibri"/>
          <w:b w:val="false"/>
          <w:bCs w:val="false"/>
          <w:i w:val="false"/>
          <w:iCs w:val="false"/>
          <w:strike w:val="false"/>
          <w:color w:val="000000"/>
          <w:sz w:val="22"/>
          <w:szCs w:val="22"/>
        </w:rPr>
        <w:t xml:space="preserve"> Temporal sequences of Fact Unit activations are learned at multiple time scales simultaneously, enabling the NCL to recognize and predict patterns at the level of individual facts, document-scale context, and session-scale reasoning trajectories.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Continual Learning Without Forgetting:</w:t>
      </w:r>
      <w:r>
        <w:rPr>
          <w:rFonts w:ascii="Calibri" w:cs="Calibri" w:eastAsia="Calibri" w:hAnsi="Calibri"/>
          <w:b w:val="false"/>
          <w:bCs w:val="false"/>
          <w:i w:val="false"/>
          <w:iCs w:val="false"/>
          <w:strike w:val="false"/>
          <w:color w:val="000000"/>
          <w:sz w:val="22"/>
          <w:szCs w:val="22"/>
        </w:rPr>
        <w:t xml:space="preserve"> The NCL learns continuously from every query-feedback cycle without catastrophic forgetting of previously established representations, achieved through an Elastic Weight Consolidation (EWC) analog applied to the Synaptic Weight Store.</w:t>
      </w:r>
    </w:p>
    <w:p>
      <w:pPr>
        <w:pStyle w:val="Heading2"/>
        <w:spacing w:after="120" w:before="240" w:line="288" w:lineRule="auto"/>
      </w:pPr>
      <w:r>
        <w:rPr>
          <w:rFonts w:ascii="Calibri" w:cs="Calibri" w:eastAsia="Calibri" w:hAnsi="Calibri"/>
          <w:color w:val="000000"/>
          <w:sz w:val="36"/>
          <w:szCs w:val="36"/>
        </w:rPr>
        <w:t xml:space="preserve">7.2 Core NCL Components</w:t>
      </w:r>
    </w:p>
    <w:p>
      <w:pPr>
        <w:pStyle w:val="Heading3"/>
        <w:spacing w:after="120" w:before="240" w:line="288" w:lineRule="auto"/>
      </w:pPr>
      <w:r>
        <w:rPr>
          <w:rFonts w:ascii="Calibri" w:cs="Calibri" w:eastAsia="Calibri" w:hAnsi="Calibri"/>
          <w:color w:val="000000"/>
          <w:sz w:val="30"/>
          <w:szCs w:val="30"/>
        </w:rPr>
        <w:t xml:space="preserve">7.2.1 Sparse Distributed Encoder (SDE)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transforms dense 4096-dimensional EmbeddingVectors from the Fact Unit Layer into sparse 16,384-bit Sparse Distributed Representations (SDRs). The encoding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EmbeddingVector is divided into 128 segments of 32 dimensions each.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segment, a competitive learning process activates exactly 2 bits out of the 128 available bits in the corresponding SDR segment — specifically, the bits corresponding to the indices of the two highest-magnitude dimensions in that segment (winner-takes-most).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result is a 16,384-bit binary vector with exactly 256 active bits (2% sparsity), providing a deterministic, approximately distance-preserving encoding of semantic distance: two semantically similar Fact Units will have overlapping SDR active bits in proportion to their semantic similarity.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SDE maintains per-dimension statistics for adaptive threshold normalization, ensuring that the 2% sparsity target is maintained across the full semantic space as the vocabulary of Fact Units grows.</w:t>
      </w:r>
    </w:p>
    <w:p>
      <w:pPr>
        <w:pStyle w:val="Heading3"/>
        <w:spacing w:after="120" w:before="240" w:line="288" w:lineRule="auto"/>
      </w:pPr>
      <w:r>
        <w:rPr>
          <w:rFonts w:ascii="Calibri" w:cs="Calibri" w:eastAsia="Calibri" w:hAnsi="Calibri"/>
          <w:color w:val="000000"/>
          <w:sz w:val="30"/>
          <w:szCs w:val="30"/>
        </w:rPr>
        <w:t xml:space="preserve">7.2.2 Temporal Memory Module (TMM)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learns temporal sequences of Fact Unit activations observed during query sessions. It is implemented as a multi-layer sparse sequence memory with the following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1 (Short-Term Sequence Memory):</w:t>
      </w:r>
      <w:r>
        <w:rPr>
          <w:rFonts w:ascii="Calibri" w:cs="Calibri" w:eastAsia="Calibri" w:hAnsi="Calibri"/>
          <w:b w:val="false"/>
          <w:bCs w:val="false"/>
          <w:i w:val="false"/>
          <w:iCs w:val="false"/>
          <w:strike w:val="false"/>
          <w:color w:val="000000"/>
          <w:sz w:val="22"/>
          <w:szCs w:val="22"/>
        </w:rPr>
        <w:t xml:space="preserve"> Learns sequences of up to 16 Fact Unit activations within a single query session. Maintained in a sliding window over the Cognitive Context Window.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2 (Medium-Term Pattern Memory):</w:t>
      </w:r>
      <w:r>
        <w:rPr>
          <w:rFonts w:ascii="Calibri" w:cs="Calibri" w:eastAsia="Calibri" w:hAnsi="Calibri"/>
          <w:b w:val="false"/>
          <w:bCs w:val="false"/>
          <w:i w:val="false"/>
          <w:iCs w:val="false"/>
          <w:strike w:val="false"/>
          <w:color w:val="000000"/>
          <w:sz w:val="22"/>
          <w:szCs w:val="22"/>
        </w:rPr>
        <w:t xml:space="preserve"> Learns recurring patterns of query sequences across sessions, identifying common reasoning pathways through the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Layer 3 (Long-Term Topic Memory):</w:t>
      </w:r>
      <w:r>
        <w:rPr>
          <w:rFonts w:ascii="Calibri" w:cs="Calibri" w:eastAsia="Calibri" w:hAnsi="Calibri"/>
          <w:b w:val="false"/>
          <w:bCs w:val="false"/>
          <w:i w:val="false"/>
          <w:iCs w:val="false"/>
          <w:strike w:val="false"/>
          <w:color w:val="000000"/>
          <w:sz w:val="22"/>
          <w:szCs w:val="22"/>
        </w:rPr>
        <w:t xml:space="preserve"> Maintains stable representations of persistent knowledge domains and frequently queried entity clusters, enabling rapid context restoration when a new session involves a familiar topic.</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TMM is trained incrementally using an online variant of the Temporal Context Model (TCM), with STDP-inspired weight updates applied after each query event.</w:t>
      </w:r>
    </w:p>
    <w:p>
      <w:pPr>
        <w:pStyle w:val="Heading3"/>
        <w:spacing w:after="120" w:before="240" w:line="288" w:lineRule="auto"/>
      </w:pPr>
      <w:r>
        <w:rPr>
          <w:rFonts w:ascii="Calibri" w:cs="Calibri" w:eastAsia="Calibri" w:hAnsi="Calibri"/>
          <w:color w:val="000000"/>
          <w:sz w:val="30"/>
          <w:szCs w:val="30"/>
        </w:rPr>
        <w:t xml:space="preserve">7.2.3 Associative Recall Engine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ARE is the primary retrieval component of the NCL. Given a partial or noisy query input, the ARE performs pattern completion over the Fact Graph to identify the most semantically consistent set of matching Fact Units. The ARE operates as follows: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Adaptive Response Engine (Chapter 52) and the App Recommendation Engine (§39.6). Where cross-chapter clarity matters, this NCL component may be cited as NCL-ARE; the short form ARE is retained here unchanged per this section's original 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SDR computation:</w:t>
      </w:r>
      <w:r>
        <w:rPr>
          <w:rFonts w:ascii="Calibri" w:cs="Calibri" w:eastAsia="Calibri" w:hAnsi="Calibri"/>
          <w:b w:val="false"/>
          <w:bCs w:val="false"/>
          <w:i w:val="false"/>
          <w:iCs w:val="false"/>
          <w:strike w:val="false"/>
          <w:color w:val="000000"/>
          <w:sz w:val="22"/>
          <w:szCs w:val="22"/>
        </w:rPr>
        <w:t xml:space="preserve"> The SDE encodes the query into a 16,384-bit SDR.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Nearest SDR search:</w:t>
      </w:r>
      <w:r>
        <w:rPr>
          <w:rFonts w:ascii="Calibri" w:cs="Calibri" w:eastAsia="Calibri" w:hAnsi="Calibri"/>
          <w:b w:val="false"/>
          <w:bCs w:val="false"/>
          <w:i w:val="false"/>
          <w:iCs w:val="false"/>
          <w:strike w:val="false"/>
          <w:color w:val="000000"/>
          <w:sz w:val="22"/>
          <w:szCs w:val="22"/>
        </w:rPr>
        <w:t xml:space="preserve"> A SIMD-optimized Hamming distance computation identifies the top-K Fact Units by SDR overlap (default K=500) using a hierarchical SDR index structure (analogous to HNSW but operating over binary Hamming distances rather than float cosine distances).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neighborhood expansion:</w:t>
      </w:r>
      <w:r>
        <w:rPr>
          <w:rFonts w:ascii="Calibri" w:cs="Calibri" w:eastAsia="Calibri" w:hAnsi="Calibri"/>
          <w:b w:val="false"/>
          <w:bCs w:val="false"/>
          <w:i w:val="false"/>
          <w:iCs w:val="false"/>
          <w:strike w:val="false"/>
          <w:color w:val="000000"/>
          <w:sz w:val="22"/>
          <w:szCs w:val="22"/>
        </w:rPr>
        <w:t xml:space="preserve"> For each of the top-K candidates, the ARE traverses the RelationSet edges in the Fact Graph up to configurable depth (default: 3 hops), adding neighbors to the candidate pool.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Attractor stabilization:</w:t>
      </w:r>
      <w:r>
        <w:rPr>
          <w:rFonts w:ascii="Calibri" w:cs="Calibri" w:eastAsia="Calibri" w:hAnsi="Calibri"/>
          <w:b w:val="false"/>
          <w:bCs w:val="false"/>
          <w:i w:val="false"/>
          <w:iCs w:val="false"/>
          <w:strike w:val="false"/>
          <w:color w:val="000000"/>
          <w:sz w:val="22"/>
          <w:szCs w:val="22"/>
        </w:rPr>
        <w:t xml:space="preserve"> The expanded candidate pool is passed to the Attractor Network for noise removal and consistency enforcement.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Confidence-weighted ranking:</w:t>
      </w:r>
      <w:r>
        <w:rPr>
          <w:rFonts w:ascii="Calibri" w:cs="Calibri" w:eastAsia="Calibri" w:hAnsi="Calibri"/>
          <w:b w:val="false"/>
          <w:bCs w:val="false"/>
          <w:i w:val="false"/>
          <w:iCs w:val="false"/>
          <w:strike w:val="false"/>
          <w:color w:val="000000"/>
          <w:sz w:val="22"/>
          <w:szCs w:val="22"/>
        </w:rPr>
        <w:t xml:space="preserve"> Surviving candidates are ranked by a composite score: SDR_overlap × ConfidenceScore × (1 + RelationPathStrength), where RelationPathStrength rewards Fact Units with strong edge connections to other highly ranked candidates.</w:t>
      </w:r>
    </w:p>
    <w:p>
      <w:pPr>
        <w:pStyle w:val="Heading3"/>
        <w:spacing w:after="120" w:before="240" w:line="288" w:lineRule="auto"/>
      </w:pPr>
      <w:r>
        <w:rPr>
          <w:rFonts w:ascii="Calibri" w:cs="Calibri" w:eastAsia="Calibri" w:hAnsi="Calibri"/>
          <w:color w:val="000000"/>
          <w:sz w:val="30"/>
          <w:szCs w:val="30"/>
        </w:rPr>
        <w:t xml:space="preserve">7.2.4 Attractor Network (AN)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is a continuous-valued associative memory network, of the class popularly known as Hopfield networks after John Hopfield's 1982 paper — though materially similar formalisms were described earlier by Marr (1971), Nakano (1972), Amari (1972), Little (1974), and Stanley (1976), and the broader, more historically accurate term is used throughout this Bible where precision matters. It operates over the EmbeddingVector space of Fact Units in the current Cognitive Context Window and implements the following dynamics:</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an initial set of candidate Fact Unit activations from the ARE, the AN iteratively updates activations according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a_i(t+1) = sign( Σ_j W_ij × a_j(t) - θ_i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a_i(t) = activation of Fact Unit i at iteration t (∈ {-1, +1})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 = synaptic weight from Fact Unit j to Fact Unit i (from Synaptic Weight Store)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θ_i = unit-specific threshold (set to 0 for binary units)</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network is iterated until convergence (no further activation changes) or until a maximum iteration count is reached (default: 64 iterations). The converged activation pattern represents a stable, internally consistent subset of the candidate Fact Units that the AN has resolved as the best answer to the query given learned knowledge structure.</w:t>
      </w:r>
    </w:p>
    <w:p>
      <w:pPr>
        <w:pStyle w:val="Heading3"/>
        <w:spacing w:after="120" w:before="240" w:line="288" w:lineRule="auto"/>
      </w:pPr>
      <w:r>
        <w:rPr>
          <w:rFonts w:ascii="Calibri" w:cs="Calibri" w:eastAsia="Calibri" w:hAnsi="Calibri"/>
          <w:color w:val="000000"/>
          <w:sz w:val="30"/>
          <w:szCs w:val="30"/>
        </w:rPr>
        <w:t xml:space="preserve">7.2.5 Synaptic Weight Store (SWS)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SWS is a persistent, distributed store of learned connection weights between Fact Unit pairs. It is implemented as a sparse matrix (most Fact Unit pairs have zero connection weight) stored in a compressed sparse row (CSR) format in the Active Store. Key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Capacity:</w:t>
      </w:r>
      <w:r>
        <w:rPr>
          <w:rFonts w:ascii="Calibri" w:cs="Calibri" w:eastAsia="Calibri" w:hAnsi="Calibri"/>
          <w:b w:val="false"/>
          <w:bCs w:val="false"/>
          <w:i w:val="false"/>
          <w:iCs w:val="false"/>
          <w:strike w:val="false"/>
          <w:color w:val="000000"/>
          <w:sz w:val="22"/>
          <w:szCs w:val="22"/>
        </w:rPr>
        <w:t xml:space="preserve"> Supports up to 10^12 non-zero synaptic weights across the full Fact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Update rule:</w:t>
      </w:r>
      <w:r>
        <w:rPr>
          <w:rFonts w:ascii="Calibri" w:cs="Calibri" w:eastAsia="Calibri" w:hAnsi="Calibri"/>
          <w:b w:val="false"/>
          <w:bCs w:val="false"/>
          <w:i w:val="false"/>
          <w:iCs w:val="false"/>
          <w:strike w:val="false"/>
          <w:color w:val="000000"/>
          <w:sz w:val="22"/>
          <w:szCs w:val="22"/>
        </w:rPr>
        <w:t xml:space="preserve"> STDP-inspired: when Fact Unit A's activation at time t precedes Fact Unit B's activation at time t+Δt, the weight W_AB is increased by ΔW = η × exp(-Δt / τ_+); when the order is reversed, the weight is decreased by ΔW = η × exp(-Δt / τ_-), where η is the learning rate, τ_+ and τ_- are configurable time constants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Homeostatic normalization:</w:t>
      </w:r>
      <w:r>
        <w:rPr>
          <w:rFonts w:ascii="Calibri" w:cs="Calibri" w:eastAsia="Calibri" w:hAnsi="Calibri"/>
          <w:b w:val="false"/>
          <w:bCs w:val="false"/>
          <w:i w:val="false"/>
          <w:iCs w:val="false"/>
          <w:strike w:val="false"/>
          <w:color w:val="000000"/>
          <w:sz w:val="22"/>
          <w:szCs w:val="22"/>
        </w:rPr>
        <w:t xml:space="preserve"> Each Fact Unit's incoming weight sum is normalized to a target value periodically to prevent runaway excitation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EWC regularization:</w:t>
      </w:r>
      <w:r>
        <w:rPr>
          <w:rFonts w:ascii="Calibri" w:cs="Calibri" w:eastAsia="Calibri" w:hAnsi="Calibri"/>
          <w:b w:val="false"/>
          <w:bCs w:val="false"/>
          <w:i w:val="false"/>
          <w:iCs w:val="false"/>
          <w:strike w:val="false"/>
          <w:color w:val="000000"/>
          <w:sz w:val="22"/>
          <w:szCs w:val="22"/>
        </w:rPr>
        <w:t xml:space="preserve"> A Fisher information-based importance score is maintained per synaptic weight; weight updates are penalized proportionally to importance to prevent forgetting of well-established associations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Zero-weight connections are periodically pruned; connections to ARCHIVED Fact Units are flagged for removal after a configurable grace period</w:t>
      </w:r>
    </w:p>
    <w:p>
      <w:pPr>
        <w:pStyle w:val="Heading3"/>
        <w:spacing w:after="120" w:before="240" w:line="288" w:lineRule="auto"/>
      </w:pPr>
      <w:r>
        <w:rPr>
          <w:rFonts w:ascii="Calibri" w:cs="Calibri" w:eastAsia="Calibri" w:hAnsi="Calibri"/>
          <w:color w:val="000000"/>
          <w:sz w:val="30"/>
          <w:szCs w:val="30"/>
        </w:rPr>
        <w:t xml:space="preserve">7.2.6 Cognitive Context Window (CCW)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CCW is the working memory of the NCL — an in-memory set of Fact Units that are currently active or recently active in the ongoing reasoning session. It is analogous to the prefrontal cortex's working memory buffer in biological cognition. CCW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Default capacity:</w:t>
      </w:r>
      <w:r>
        <w:rPr>
          <w:rFonts w:ascii="Calibri" w:cs="Calibri" w:eastAsia="Calibri" w:hAnsi="Calibri"/>
          <w:b w:val="false"/>
          <w:bCs w:val="false"/>
          <w:i w:val="false"/>
          <w:iCs w:val="false"/>
          <w:strike w:val="false"/>
          <w:color w:val="000000"/>
          <w:sz w:val="22"/>
          <w:szCs w:val="22"/>
        </w:rPr>
        <w:t xml:space="preserve"> 8,192 Fact Units (configurable per deployment)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Eviction policy:</w:t>
      </w:r>
      <w:r>
        <w:rPr>
          <w:rFonts w:ascii="Calibri" w:cs="Calibri" w:eastAsia="Calibri" w:hAnsi="Calibri"/>
          <w:b w:val="false"/>
          <w:bCs w:val="false"/>
          <w:i w:val="false"/>
          <w:iCs w:val="false"/>
          <w:strike w:val="false"/>
          <w:color w:val="000000"/>
          <w:sz w:val="22"/>
          <w:szCs w:val="22"/>
        </w:rPr>
        <w:t xml:space="preserve"> Least-recently-activated Fact Unit is evicted when the CCW is full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Priority override:</w:t>
      </w:r>
      <w:r>
        <w:rPr>
          <w:rFonts w:ascii="Calibri" w:cs="Calibri" w:eastAsia="Calibri" w:hAnsi="Calibri"/>
          <w:b w:val="false"/>
          <w:bCs w:val="false"/>
          <w:i w:val="false"/>
          <w:iCs w:val="false"/>
          <w:strike w:val="false"/>
          <w:color w:val="000000"/>
          <w:sz w:val="22"/>
          <w:szCs w:val="22"/>
        </w:rPr>
        <w:t xml:space="preserve"> Fact Units explicitly referenced in the current query are pinned to the CCW and not subject to eviction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Session persistence:</w:t>
      </w:r>
      <w:r>
        <w:rPr>
          <w:rFonts w:ascii="Calibri" w:cs="Calibri" w:eastAsia="Calibri" w:hAnsi="Calibri"/>
          <w:b w:val="false"/>
          <w:bCs w:val="false"/>
          <w:i w:val="false"/>
          <w:iCs w:val="false"/>
          <w:strike w:val="false"/>
          <w:color w:val="000000"/>
          <w:sz w:val="22"/>
          <w:szCs w:val="22"/>
        </w:rPr>
        <w:t xml:space="preserve"> The CCW state is optionally persisted between user sessions via a session snapshot mechanism, enabling long-running research or analysis sessions to resume with full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Cross-session learning:</w:t>
      </w:r>
      <w:r>
        <w:rPr>
          <w:rFonts w:ascii="Calibri" w:cs="Calibri" w:eastAsia="Calibri" w:hAnsi="Calibri"/>
          <w:b w:val="false"/>
          <w:bCs w:val="false"/>
          <w:i w:val="false"/>
          <w:iCs w:val="false"/>
          <w:strike w:val="false"/>
          <w:color w:val="000000"/>
          <w:sz w:val="22"/>
          <w:szCs w:val="22"/>
        </w:rPr>
        <w:t xml:space="preserve"> Fact Unit activation patterns from the CCW are used to update the SWS after session termination</w:t>
      </w:r>
    </w:p>
    <w:p>
      <w:pPr>
        <w:pStyle w:val="Heading2"/>
        <w:spacing w:after="120" w:before="240" w:line="288" w:lineRule="auto"/>
      </w:pPr>
      <w:r>
        <w:rPr>
          <w:rFonts w:ascii="Calibri" w:cs="Calibri" w:eastAsia="Calibri" w:hAnsi="Calibri"/>
          <w:color w:val="000000"/>
          <w:sz w:val="36"/>
          <w:szCs w:val="36"/>
        </w:rPr>
        <w:t xml:space="preserve">7.3 Associative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complete query processing flow through the NCL, from natural language input to ranked Fact Unit result set, is specified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13%"/>
            <w:shd w:fill="DCE6F0" w:color="auto" w:val="clear"/>
          </w:tcPr>
          <w:p>
            <w:r>
              <w:rPr>
                <w:rFonts w:ascii="Calibri" w:cs="Calibri" w:eastAsia="Calibri" w:hAnsi="Calibri"/>
                <w:b/>
                <w:bCs/>
                <w:i w:val="false"/>
                <w:iCs w:val="false"/>
                <w:strike w:val="false"/>
                <w:color w:val="0D2A5E"/>
                <w:sz w:val="20"/>
                <w:szCs w:val="20"/>
              </w:rPr>
              <w:t xml:space="preserve">Component</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Operation</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3%"/>
          </w:tcPr>
          <w:p>
            <w:r>
              <w:rPr>
                <w:rFonts w:ascii="Calibri" w:cs="Calibri" w:eastAsia="Calibri" w:hAnsi="Calibri"/>
                <w:b w:val="false"/>
                <w:bCs w:val="false"/>
                <w:i w:val="false"/>
                <w:iCs w:val="false"/>
                <w:strike w:val="false"/>
                <w:color w:val="000000"/>
                <w:sz w:val="20"/>
                <w:szCs w:val="20"/>
              </w:rPr>
              <w:t xml:space="preserve">Query Encoder</w:t>
            </w:r>
          </w:p>
        </w:tc>
        <w:tc>
          <w:tcPr>
            <w:tcW w:type="pct" w:w="56%"/>
          </w:tcPr>
          <w:p>
            <w:r>
              <w:rPr>
                <w:rFonts w:ascii="Calibri" w:cs="Calibri" w:eastAsia="Calibri" w:hAnsi="Calibri"/>
                <w:b w:val="false"/>
                <w:bCs w:val="false"/>
                <w:i w:val="false"/>
                <w:iCs w:val="false"/>
                <w:strike w:val="false"/>
                <w:color w:val="000000"/>
                <w:sz w:val="20"/>
                <w:szCs w:val="20"/>
              </w:rPr>
              <w:t xml:space="preserve">Parse input (natural language or QB-Query); extract query intent, entity constraints, temporal constraints, confidence thresholds; generate query EmbeddingVector via the same encoder used for Fact Units</w:t>
            </w:r>
          </w:p>
        </w:tc>
        <w:tc>
          <w:tcPr>
            <w:tcW w:type="pct" w:w="23%"/>
          </w:tcPr>
          <w:p>
            <w:r>
              <w:rPr>
                <w:rFonts w:ascii="Calibri" w:cs="Calibri" w:eastAsia="Calibri" w:hAnsi="Calibri"/>
                <w:b w:val="false"/>
                <w:bCs w:val="false"/>
                <w:i w:val="false"/>
                <w:iCs w:val="false"/>
                <w:strike w:val="false"/>
                <w:color w:val="000000"/>
                <w:sz w:val="20"/>
                <w:szCs w:val="20"/>
              </w:rPr>
              <w:t xml:space="preserve">Query EmbeddingVector (4096-dim) + structured filter predicates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3%"/>
          </w:tcPr>
          <w:p>
            <w:r>
              <w:rPr>
                <w:rFonts w:ascii="Calibri" w:cs="Calibri" w:eastAsia="Calibri" w:hAnsi="Calibri"/>
                <w:b w:val="false"/>
                <w:bCs w:val="false"/>
                <w:i w:val="false"/>
                <w:iCs w:val="false"/>
                <w:strike w:val="false"/>
                <w:color w:val="000000"/>
                <w:sz w:val="20"/>
                <w:szCs w:val="20"/>
              </w:rPr>
              <w:t xml:space="preserve">SDE</w:t>
            </w:r>
          </w:p>
        </w:tc>
        <w:tc>
          <w:tcPr>
            <w:tcW w:type="pct" w:w="56%"/>
          </w:tcPr>
          <w:p>
            <w:r>
              <w:rPr>
                <w:rFonts w:ascii="Calibri" w:cs="Calibri" w:eastAsia="Calibri" w:hAnsi="Calibri"/>
                <w:b w:val="false"/>
                <w:bCs w:val="false"/>
                <w:i w:val="false"/>
                <w:iCs w:val="false"/>
                <w:strike w:val="false"/>
                <w:color w:val="000000"/>
                <w:sz w:val="20"/>
                <w:szCs w:val="20"/>
              </w:rPr>
              <w:t xml:space="preserve">Encode query EmbeddingVector into 16,384-bit query SDR</w:t>
            </w:r>
          </w:p>
        </w:tc>
        <w:tc>
          <w:tcPr>
            <w:tcW w:type="pct" w:w="23%"/>
          </w:tcPr>
          <w:p>
            <w:r>
              <w:rPr>
                <w:rFonts w:ascii="Calibri" w:cs="Calibri" w:eastAsia="Calibri" w:hAnsi="Calibri"/>
                <w:b w:val="false"/>
                <w:bCs w:val="false"/>
                <w:i w:val="false"/>
                <w:iCs w:val="false"/>
                <w:strike w:val="false"/>
                <w:color w:val="000000"/>
                <w:sz w:val="20"/>
                <w:szCs w:val="20"/>
              </w:rPr>
              <w:t xml:space="preserve">Query SDR (16,384 bits, 256 active)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3%"/>
          </w:tcPr>
          <w:p>
            <w:r>
              <w:rPr>
                <w:rFonts w:ascii="Calibri" w:cs="Calibri" w:eastAsia="Calibri" w:hAnsi="Calibri"/>
                <w:b w:val="false"/>
                <w:bCs w:val="false"/>
                <w:i w:val="false"/>
                <w:iCs w:val="false"/>
                <w:strike w:val="false"/>
                <w:color w:val="000000"/>
                <w:sz w:val="20"/>
                <w:szCs w:val="20"/>
              </w:rPr>
              <w:t xml:space="preserve">ARE — ANN Search</w:t>
            </w:r>
          </w:p>
        </w:tc>
        <w:tc>
          <w:tcPr>
            <w:tcW w:type="pct" w:w="56%"/>
          </w:tcPr>
          <w:p>
            <w:r>
              <w:rPr>
                <w:rFonts w:ascii="Calibri" w:cs="Calibri" w:eastAsia="Calibri" w:hAnsi="Calibri"/>
                <w:b w:val="false"/>
                <w:bCs w:val="false"/>
                <w:i w:val="false"/>
                <w:iCs w:val="false"/>
                <w:strike w:val="false"/>
                <w:color w:val="000000"/>
                <w:sz w:val="20"/>
                <w:szCs w:val="20"/>
              </w:rPr>
              <w:t xml:space="preserve">Perform Hamming nearest-neighbor search in SDR Index; apply structured filter predicates (FactType, TemporalAnchor range, SafetyFlags, ConfidenceScore threshold) to pre-filter candidates</w:t>
            </w:r>
          </w:p>
        </w:tc>
        <w:tc>
          <w:tcPr>
            <w:tcW w:type="pct" w:w="23%"/>
          </w:tcPr>
          <w:p>
            <w:r>
              <w:rPr>
                <w:rFonts w:ascii="Calibri" w:cs="Calibri" w:eastAsia="Calibri" w:hAnsi="Calibri"/>
                <w:b w:val="false"/>
                <w:bCs w:val="false"/>
                <w:i w:val="false"/>
                <w:iCs w:val="false"/>
                <w:strike w:val="false"/>
                <w:color w:val="000000"/>
                <w:sz w:val="20"/>
                <w:szCs w:val="20"/>
              </w:rPr>
              <w:t xml:space="preserve">Top-K Fact Unit candidates with SDR overlap scores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3%"/>
          </w:tcPr>
          <w:p>
            <w:r>
              <w:rPr>
                <w:rFonts w:ascii="Calibri" w:cs="Calibri" w:eastAsia="Calibri" w:hAnsi="Calibri"/>
                <w:b w:val="false"/>
                <w:bCs w:val="false"/>
                <w:i w:val="false"/>
                <w:iCs w:val="false"/>
                <w:strike w:val="false"/>
                <w:color w:val="000000"/>
                <w:sz w:val="20"/>
                <w:szCs w:val="20"/>
              </w:rPr>
              <w:t xml:space="preserve">ARE — Graph Traversal</w:t>
            </w:r>
          </w:p>
        </w:tc>
        <w:tc>
          <w:tcPr>
            <w:tcW w:type="pct" w:w="56%"/>
          </w:tcPr>
          <w:p>
            <w:r>
              <w:rPr>
                <w:rFonts w:ascii="Calibri" w:cs="Calibri" w:eastAsia="Calibri" w:hAnsi="Calibri"/>
                <w:b w:val="false"/>
                <w:bCs w:val="false"/>
                <w:i w:val="false"/>
                <w:iCs w:val="false"/>
                <w:strike w:val="false"/>
                <w:color w:val="000000"/>
                <w:sz w:val="20"/>
                <w:szCs w:val="20"/>
              </w:rPr>
              <w:t xml:space="preserve">Expand candidate pool via Fact Graph RelationSet traversal (BFS up to depth 3); collect neighbors with relation weight above threshold</w:t>
            </w:r>
          </w:p>
        </w:tc>
        <w:tc>
          <w:tcPr>
            <w:tcW w:type="pct" w:w="23%"/>
          </w:tcPr>
          <w:p>
            <w:r>
              <w:rPr>
                <w:rFonts w:ascii="Calibri" w:cs="Calibri" w:eastAsia="Calibri" w:hAnsi="Calibri"/>
                <w:b w:val="false"/>
                <w:bCs w:val="false"/>
                <w:i w:val="false"/>
                <w:iCs w:val="false"/>
                <w:strike w:val="false"/>
                <w:color w:val="000000"/>
                <w:sz w:val="20"/>
                <w:szCs w:val="20"/>
              </w:rPr>
              <w:t xml:space="preserve">Expanded candidate pool (up to K × branching_factor Fact Units)</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3%"/>
          </w:tcPr>
          <w:p>
            <w:r>
              <w:rPr>
                <w:rFonts w:ascii="Calibri" w:cs="Calibri" w:eastAsia="Calibri" w:hAnsi="Calibri"/>
                <w:b w:val="false"/>
                <w:bCs w:val="false"/>
                <w:i w:val="false"/>
                <w:iCs w:val="false"/>
                <w:strike w:val="false"/>
                <w:color w:val="000000"/>
                <w:sz w:val="20"/>
                <w:szCs w:val="20"/>
              </w:rPr>
              <w:t xml:space="preserve">TMM</w:t>
            </w:r>
          </w:p>
        </w:tc>
        <w:tc>
          <w:tcPr>
            <w:tcW w:type="pct" w:w="56%"/>
          </w:tcPr>
          <w:p>
            <w:r>
              <w:rPr>
                <w:rFonts w:ascii="Calibri" w:cs="Calibri" w:eastAsia="Calibri" w:hAnsi="Calibri"/>
                <w:b w:val="false"/>
                <w:bCs w:val="false"/>
                <w:i w:val="false"/>
                <w:iCs w:val="false"/>
                <w:strike w:val="false"/>
                <w:color w:val="000000"/>
                <w:sz w:val="20"/>
                <w:szCs w:val="20"/>
              </w:rPr>
              <w:t xml:space="preserve">Apply session temporal context: boost candidates that are temporally adjacent to recently activated Fact Units in the CCW; penalize candidates inconsistent with session context</w:t>
            </w:r>
          </w:p>
        </w:tc>
        <w:tc>
          <w:tcPr>
            <w:tcW w:type="pct" w:w="23%"/>
          </w:tcPr>
          <w:p>
            <w:r>
              <w:rPr>
                <w:rFonts w:ascii="Calibri" w:cs="Calibri" w:eastAsia="Calibri" w:hAnsi="Calibri"/>
                <w:b w:val="false"/>
                <w:bCs w:val="false"/>
                <w:i w:val="false"/>
                <w:iCs w:val="false"/>
                <w:strike w:val="false"/>
                <w:color w:val="000000"/>
                <w:sz w:val="20"/>
                <w:szCs w:val="20"/>
              </w:rPr>
              <w:t xml:space="preserve">Temporally-weighted candidate pool</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3%"/>
          </w:tcPr>
          <w:p>
            <w:r>
              <w:rPr>
                <w:rFonts w:ascii="Calibri" w:cs="Calibri" w:eastAsia="Calibri" w:hAnsi="Calibri"/>
                <w:b w:val="false"/>
                <w:bCs w:val="false"/>
                <w:i w:val="false"/>
                <w:iCs w:val="false"/>
                <w:strike w:val="false"/>
                <w:color w:val="000000"/>
                <w:sz w:val="20"/>
                <w:szCs w:val="20"/>
              </w:rPr>
              <w:t xml:space="preserve">AN</w:t>
            </w:r>
          </w:p>
        </w:tc>
        <w:tc>
          <w:tcPr>
            <w:tcW w:type="pct" w:w="56%"/>
          </w:tcPr>
          <w:p>
            <w:r>
              <w:rPr>
                <w:rFonts w:ascii="Calibri" w:cs="Calibri" w:eastAsia="Calibri" w:hAnsi="Calibri"/>
                <w:b w:val="false"/>
                <w:bCs w:val="false"/>
                <w:i w:val="false"/>
                <w:iCs w:val="false"/>
                <w:strike w:val="false"/>
                <w:color w:val="000000"/>
                <w:sz w:val="20"/>
                <w:szCs w:val="20"/>
              </w:rPr>
              <w:t xml:space="preserve">Load candidate activations into Attractor Network; iterate to convergence; eliminate candidates that fall below activation threshold after convergence</w:t>
            </w:r>
          </w:p>
        </w:tc>
        <w:tc>
          <w:tcPr>
            <w:tcW w:type="pct" w:w="23%"/>
          </w:tcPr>
          <w:p>
            <w:r>
              <w:rPr>
                <w:rFonts w:ascii="Calibri" w:cs="Calibri" w:eastAsia="Calibri" w:hAnsi="Calibri"/>
                <w:b w:val="false"/>
                <w:bCs w:val="false"/>
                <w:i w:val="false"/>
                <w:iCs w:val="false"/>
                <w:strike w:val="false"/>
                <w:color w:val="000000"/>
                <w:sz w:val="20"/>
                <w:szCs w:val="20"/>
              </w:rPr>
              <w:t xml:space="preserve">Stabilized, internally consistent candidate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7</w:t>
            </w:r>
          </w:p>
        </w:tc>
        <w:tc>
          <w:tcPr>
            <w:tcW w:type="pct" w:w="13%"/>
          </w:tcPr>
          <w:p>
            <w:r>
              <w:rPr>
                <w:rFonts w:ascii="Calibri" w:cs="Calibri" w:eastAsia="Calibri" w:hAnsi="Calibri"/>
                <w:b w:val="false"/>
                <w:bCs w:val="false"/>
                <w:i w:val="false"/>
                <w:iCs w:val="false"/>
                <w:strike w:val="false"/>
                <w:color w:val="000000"/>
                <w:sz w:val="20"/>
                <w:szCs w:val="20"/>
              </w:rPr>
              <w:t xml:space="preserve">Safety Substrate</w:t>
            </w:r>
          </w:p>
        </w:tc>
        <w:tc>
          <w:tcPr>
            <w:tcW w:type="pct" w:w="56%"/>
          </w:tcPr>
          <w:p>
            <w:r>
              <w:rPr>
                <w:rFonts w:ascii="Calibri" w:cs="Calibri" w:eastAsia="Calibri" w:hAnsi="Calibri"/>
                <w:b w:val="false"/>
                <w:bCs w:val="false"/>
                <w:i w:val="false"/>
                <w:iCs w:val="false"/>
                <w:strike w:val="false"/>
                <w:color w:val="000000"/>
                <w:sz w:val="20"/>
                <w:szCs w:val="20"/>
              </w:rPr>
              <w:t xml:space="preserve">Filter result set against caller's AccessControlList and SafetyFlags enforcement rules; redact or exclude Fact Units the caller is not authorized to receive</w:t>
            </w:r>
          </w:p>
        </w:tc>
        <w:tc>
          <w:tcPr>
            <w:tcW w:type="pct" w:w="23%"/>
          </w:tcPr>
          <w:p>
            <w:r>
              <w:rPr>
                <w:rFonts w:ascii="Calibri" w:cs="Calibri" w:eastAsia="Calibri" w:hAnsi="Calibri"/>
                <w:b w:val="false"/>
                <w:bCs w:val="false"/>
                <w:i w:val="false"/>
                <w:iCs w:val="false"/>
                <w:strike w:val="false"/>
                <w:color w:val="000000"/>
                <w:sz w:val="20"/>
                <w:szCs w:val="20"/>
              </w:rPr>
              <w:t xml:space="preserve">Safety-filtered result set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8</w:t>
            </w:r>
          </w:p>
        </w:tc>
        <w:tc>
          <w:tcPr>
            <w:tcW w:type="pct" w:w="13%"/>
          </w:tcPr>
          <w:p>
            <w:r>
              <w:rPr>
                <w:rFonts w:ascii="Calibri" w:cs="Calibri" w:eastAsia="Calibri" w:hAnsi="Calibri"/>
                <w:b w:val="false"/>
                <w:bCs w:val="false"/>
                <w:i w:val="false"/>
                <w:iCs w:val="false"/>
                <w:strike w:val="false"/>
                <w:color w:val="000000"/>
                <w:sz w:val="20"/>
                <w:szCs w:val="20"/>
              </w:rPr>
              <w:t xml:space="preserve">Result Ranker</w:t>
            </w:r>
          </w:p>
        </w:tc>
        <w:tc>
          <w:tcPr>
            <w:tcW w:type="pct" w:w="56%"/>
          </w:tcPr>
          <w:p>
            <w:r>
              <w:rPr>
                <w:rFonts w:ascii="Calibri" w:cs="Calibri" w:eastAsia="Calibri" w:hAnsi="Calibri"/>
                <w:b w:val="false"/>
                <w:bCs w:val="false"/>
                <w:i w:val="false"/>
                <w:iCs w:val="false"/>
                <w:strike w:val="false"/>
                <w:color w:val="000000"/>
                <w:sz w:val="20"/>
                <w:szCs w:val="20"/>
              </w:rPr>
              <w:t xml:space="preserve">Compute final composite score for each surviving Fact Unit; sort descending; return top-N results (configurable, default N=20) with per-unit confidence scores and lineage references</w:t>
            </w:r>
          </w:p>
        </w:tc>
        <w:tc>
          <w:tcPr>
            <w:tcW w:type="pct" w:w="23%"/>
          </w:tcPr>
          <w:p>
            <w:r>
              <w:rPr>
                <w:rFonts w:ascii="Calibri" w:cs="Calibri" w:eastAsia="Calibri" w:hAnsi="Calibri"/>
                <w:b w:val="false"/>
                <w:bCs w:val="false"/>
                <w:i w:val="false"/>
                <w:iCs w:val="false"/>
                <w:strike w:val="false"/>
                <w:color w:val="000000"/>
                <w:sz w:val="20"/>
                <w:szCs w:val="20"/>
              </w:rPr>
              <w:t xml:space="preserve">Ranked Fact Unit result set with metadata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 Learning and Adaptation</w:t>
      </w:r>
    </w:p>
    <w:p>
      <w:pPr>
        <w:pStyle w:val="Heading3"/>
        <w:spacing w:after="120" w:before="240" w:line="288" w:lineRule="auto"/>
      </w:pPr>
      <w:r>
        <w:rPr>
          <w:rFonts w:ascii="Calibri" w:cs="Calibri" w:eastAsia="Calibri" w:hAnsi="Calibri"/>
          <w:color w:val="000000"/>
          <w:sz w:val="30"/>
          <w:szCs w:val="30"/>
        </w:rPr>
        <w:t xml:space="preserve">7.4.1 STDP Weight Updates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each query-feedback cycle (where feedback may be explicit user relevance signals or implicit signals such as dwell time and follow-up query content), the SWS is updated for all Fact Unit pairs that co-activated during the session. Pairs that activated in close temporal succession receive positive weight increments; pairs that activated in anti-correlated patterns receive negative weight decrements.</w:t>
      </w:r>
    </w:p>
    <w:p>
      <w:pPr>
        <w:pStyle w:val="Heading3"/>
        <w:spacing w:after="120" w:before="240" w:line="288" w:lineRule="auto"/>
      </w:pPr>
      <w:r>
        <w:rPr>
          <w:rFonts w:ascii="Calibri" w:cs="Calibri" w:eastAsia="Calibri" w:hAnsi="Calibri"/>
          <w:color w:val="000000"/>
          <w:sz w:val="30"/>
          <w:szCs w:val="30"/>
        </w:rPr>
        <w:t xml:space="preserve">7.4.2 Hebbian Strengthening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Beyond STDP temporal ordering, co-activated Fact Unit pairs (those that both appear in the result set of the same query) receive a Hebbian weight increment proportional to the product of their activation strengths. This implements the principle that "neurons that fire together, wire together" at the Fact Unit level.</w:t>
      </w:r>
    </w:p>
    <w:p>
      <w:pPr>
        <w:pStyle w:val="Heading3"/>
        <w:spacing w:after="120" w:before="240" w:line="288" w:lineRule="auto"/>
      </w:pPr>
      <w:r>
        <w:rPr>
          <w:rFonts w:ascii="Calibri" w:cs="Calibri" w:eastAsia="Calibri" w:hAnsi="Calibri"/>
          <w:color w:val="000000"/>
          <w:sz w:val="30"/>
          <w:szCs w:val="30"/>
        </w:rPr>
        <w:t xml:space="preserve">7.4.3 Homeostatic Normalization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To prevent runaway positive feedback loops (where a small set of highly interconnected Fact Units dominates all query results), the NCL applies homeostatic normalization on a configurable schedule (default: every 10,000 query cycles). Normalization computes the L1 norm of incoming weights for each Fact Unit and scales all incoming weights to maintain a target L1 norm.</w:t>
      </w:r>
    </w:p>
    <w:p>
      <w:pPr>
        <w:pStyle w:val="Heading3"/>
        <w:spacing w:after="120" w:before="240" w:line="288" w:lineRule="auto"/>
      </w:pPr>
      <w:r>
        <w:rPr>
          <w:rFonts w:ascii="Calibri" w:cs="Calibri" w:eastAsia="Calibri" w:hAnsi="Calibri"/>
          <w:color w:val="000000"/>
          <w:sz w:val="30"/>
          <w:szCs w:val="30"/>
        </w:rPr>
        <w:t xml:space="preserve">7.4.4 EWC Regularization for Continual Learning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EWC analog maintains a per-weight importance score I_ij (the Fisher information of the synaptic weight W_ij with respect to the query performance metric). The update rule for each weight is modified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ΔW_ij = η_raw × STDP_signal_ij - λ × I_ij × (W_ij - W_ij_reference)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Where: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η_raw = raw learning rate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λ = EWC regularization coefficient (default: 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I_ij = importance score for weight W_ij</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W_ij_ref = reference weight value (snapshot before the current task)</w:t>
            </w:r>
          </w:p>
        </w:tc>
      </w:tr>
    </w:tbl>
    <w:p>
      <w:pPr>
        <w:spacing w:after="24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penalizes large changes to weights that are highly important for previously learned associations, preventing catastrophic forgetting while still allowing new associations to be learned on less-important weights.</w:t>
      </w:r>
    </w:p>
    <w:p>
      <w:pPr>
        <w:pStyle w:val="Heading2"/>
        <w:spacing w:after="120" w:before="240" w:line="288" w:lineRule="auto"/>
      </w:pPr>
      <w:r>
        <w:rPr>
          <w:rFonts w:ascii="Calibri" w:cs="Calibri" w:eastAsia="Calibri" w:hAnsi="Calibri"/>
          <w:color w:val="000000"/>
          <w:sz w:val="36"/>
          <w:szCs w:val="36"/>
        </w:rPr>
        <w:t xml:space="preserve">7.5 NCL Performance Characteristics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Target Value</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Measurement Conditions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(p50)</w:t>
            </w:r>
          </w:p>
        </w:tc>
        <w:tc>
          <w:tcPr>
            <w:tcW w:type="pct" w:w="33%"/>
          </w:tcPr>
          <w:p>
            <w:r>
              <w:rPr>
                <w:rFonts w:ascii="Calibri" w:cs="Calibri" w:eastAsia="Calibri" w:hAnsi="Calibri"/>
                <w:b w:val="false"/>
                <w:bCs w:val="false"/>
                <w:i w:val="false"/>
                <w:iCs w:val="false"/>
                <w:strike w:val="false"/>
                <w:color w:val="000000"/>
                <w:sz w:val="20"/>
                <w:szCs w:val="20"/>
              </w:rPr>
              <w:t xml:space="preserve">&lt; 50ms</w:t>
            </w:r>
          </w:p>
        </w:tc>
        <w:tc>
          <w:tcPr>
            <w:tcW w:type="pct" w:w="42%"/>
          </w:tcPr>
          <w:p>
            <w:r>
              <w:rPr>
                <w:rFonts w:ascii="Calibri" w:cs="Calibri" w:eastAsia="Calibri" w:hAnsi="Calibri"/>
                <w:b w:val="false"/>
                <w:bCs w:val="false"/>
                <w:i w:val="false"/>
                <w:iCs w:val="false"/>
                <w:strike w:val="false"/>
                <w:color w:val="000000"/>
                <w:sz w:val="20"/>
                <w:szCs w:val="20"/>
              </w:rPr>
              <w:t xml:space="preserve">10B Fact Units in Active Store; standard associative query</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latency (p99)</w:t>
            </w:r>
          </w:p>
        </w:tc>
        <w:tc>
          <w:tcPr>
            <w:tcW w:type="pct" w:w="33%"/>
          </w:tcPr>
          <w:p>
            <w:r>
              <w:rPr>
                <w:rFonts w:ascii="Calibri" w:cs="Calibri" w:eastAsia="Calibri" w:hAnsi="Calibri"/>
                <w:b w:val="false"/>
                <w:bCs w:val="false"/>
                <w:i w:val="false"/>
                <w:iCs w:val="false"/>
                <w:strike w:val="false"/>
                <w:color w:val="000000"/>
                <w:sz w:val="20"/>
                <w:szCs w:val="20"/>
              </w:rPr>
              <w:t xml:space="preserve">&lt; 200ms</w:t>
            </w:r>
          </w:p>
        </w:tc>
        <w:tc>
          <w:tcPr>
            <w:tcW w:type="pct" w:w="42%"/>
          </w:tcPr>
          <w:p>
            <w:r>
              <w:rPr>
                <w:rFonts w:ascii="Calibri" w:cs="Calibri" w:eastAsia="Calibri" w:hAnsi="Calibri"/>
                <w:b w:val="false"/>
                <w:bCs w:val="false"/>
                <w:i w:val="false"/>
                <w:iCs w:val="false"/>
                <w:strike w:val="false"/>
                <w:color w:val="000000"/>
                <w:sz w:val="20"/>
                <w:szCs w:val="20"/>
              </w:rPr>
              <w:t xml:space="preserve">Same conditions; includes graph traversal</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Query throughput</w:t>
            </w:r>
          </w:p>
        </w:tc>
        <w:tc>
          <w:tcPr>
            <w:tcW w:type="pct" w:w="33%"/>
          </w:tcPr>
          <w:p>
            <w:r>
              <w:rPr>
                <w:rFonts w:ascii="Calibri" w:cs="Calibri" w:eastAsia="Calibri" w:hAnsi="Calibri"/>
                <w:b w:val="false"/>
                <w:bCs w:val="false"/>
                <w:i w:val="false"/>
                <w:iCs w:val="false"/>
                <w:strike w:val="false"/>
                <w:color w:val="000000"/>
                <w:sz w:val="20"/>
                <w:szCs w:val="20"/>
              </w:rPr>
              <w:t xml:space="preserve">&gt; 10,000 QPS per NCL cluster</w:t>
            </w:r>
          </w:p>
        </w:tc>
        <w:tc>
          <w:tcPr>
            <w:tcW w:type="pct" w:w="42%"/>
          </w:tcPr>
          <w:p>
            <w:r>
              <w:rPr>
                <w:rFonts w:ascii="Calibri" w:cs="Calibri" w:eastAsia="Calibri" w:hAnsi="Calibri"/>
                <w:b w:val="false"/>
                <w:bCs w:val="false"/>
                <w:i w:val="false"/>
                <w:iCs w:val="false"/>
                <w:strike w:val="false"/>
                <w:color w:val="000000"/>
                <w:sz w:val="20"/>
                <w:szCs w:val="20"/>
              </w:rPr>
              <w:t xml:space="preserve">Horizontally scaled; 16-node NCL cluster</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SDR encoding latency</w:t>
            </w:r>
          </w:p>
        </w:tc>
        <w:tc>
          <w:tcPr>
            <w:tcW w:type="pct" w:w="33%"/>
          </w:tcPr>
          <w:p>
            <w:r>
              <w:rPr>
                <w:rFonts w:ascii="Calibri" w:cs="Calibri" w:eastAsia="Calibri" w:hAnsi="Calibri"/>
                <w:b w:val="false"/>
                <w:bCs w:val="false"/>
                <w:i w:val="false"/>
                <w:iCs w:val="false"/>
                <w:strike w:val="false"/>
                <w:color w:val="000000"/>
                <w:sz w:val="20"/>
                <w:szCs w:val="20"/>
              </w:rPr>
              <w:t xml:space="preserve">&lt; 1ms per Fact Unit</w:t>
            </w:r>
          </w:p>
        </w:tc>
        <w:tc>
          <w:tcPr>
            <w:tcW w:type="pct" w:w="42%"/>
          </w:tcPr>
          <w:p>
            <w:r>
              <w:rPr>
                <w:rFonts w:ascii="Calibri" w:cs="Calibri" w:eastAsia="Calibri" w:hAnsi="Calibri"/>
                <w:b w:val="false"/>
                <w:bCs w:val="false"/>
                <w:i w:val="false"/>
                <w:iCs w:val="false"/>
                <w:strike w:val="false"/>
                <w:color w:val="000000"/>
                <w:sz w:val="20"/>
                <w:szCs w:val="20"/>
              </w:rPr>
              <w:t xml:space="preserve">SIMD-optimized implementation on AVX-512</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Attractor convergence</w:t>
            </w:r>
          </w:p>
        </w:tc>
        <w:tc>
          <w:tcPr>
            <w:tcW w:type="pct" w:w="33%"/>
          </w:tcPr>
          <w:p>
            <w:r>
              <w:rPr>
                <w:rFonts w:ascii="Calibri" w:cs="Calibri" w:eastAsia="Calibri" w:hAnsi="Calibri"/>
                <w:b w:val="false"/>
                <w:bCs w:val="false"/>
                <w:i w:val="false"/>
                <w:iCs w:val="false"/>
                <w:strike w:val="false"/>
                <w:color w:val="000000"/>
                <w:sz w:val="20"/>
                <w:szCs w:val="20"/>
              </w:rPr>
              <w:t xml:space="preserve">&lt; 64 iterations typical; &lt; 256 max</w:t>
            </w:r>
          </w:p>
        </w:tc>
        <w:tc>
          <w:tcPr>
            <w:tcW w:type="pct" w:w="42%"/>
          </w:tcPr>
          <w:p>
            <w:r>
              <w:rPr>
                <w:rFonts w:ascii="Calibri" w:cs="Calibri" w:eastAsia="Calibri" w:hAnsi="Calibri"/>
                <w:b w:val="false"/>
                <w:bCs w:val="false"/>
                <w:i w:val="false"/>
                <w:iCs w:val="false"/>
                <w:strike w:val="false"/>
                <w:color w:val="000000"/>
                <w:sz w:val="20"/>
                <w:szCs w:val="20"/>
              </w:rPr>
              <w:t xml:space="preserve">CCW of 8,192 Fact Units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update throughput</w:t>
            </w:r>
          </w:p>
        </w:tc>
        <w:tc>
          <w:tcPr>
            <w:tcW w:type="pct" w:w="33%"/>
          </w:tcPr>
          <w:p>
            <w:r>
              <w:rPr>
                <w:rFonts w:ascii="Calibri" w:cs="Calibri" w:eastAsia="Calibri" w:hAnsi="Calibri"/>
                <w:b w:val="false"/>
                <w:bCs w:val="false"/>
                <w:i w:val="false"/>
                <w:iCs w:val="false"/>
                <w:strike w:val="false"/>
                <w:color w:val="000000"/>
                <w:sz w:val="20"/>
                <w:szCs w:val="20"/>
              </w:rPr>
              <w:t xml:space="preserve">&gt; 1M weight updates/second</w:t>
            </w:r>
          </w:p>
        </w:tc>
        <w:tc>
          <w:tcPr>
            <w:tcW w:type="pct" w:w="42%"/>
          </w:tcPr>
          <w:p>
            <w:r>
              <w:rPr>
                <w:rFonts w:ascii="Calibri" w:cs="Calibri" w:eastAsia="Calibri" w:hAnsi="Calibri"/>
                <w:b w:val="false"/>
                <w:bCs w:val="false"/>
                <w:i w:val="false"/>
                <w:iCs w:val="false"/>
                <w:strike w:val="false"/>
                <w:color w:val="000000"/>
                <w:sz w:val="20"/>
                <w:szCs w:val="20"/>
              </w:rPr>
              <w:t xml:space="preserve">SIMD-optimized sparse update; 16-core node</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Memory footprint (SDR Index)</w:t>
            </w:r>
          </w:p>
        </w:tc>
        <w:tc>
          <w:tcPr>
            <w:tcW w:type="pct" w:w="33%"/>
          </w:tcPr>
          <w:p>
            <w:r>
              <w:rPr>
                <w:rFonts w:ascii="Calibri" w:cs="Calibri" w:eastAsia="Calibri" w:hAnsi="Calibri"/>
                <w:b w:val="false"/>
                <w:bCs w:val="false"/>
                <w:i w:val="false"/>
                <w:iCs w:val="false"/>
                <w:strike w:val="false"/>
                <w:color w:val="000000"/>
                <w:sz w:val="20"/>
                <w:szCs w:val="20"/>
              </w:rPr>
              <w:t xml:space="preserve">&lt; 2KB per Fact Unit</w:t>
            </w:r>
          </w:p>
        </w:tc>
        <w:tc>
          <w:tcPr>
            <w:tcW w:type="pct" w:w="42%"/>
          </w:tcPr>
          <w:p>
            <w:r>
              <w:rPr>
                <w:rFonts w:ascii="Calibri" w:cs="Calibri" w:eastAsia="Calibri" w:hAnsi="Calibri"/>
                <w:b w:val="false"/>
                <w:bCs w:val="false"/>
                <w:i w:val="false"/>
                <w:iCs w:val="false"/>
                <w:strike w:val="false"/>
                <w:color w:val="000000"/>
                <w:sz w:val="20"/>
                <w:szCs w:val="20"/>
              </w:rPr>
              <w:t xml:space="preserve">16,384-bit SDR at 2% sparsity, compressed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SWS storage (10B Fact Units)</w:t>
            </w:r>
          </w:p>
        </w:tc>
        <w:tc>
          <w:tcPr>
            <w:tcW w:type="pct" w:w="33%"/>
          </w:tcPr>
          <w:p>
            <w:r>
              <w:rPr>
                <w:rFonts w:ascii="Calibri" w:cs="Calibri" w:eastAsia="Calibri" w:hAnsi="Calibri"/>
                <w:b w:val="false"/>
                <w:bCs w:val="false"/>
                <w:i w:val="false"/>
                <w:iCs w:val="false"/>
                <w:strike w:val="false"/>
                <w:color w:val="000000"/>
                <w:sz w:val="20"/>
                <w:szCs w:val="20"/>
              </w:rPr>
              <w:t xml:space="preserve">&lt; 40TB</w:t>
            </w:r>
          </w:p>
        </w:tc>
        <w:tc>
          <w:tcPr>
            <w:tcW w:type="pct" w:w="42%"/>
          </w:tcPr>
          <w:p>
            <w:r>
              <w:rPr>
                <w:rFonts w:ascii="Calibri" w:cs="Calibri" w:eastAsia="Calibri" w:hAnsi="Calibri"/>
                <w:b w:val="false"/>
                <w:bCs w:val="false"/>
                <w:i w:val="false"/>
                <w:iCs w:val="false"/>
                <w:strike w:val="false"/>
                <w:color w:val="000000"/>
                <w:sz w:val="20"/>
                <w:szCs w:val="20"/>
              </w:rPr>
              <w:t xml:space="preserve">Assuming average 400 non-zero connections per Fact Unit</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Degraded-mode operation</w:t>
            </w:r>
          </w:p>
        </w:tc>
        <w:tc>
          <w:tcPr>
            <w:tcW w:type="pct" w:w="33%"/>
          </w:tcPr>
          <w:p>
            <w:r>
              <w:rPr>
                <w:rFonts w:ascii="Calibri" w:cs="Calibri" w:eastAsia="Calibri" w:hAnsi="Calibri"/>
                <w:b w:val="false"/>
                <w:bCs w:val="false"/>
                <w:i w:val="false"/>
                <w:iCs w:val="false"/>
                <w:strike w:val="false"/>
                <w:color w:val="000000"/>
                <w:sz w:val="20"/>
                <w:szCs w:val="20"/>
              </w:rPr>
              <w:t xml:space="preserve">Query latency &lt; 500ms at 50% node failure</w:t>
            </w:r>
          </w:p>
        </w:tc>
        <w:tc>
          <w:tcPr>
            <w:tcW w:type="pct" w:w="42%"/>
          </w:tcPr>
          <w:p>
            <w:r>
              <w:rPr>
                <w:rFonts w:ascii="Calibri" w:cs="Calibri" w:eastAsia="Calibri" w:hAnsi="Calibri"/>
                <w:b w:val="false"/>
                <w:bCs w:val="false"/>
                <w:i w:val="false"/>
                <w:iCs w:val="false"/>
                <w:strike w:val="false"/>
                <w:color w:val="000000"/>
                <w:sz w:val="20"/>
                <w:szCs w:val="20"/>
              </w:rPr>
              <w:t xml:space="preserve">Automatic fallback to ANN-only (sans AN/TMM) mode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 NCL Integrity and Robustness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NCL components specified above (§7.2–§7.4) are, like any learned associative memory system, subject to three concrete risk classes distinct from the general-purpose harm categories the Safety Substrate (Chapter 8) already governs: unauthorized modification of learned state, adversarially-crafted queries designed to manipulate recall, and capacity exhaustion in the attractor network under sustained load. This section specifies mitigations for each, working with the Safety Substrate's existing enforcement model rather than introducing a separate one.</w:t>
      </w:r>
    </w:p>
    <w:p>
      <w:pPr>
        <w:pStyle w:val="Heading3"/>
        <w:spacing w:after="120" w:before="200" w:line="288" w:lineRule="auto"/>
      </w:pPr>
      <w:r>
        <w:rPr>
          <w:rFonts w:ascii="Calibri" w:cs="Calibri" w:eastAsia="Calibri" w:hAnsi="Calibri"/>
          <w:color w:val="000000"/>
          <w:sz w:val="28"/>
          <w:szCs w:val="28"/>
        </w:rPr>
        <w:t xml:space="preserve">7.6.1 Synaptic Weight Store Integrity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Synaptic Weight Store (SWS, §7.2.5) is a persistent, distributed store of learned connection weights, updated continuously by the STDP (§7.4.1), Hebbian (§7.4.2), and EWC (§7.4.4) learning rules. Because it is both persistent and directly shapes future recall behavior, unauthorized or corrupted writes to it are a higher-consequence event than a single bad query result — a corrupted weight persists and compounds.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weight-update batch is signed with the writing NCL instance's service credential before commit; the SWS rejects unsigned or invalidly-signed updates outright, using the same credential and signature-verification infrastructure already specified for inter-service calls on the Semantic Transport Layer (Chapter 9), not a new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Weight-update magnitude is bounded per batch (a configurable maximum L2-norm delta); a batch exceeding the bound is logged to the Provenance Ledger (Chapter 5) as an anomalous-update event and held for review rather than applied silently, consistent with how AEM output confidence is already capped and flagged (§15.1) rather than trusted unconditionally.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Homeostatic Normalization mechanism already specified (§7.4.3) doubles as a passive integrity check: normalization drift that exceeds the expected range for organic learning is a signal of either a runaway feedback loop or a tampered weight batch, and should raise the same anomalous-update flag as a magnitude violation.</w:t>
      </w:r>
    </w:p>
    <w:p>
      <w:pPr>
        <w:pStyle w:val="Heading3"/>
        <w:spacing w:after="120" w:before="200" w:line="288" w:lineRule="auto"/>
      </w:pPr>
      <w:r>
        <w:rPr>
          <w:rFonts w:ascii="Calibri" w:cs="Calibri" w:eastAsia="Calibri" w:hAnsi="Calibri"/>
          <w:color w:val="000000"/>
          <w:sz w:val="28"/>
          <w:szCs w:val="28"/>
        </w:rPr>
        <w:t xml:space="preserve">7.6.2 Adversarial Query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Associative Recall Engine (ARE, §7.2.3) performs pattern completion over partial or noisy input by design — which is also the property an adversarially-crafted query could exploit to probe for memorized specifics or to manipulate which Fact Units a completion surfaces.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Input queries to the ARE pass through the same entity-resolution and confidence-calibration path already specified for ingestion (§4.5, §4.6) before pattern completion runs, rather than being fed to the attractor network directly — this bounds how much an adversarial input's surface form can directly steer the underlying SDR representation (§7.2.1).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completion result whose confidence sits far outside the ARE's normal operating distribution for a query of that shape (measured against a rolling baseline, not a fixed threshold) is flagged rather than returned silently, giving the same treatment to an anomalously confident recall that §15.1 already gives to an anomalously confident AEM inference.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Repeated structurally-similar queries from a single source within a short window — a pattern consistent with systematic probing rather than organic use — are rate-limited at the Semantic Transport Layer (Chapter 9), which already owns request-level rate limiting for this system.</w:t>
      </w:r>
    </w:p>
    <w:p>
      <w:pPr>
        <w:pStyle w:val="Heading3"/>
        <w:spacing w:after="120" w:before="200" w:line="288" w:lineRule="auto"/>
      </w:pPr>
      <w:r>
        <w:rPr>
          <w:rFonts w:ascii="Calibri" w:cs="Calibri" w:eastAsia="Calibri" w:hAnsi="Calibri"/>
          <w:color w:val="000000"/>
          <w:sz w:val="28"/>
          <w:szCs w:val="28"/>
        </w:rPr>
        <w:t xml:space="preserve">7.6.3 Attractor Network Capacity Bounds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Attractor Network (AN, §7.2.4) has finite capacity: a continuous-Hopfield-style network's reliable pattern-storage capacity scales roughly linearly with the number of units (classically on the order of 0.14N stable patterns for N units under standard Hopfield dynamics), and exceeding it produces exactly the failure mode EWC regularization (§7.4.4) is meant to prevent — catastrophic interference, where storing a new pattern corrupts recall of existing ones. This bound was implicit in the existing specification but not stated as an explicit operating constraint.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AN's configured capacity ceiling, derived from its unit count using the bound above, should be treated as a hard operating limit, not a soft guideline — sustained operation near or above it is the condition under which interference becomes likely, independent of how well-tuned EWC's regularization weights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performance table already specified in §7.5 includes an "Automatic fallback to ANN-only (sans AN/TMM) mode" — this fallback is the correct response when capacity pressure is detected, and should be triggered proactively as utilization approaches the bound above, not only after interference is already observed in recall 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 — SAFETY SUBSTRATE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 Executive Summary</w:t>
            </w:r>
            <w:r>
              <w:rPr>
                <w:rFonts w:ascii="Calibri" w:cs="Calibri" w:eastAsia="Calibri" w:hAnsi="Calibri"/>
                <w:b/>
                <w:bCs/>
                <w:i w:val="false"/>
                <w:iCs w:val="false"/>
                <w:strike w:val="false"/>
                <w:color w:val="333333"/>
                <w:sz w:val="24"/>
                <w:szCs w:val="24"/>
              </w:rPr>
              <w:t xml:space="preserve">Part VII specifies the Safety Substrate — the architecturally embedded, non-bypassable constraint enforcement system that governs all operations at every QueryBook layer. Unlike external safety systems that can be circumvented, the Safety Substrate is integrated as a mandatory gate in the execution path of every Fact Unit operation. This Part defines the complete SafetyFlags taxonomy, per-layer enforcement specifications, adversarial robustness mechanisms, and incident response capabilities. This Part is the primary reference for patent Cluster H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 Safety Substrate</w:t>
      </w:r>
    </w:p>
    <w:p>
      <w:pPr>
        <w:pStyle w:val="Heading1"/>
        <w:spacing w:after="120" w:before="240" w:line="288" w:lineRule="auto"/>
      </w:pPr>
      <w:r>
        <w:rPr>
          <w:rFonts w:ascii="Calibri" w:cs="Calibri" w:eastAsia="Calibri" w:hAnsi="Calibri"/>
          <w:color w:val="000000"/>
          <w:sz w:val="48"/>
          <w:szCs w:val="48"/>
        </w:rPr>
        <w:t xml:space="preserve">Chapter 8: Safety Substrate — Complete Specification</w:t>
      </w:r>
    </w:p>
    <w:p>
      <w:pPr>
        <w:pStyle w:val="Heading2"/>
        <w:spacing w:after="120" w:before="240" w:line="288" w:lineRule="auto"/>
      </w:pPr>
      <w:r>
        <w:rPr>
          <w:rFonts w:ascii="Calibri" w:cs="Calibri" w:eastAsia="Calibri" w:hAnsi="Calibri"/>
          <w:color w:val="000000"/>
          <w:sz w:val="36"/>
          <w:szCs w:val="36"/>
        </w:rPr>
        <w:t xml:space="preserve">8.1 Design Mandate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(SS) is the system-wide enforcement mechanism for all safety, privacy, security, and compliance constraints in QueryBook. Its design mandate is absolute and admits no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CE8E8" w:color="auto" w:val="clear"/>
          </w:tcPr>
          <w:p>
            <w:r>
              <w:rPr>
                <w:rFonts w:ascii="Calibri" w:cs="Calibri" w:eastAsia="Calibri" w:hAnsi="Calibri"/>
                <w:b/>
                <w:bCs/>
                <w:i w:val="false"/>
                <w:iCs w:val="false"/>
                <w:strike w:val="false"/>
                <w:color w:val="000000"/>
                <w:sz w:val="22"/>
                <w:szCs w:val="22"/>
              </w:rPr>
              <w:t xml:space="preserve">NON-NEGOTIABLE DESIGN CONSTRAINT</w:t>
            </w:r>
            <w:r>
              <w:rPr>
                <w:rFonts w:ascii="Calibri" w:cs="Calibri" w:eastAsia="Calibri" w:hAnsi="Calibri"/>
                <w:b/>
                <w:bCs/>
                <w:i w:val="false"/>
                <w:iCs w:val="false"/>
                <w:strike w:val="false"/>
                <w:color w:val="333333"/>
                <w:sz w:val="24"/>
                <w:szCs w:val="24"/>
              </w:rPr>
              <w:t xml:space="preserve">The Safety Substrate is non-bypassable, architecturally embedded at every layer, and cannot be disabled, suspended, or circumvented by any runtime operation, API call, administrative command, configuration change, elevated privilege operation, emergency override, or any other mechanism. Any system operation that does not route through the Safety Substrate enforcement gate is an architectural defect and must be treated as a critical security vulnerability.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8.1.1 Scope of the Non-Bypassable Guarantee and Enforcement Throughput — Redesign Note (Economy and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SCOPE AND RISK</w:t>
            </w:r>
            <w:r>
              <w:rPr>
                <w:rFonts w:ascii="Calibri" w:cs="Calibri" w:eastAsia="Calibri" w:hAnsi="Calibri"/>
                <w:b/>
                <w:bCs/>
                <w:i w:val="false"/>
                <w:iCs w:val="false"/>
                <w:strike w:val="false"/>
                <w:color w:val="333333"/>
                <w:sz w:val="24"/>
                <w:szCs w:val="24"/>
              </w:rPr>
              <w:t xml:space="preserve">The “non-bypassable” guarantee above is, and should be read as, a claim about QueryBook's own software architecture: no code path within QueryBook — no API call, administrative command, or configuration change — can skip the Safety Substrate gate. It is not, and should not be represented as, a guarantee against compromise at the kernel level, underlying hardware, or by a privileged insider with direct data-store access; no software-layer control can make that claim honestly, and asserting an unqualified absolute guarantee here creates unnecessary legal and technical exposure if ever cited in a security representation or breach-liability context. This scoping does not change the enforcement mechanism specified above — it clarifies what class of guarantee is actually being made.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Separately, a throughput consideration for synchronous gating: at sustained high ingestion rates (for example, 10,000 Fact Units/second), even a modest per-check latency (on the order of 5ms) means the Safety Substrate alone requires roughly 50 seconds of cumulative compute per wall-clock second — meaning a parallel worker pool sized for at least the same order of magnitude as peak ingestion QPS is required to keep gating synchronous without becoming the system's throughput ceiling. This sizing requirement was implicit in the “every layer, every operation” enforcement model above but not previously stated as an explicit capacity-planning input; it should be added to the deployment sizing guidance in Chapter 19 and validated against real ingestion-rate targets before those targets are finalized.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operates as a mandatory gate at the following eight enforcement points: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Ingestion Gate:</w:t>
      </w:r>
      <w:r>
        <w:rPr>
          <w:rFonts w:ascii="Calibri" w:cs="Calibri" w:eastAsia="Calibri" w:hAnsi="Calibri"/>
          <w:b w:val="false"/>
          <w:bCs w:val="false"/>
          <w:i w:val="false"/>
          <w:iCs w:val="false"/>
          <w:strike w:val="false"/>
          <w:color w:val="000000"/>
          <w:sz w:val="22"/>
          <w:szCs w:val="22"/>
        </w:rPr>
        <w:t xml:space="preserve"> Inspects incoming raw data before Stage 1 processing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Construction Gate:</w:t>
      </w:r>
      <w:r>
        <w:rPr>
          <w:rFonts w:ascii="Calibri" w:cs="Calibri" w:eastAsia="Calibri" w:hAnsi="Calibri"/>
          <w:b w:val="false"/>
          <w:bCs w:val="false"/>
          <w:i w:val="false"/>
          <w:iCs w:val="false"/>
          <w:strike w:val="false"/>
          <w:color w:val="000000"/>
          <w:sz w:val="22"/>
          <w:szCs w:val="22"/>
        </w:rPr>
        <w:t xml:space="preserve"> Validates Fact Unit candidates before DRAFT state is assigned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Graph Insertion Gate:</w:t>
      </w:r>
      <w:r>
        <w:rPr>
          <w:rFonts w:ascii="Calibri" w:cs="Calibri" w:eastAsia="Calibri" w:hAnsi="Calibri"/>
          <w:b w:val="false"/>
          <w:bCs w:val="false"/>
          <w:i w:val="false"/>
          <w:iCs w:val="false"/>
          <w:strike w:val="false"/>
          <w:color w:val="000000"/>
          <w:sz w:val="22"/>
          <w:szCs w:val="22"/>
        </w:rPr>
        <w:t xml:space="preserve"> Final check before ACTIVE state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Query Processing Gate:</w:t>
      </w:r>
      <w:r>
        <w:rPr>
          <w:rFonts w:ascii="Calibri" w:cs="Calibri" w:eastAsia="Calibri" w:hAnsi="Calibri"/>
          <w:b w:val="false"/>
          <w:bCs w:val="false"/>
          <w:i w:val="false"/>
          <w:iCs w:val="false"/>
          <w:strike w:val="false"/>
          <w:color w:val="000000"/>
          <w:sz w:val="22"/>
          <w:szCs w:val="22"/>
        </w:rPr>
        <w:t xml:space="preserve"> Validates query expressions for prohibited patterns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 Unit Retrieval Gate:</w:t>
      </w:r>
      <w:r>
        <w:rPr>
          <w:rFonts w:ascii="Calibri" w:cs="Calibri" w:eastAsia="Calibri" w:hAnsi="Calibri"/>
          <w:b w:val="false"/>
          <w:bCs w:val="false"/>
          <w:i w:val="false"/>
          <w:iCs w:val="false"/>
          <w:strike w:val="false"/>
          <w:color w:val="000000"/>
          <w:sz w:val="22"/>
          <w:szCs w:val="22"/>
        </w:rPr>
        <w:t xml:space="preserve"> Enforces per-Fact-Unit ACL and SafetyFlags on every retrieval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Regeneration Gate:</w:t>
      </w:r>
      <w:r>
        <w:rPr>
          <w:rFonts w:ascii="Calibri" w:cs="Calibri" w:eastAsia="Calibri" w:hAnsi="Calibri"/>
          <w:b w:val="false"/>
          <w:bCs w:val="false"/>
          <w:i w:val="false"/>
          <w:iCs w:val="false"/>
          <w:strike w:val="false"/>
          <w:color w:val="000000"/>
          <w:sz w:val="22"/>
          <w:szCs w:val="22"/>
        </w:rPr>
        <w:t xml:space="preserve"> Ensures MRE output satisfies all applicable safety constraints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Export Gate:</w:t>
      </w:r>
      <w:r>
        <w:rPr>
          <w:rFonts w:ascii="Calibri" w:cs="Calibri" w:eastAsia="Calibri" w:hAnsi="Calibri"/>
          <w:b w:val="false"/>
          <w:bCs w:val="false"/>
          <w:i w:val="false"/>
          <w:iCs w:val="false"/>
          <w:strike w:val="false"/>
          <w:color w:val="000000"/>
          <w:sz w:val="22"/>
          <w:szCs w:val="22"/>
        </w:rPr>
        <w:t xml:space="preserve"> Applies additional restrictions on Fact Unit data leaving the system boundary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Federation Gate:</w:t>
      </w:r>
      <w:r>
        <w:rPr>
          <w:rFonts w:ascii="Calibri" w:cs="Calibri" w:eastAsia="Calibri" w:hAnsi="Calibri"/>
          <w:b w:val="false"/>
          <w:bCs w:val="false"/>
          <w:i w:val="false"/>
          <w:iCs w:val="false"/>
          <w:strike w:val="false"/>
          <w:color w:val="000000"/>
          <w:sz w:val="22"/>
          <w:szCs w:val="22"/>
        </w:rPr>
        <w:t xml:space="preserve"> Controls which Fact Units may be shared with external QueryBook instances</w:t>
      </w:r>
    </w:p>
    <w:p>
      <w:pPr>
        <w:pStyle w:val="Heading2"/>
        <w:spacing w:after="120" w:before="240" w:line="288" w:lineRule="auto"/>
      </w:pPr>
      <w:r>
        <w:rPr>
          <w:rFonts w:ascii="Calibri" w:cs="Calibri" w:eastAsia="Calibri" w:hAnsi="Calibri"/>
          <w:color w:val="000000"/>
          <w:sz w:val="36"/>
          <w:szCs w:val="36"/>
        </w:rPr>
        <w:t xml:space="preserve">8.2 Safety Classification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carries a SafetyFlags bitmask (uint32). The following table defines all 16 currently defined flag bits, their bit positions, semantics, and enforcement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Enforcement Actions Triggered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SAFE</w:t>
            </w:r>
          </w:p>
        </w:tc>
        <w:tc>
          <w:tcPr>
            <w:tcW w:type="pct" w:w="10%"/>
          </w:tcPr>
          <w:p>
            <w:r>
              <w:rPr>
                <w:rFonts w:ascii="Calibri" w:cs="Calibri" w:eastAsia="Calibri" w:hAnsi="Calibri"/>
                <w:b w:val="false"/>
                <w:bCs w:val="false"/>
                <w:i w:val="false"/>
                <w:iCs w:val="false"/>
                <w:strike w:val="false"/>
                <w:color w:val="000000"/>
                <w:sz w:val="20"/>
                <w:szCs w:val="20"/>
              </w:rPr>
              <w:t xml:space="preserve">Bit 0</w:t>
            </w:r>
          </w:p>
        </w:tc>
        <w:tc>
          <w:tcPr>
            <w:tcW w:type="pct" w:w="38%"/>
          </w:tcPr>
          <w:p>
            <w:r>
              <w:rPr>
                <w:rFonts w:ascii="Calibri" w:cs="Calibri" w:eastAsia="Calibri" w:hAnsi="Calibri"/>
                <w:b w:val="false"/>
                <w:bCs w:val="false"/>
                <w:i w:val="false"/>
                <w:iCs w:val="false"/>
                <w:strike w:val="false"/>
                <w:color w:val="000000"/>
                <w:sz w:val="20"/>
                <w:szCs w:val="20"/>
              </w:rPr>
              <w:t xml:space="preserve">No special restrictions. Default state for all Fact Units that do not meet any higher classification criterion.</w:t>
            </w:r>
          </w:p>
        </w:tc>
        <w:tc>
          <w:tcPr>
            <w:tcW w:type="pct" w:w="40%"/>
          </w:tcPr>
          <w:p>
            <w:r>
              <w:rPr>
                <w:rFonts w:ascii="Calibri" w:cs="Calibri" w:eastAsia="Calibri" w:hAnsi="Calibri"/>
                <w:b w:val="false"/>
                <w:bCs w:val="false"/>
                <w:i w:val="false"/>
                <w:iCs w:val="false"/>
                <w:strike w:val="false"/>
                <w:color w:val="000000"/>
                <w:sz w:val="20"/>
                <w:szCs w:val="20"/>
              </w:rPr>
              <w:t xml:space="preserve">Standard access control (ACL) enforcement only</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SENSITIVE</w:t>
            </w:r>
          </w:p>
        </w:tc>
        <w:tc>
          <w:tcPr>
            <w:tcW w:type="pct" w:w="10%"/>
          </w:tcPr>
          <w:p>
            <w:r>
              <w:rPr>
                <w:rFonts w:ascii="Calibri" w:cs="Calibri" w:eastAsia="Calibri" w:hAnsi="Calibri"/>
                <w:b w:val="false"/>
                <w:bCs w:val="false"/>
                <w:i w:val="false"/>
                <w:iCs w:val="false"/>
                <w:strike w:val="false"/>
                <w:color w:val="000000"/>
                <w:sz w:val="20"/>
                <w:szCs w:val="20"/>
              </w:rPr>
              <w:t xml:space="preserve">Bit 1</w:t>
            </w:r>
          </w:p>
        </w:tc>
        <w:tc>
          <w:tcPr>
            <w:tcW w:type="pct" w:w="38%"/>
          </w:tcPr>
          <w:p>
            <w:r>
              <w:rPr>
                <w:rFonts w:ascii="Calibri" w:cs="Calibri" w:eastAsia="Calibri" w:hAnsi="Calibri"/>
                <w:b w:val="false"/>
                <w:bCs w:val="false"/>
                <w:i w:val="false"/>
                <w:iCs w:val="false"/>
                <w:strike w:val="false"/>
                <w:color w:val="000000"/>
                <w:sz w:val="20"/>
                <w:szCs w:val="20"/>
              </w:rPr>
              <w:t xml:space="preserve">Content that, while not regulated, warrants elevated access scrutiny due to its nature (e.g., internal business strategy, non-public financial data, personal opinions of identifiable individuals)</w:t>
            </w:r>
          </w:p>
        </w:tc>
        <w:tc>
          <w:tcPr>
            <w:tcW w:type="pct" w:w="40%"/>
          </w:tcPr>
          <w:p>
            <w:r>
              <w:rPr>
                <w:rFonts w:ascii="Calibri" w:cs="Calibri" w:eastAsia="Calibri" w:hAnsi="Calibri"/>
                <w:b w:val="false"/>
                <w:bCs w:val="false"/>
                <w:i w:val="false"/>
                <w:iCs w:val="false"/>
                <w:strike w:val="false"/>
                <w:color w:val="000000"/>
                <w:sz w:val="20"/>
                <w:szCs w:val="20"/>
              </w:rPr>
              <w:t xml:space="preserve">Authentication required; all access events logged to Safety Audit Log; export flagged for review</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RESTRICTED</w:t>
            </w:r>
          </w:p>
        </w:tc>
        <w:tc>
          <w:tcPr>
            <w:tcW w:type="pct" w:w="10%"/>
          </w:tcPr>
          <w:p>
            <w:r>
              <w:rPr>
                <w:rFonts w:ascii="Calibri" w:cs="Calibri" w:eastAsia="Calibri" w:hAnsi="Calibri"/>
                <w:b w:val="false"/>
                <w:bCs w:val="false"/>
                <w:i w:val="false"/>
                <w:iCs w:val="false"/>
                <w:strike w:val="false"/>
                <w:color w:val="000000"/>
                <w:sz w:val="20"/>
                <w:szCs w:val="20"/>
              </w:rPr>
              <w:t xml:space="preserve">Bit 2</w:t>
            </w:r>
          </w:p>
        </w:tc>
        <w:tc>
          <w:tcPr>
            <w:tcW w:type="pct" w:w="38%"/>
          </w:tcPr>
          <w:p>
            <w:r>
              <w:rPr>
                <w:rFonts w:ascii="Calibri" w:cs="Calibri" w:eastAsia="Calibri" w:hAnsi="Calibri"/>
                <w:b w:val="false"/>
                <w:bCs w:val="false"/>
                <w:i w:val="false"/>
                <w:iCs w:val="false"/>
                <w:strike w:val="false"/>
                <w:color w:val="000000"/>
                <w:sz w:val="20"/>
                <w:szCs w:val="20"/>
              </w:rPr>
              <w:t xml:space="preserve">Content access limited to specific roles. Not publicly accessible. Typically internal-only technical or operational information.</w:t>
            </w:r>
          </w:p>
        </w:tc>
        <w:tc>
          <w:tcPr>
            <w:tcW w:type="pct" w:w="40%"/>
          </w:tcPr>
          <w:p>
            <w:r>
              <w:rPr>
                <w:rFonts w:ascii="Calibri" w:cs="Calibri" w:eastAsia="Calibri" w:hAnsi="Calibri"/>
                <w:b w:val="false"/>
                <w:bCs w:val="false"/>
                <w:i w:val="false"/>
                <w:iCs w:val="false"/>
                <w:strike w:val="false"/>
                <w:color w:val="000000"/>
                <w:sz w:val="20"/>
                <w:szCs w:val="20"/>
              </w:rPr>
              <w:t xml:space="preserve">Role-based access control enforced; access token inspection; all queries involving RESTRICTED Fact Units logged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CONFIDENTIAL</w:t>
            </w:r>
          </w:p>
        </w:tc>
        <w:tc>
          <w:tcPr>
            <w:tcW w:type="pct" w:w="10%"/>
          </w:tcPr>
          <w:p>
            <w:r>
              <w:rPr>
                <w:rFonts w:ascii="Calibri" w:cs="Calibri" w:eastAsia="Calibri" w:hAnsi="Calibri"/>
                <w:b w:val="false"/>
                <w:bCs w:val="false"/>
                <w:i w:val="false"/>
                <w:iCs w:val="false"/>
                <w:strike w:val="false"/>
                <w:color w:val="000000"/>
                <w:sz w:val="20"/>
                <w:szCs w:val="20"/>
              </w:rPr>
              <w:t xml:space="preserve">Bit 3</w:t>
            </w:r>
          </w:p>
        </w:tc>
        <w:tc>
          <w:tcPr>
            <w:tcW w:type="pct" w:w="38%"/>
          </w:tcPr>
          <w:p>
            <w:r>
              <w:rPr>
                <w:rFonts w:ascii="Calibri" w:cs="Calibri" w:eastAsia="Calibri" w:hAnsi="Calibri"/>
                <w:b w:val="false"/>
                <w:bCs w:val="false"/>
                <w:i w:val="false"/>
                <w:iCs w:val="false"/>
                <w:strike w:val="false"/>
                <w:color w:val="000000"/>
                <w:sz w:val="20"/>
                <w:szCs w:val="20"/>
              </w:rPr>
              <w:t xml:space="preserve">Commercially sensitive or legally protected information requiring data protection controls</w:t>
            </w:r>
          </w:p>
        </w:tc>
        <w:tc>
          <w:tcPr>
            <w:tcW w:type="pct" w:w="40%"/>
          </w:tcPr>
          <w:p>
            <w:r>
              <w:rPr>
                <w:rFonts w:ascii="Calibri" w:cs="Calibri" w:eastAsia="Calibri" w:hAnsi="Calibri"/>
                <w:b w:val="false"/>
                <w:bCs w:val="false"/>
                <w:i w:val="false"/>
                <w:iCs w:val="false"/>
                <w:strike w:val="false"/>
                <w:color w:val="000000"/>
                <w:sz w:val="20"/>
                <w:szCs w:val="20"/>
              </w:rPr>
              <w:t xml:space="preserve">Encryption-at-rest enforced (AES-256-GCM); encryption-in-transit enforced (TLS 1.3); key management via HSM; export requires written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HAZARDOUS</w:t>
            </w:r>
          </w:p>
        </w:tc>
        <w:tc>
          <w:tcPr>
            <w:tcW w:type="pct" w:w="10%"/>
          </w:tcPr>
          <w:p>
            <w:r>
              <w:rPr>
                <w:rFonts w:ascii="Calibri" w:cs="Calibri" w:eastAsia="Calibri" w:hAnsi="Calibri"/>
                <w:b w:val="false"/>
                <w:bCs w:val="false"/>
                <w:i w:val="false"/>
                <w:iCs w:val="false"/>
                <w:strike w:val="false"/>
                <w:color w:val="000000"/>
                <w:sz w:val="20"/>
                <w:szCs w:val="20"/>
              </w:rPr>
              <w:t xml:space="preserve">Bit 4</w:t>
            </w:r>
          </w:p>
        </w:tc>
        <w:tc>
          <w:tcPr>
            <w:tcW w:type="pct" w:w="38%"/>
          </w:tcPr>
          <w:p>
            <w:r>
              <w:rPr>
                <w:rFonts w:ascii="Calibri" w:cs="Calibri" w:eastAsia="Calibri" w:hAnsi="Calibri"/>
                <w:b w:val="false"/>
                <w:bCs w:val="false"/>
                <w:i w:val="false"/>
                <w:iCs w:val="false"/>
                <w:strike w:val="false"/>
                <w:color w:val="000000"/>
                <w:sz w:val="20"/>
                <w:szCs w:val="20"/>
              </w:rPr>
              <w:t xml:space="preserve">Content that could facilitate harm if accessed by unauthorized parties (e.g., detailed technical instructions for dangerous activities, vulnerability information, dual-use research)</w:t>
            </w:r>
          </w:p>
        </w:tc>
        <w:tc>
          <w:tcPr>
            <w:tcW w:type="pct" w:w="40%"/>
          </w:tcPr>
          <w:p>
            <w:r>
              <w:rPr>
                <w:rFonts w:ascii="Calibri" w:cs="Calibri" w:eastAsia="Calibri" w:hAnsi="Calibri"/>
                <w:b w:val="false"/>
                <w:bCs w:val="false"/>
                <w:i w:val="false"/>
                <w:iCs w:val="false"/>
                <w:strike w:val="false"/>
                <w:color w:val="000000"/>
                <w:sz w:val="20"/>
                <w:szCs w:val="20"/>
              </w:rPr>
              <w:t xml:space="preserve">Dual-approval required for any retrieval or modification; access limited to HAZARDOUS_AUTHORIZED role; all access events require written justification; export prohibited without separate HSM-signed authorization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LEGALLY_SENSITIVE</w:t>
            </w:r>
          </w:p>
        </w:tc>
        <w:tc>
          <w:tcPr>
            <w:tcW w:type="pct" w:w="10%"/>
          </w:tcPr>
          <w:p>
            <w:r>
              <w:rPr>
                <w:rFonts w:ascii="Calibri" w:cs="Calibri" w:eastAsia="Calibri" w:hAnsi="Calibri"/>
                <w:b w:val="false"/>
                <w:bCs w:val="false"/>
                <w:i w:val="false"/>
                <w:iCs w:val="false"/>
                <w:strike w:val="false"/>
                <w:color w:val="000000"/>
                <w:sz w:val="20"/>
                <w:szCs w:val="20"/>
              </w:rPr>
              <w:t xml:space="preserve">Bit 5</w:t>
            </w:r>
          </w:p>
        </w:tc>
        <w:tc>
          <w:tcPr>
            <w:tcW w:type="pct" w:w="38%"/>
          </w:tcPr>
          <w:p>
            <w:r>
              <w:rPr>
                <w:rFonts w:ascii="Calibri" w:cs="Calibri" w:eastAsia="Calibri" w:hAnsi="Calibri"/>
                <w:b w:val="false"/>
                <w:bCs w:val="false"/>
                <w:i w:val="false"/>
                <w:iCs w:val="false"/>
                <w:strike w:val="false"/>
                <w:color w:val="000000"/>
                <w:sz w:val="20"/>
                <w:szCs w:val="20"/>
              </w:rPr>
              <w:t xml:space="preserve">Information subject to legal privilege, ongoing litigation holds, regulatory review, or court-ordered restrictions</w:t>
            </w:r>
          </w:p>
        </w:tc>
        <w:tc>
          <w:tcPr>
            <w:tcW w:type="pct" w:w="40%"/>
          </w:tcPr>
          <w:p>
            <w:r>
              <w:rPr>
                <w:rFonts w:ascii="Calibri" w:cs="Calibri" w:eastAsia="Calibri" w:hAnsi="Calibri"/>
                <w:b w:val="false"/>
                <w:bCs w:val="false"/>
                <w:i w:val="false"/>
                <w:iCs w:val="false"/>
                <w:strike w:val="false"/>
                <w:color w:val="000000"/>
                <w:sz w:val="20"/>
                <w:szCs w:val="20"/>
              </w:rPr>
              <w:t xml:space="preserve">External legal review required before any export; litigation hold flag prevents any state transition to ARCHIVED or PURGED; attorney-client privilege filter applied to access list</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PERSONALLY_IDENTIFIABLE</w:t>
            </w:r>
          </w:p>
        </w:tc>
        <w:tc>
          <w:tcPr>
            <w:tcW w:type="pct" w:w="10%"/>
          </w:tcPr>
          <w:p>
            <w:r>
              <w:rPr>
                <w:rFonts w:ascii="Calibri" w:cs="Calibri" w:eastAsia="Calibri" w:hAnsi="Calibri"/>
                <w:b w:val="false"/>
                <w:bCs w:val="false"/>
                <w:i w:val="false"/>
                <w:iCs w:val="false"/>
                <w:strike w:val="false"/>
                <w:color w:val="000000"/>
                <w:sz w:val="20"/>
                <w:szCs w:val="20"/>
              </w:rPr>
              <w:t xml:space="preserve">Bit 6</w:t>
            </w:r>
          </w:p>
        </w:tc>
        <w:tc>
          <w:tcPr>
            <w:tcW w:type="pct" w:w="38%"/>
          </w:tcPr>
          <w:p>
            <w:r>
              <w:rPr>
                <w:rFonts w:ascii="Calibri" w:cs="Calibri" w:eastAsia="Calibri" w:hAnsi="Calibri"/>
                <w:b w:val="false"/>
                <w:bCs w:val="false"/>
                <w:i w:val="false"/>
                <w:iCs w:val="false"/>
                <w:strike w:val="false"/>
                <w:color w:val="000000"/>
                <w:sz w:val="20"/>
                <w:szCs w:val="20"/>
              </w:rPr>
              <w:t xml:space="preserve">Content containing or derived from personally identifiable information as defined by GDPR, CCPA, or other applicable privacy regulations</w:t>
            </w:r>
          </w:p>
        </w:tc>
        <w:tc>
          <w:tcPr>
            <w:tcW w:type="pct" w:w="40%"/>
          </w:tcPr>
          <w:p>
            <w:r>
              <w:rPr>
                <w:rFonts w:ascii="Calibri" w:cs="Calibri" w:eastAsia="Calibri" w:hAnsi="Calibri"/>
                <w:b w:val="false"/>
                <w:bCs w:val="false"/>
                <w:i w:val="false"/>
                <w:iCs w:val="false"/>
                <w:strike w:val="false"/>
                <w:color w:val="000000"/>
                <w:sz w:val="20"/>
                <w:szCs w:val="20"/>
              </w:rPr>
              <w:t xml:space="preserve">PII handling rules enforced: consent verification, purpose limitation check, data minimization validation; GDPR Article 25 data-protection-by-design controls applied; DSAR (Data Subject Access Request) tracking</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REGULATED_HIPAA</w:t>
            </w:r>
          </w:p>
        </w:tc>
        <w:tc>
          <w:tcPr>
            <w:tcW w:type="pct" w:w="10%"/>
          </w:tcPr>
          <w:p>
            <w:r>
              <w:rPr>
                <w:rFonts w:ascii="Calibri" w:cs="Calibri" w:eastAsia="Calibri" w:hAnsi="Calibri"/>
                <w:b w:val="false"/>
                <w:bCs w:val="false"/>
                <w:i w:val="false"/>
                <w:iCs w:val="false"/>
                <w:strike w:val="false"/>
                <w:color w:val="000000"/>
                <w:sz w:val="20"/>
                <w:szCs w:val="20"/>
              </w:rPr>
              <w:t xml:space="preserve">Bit 7</w:t>
            </w:r>
          </w:p>
        </w:tc>
        <w:tc>
          <w:tcPr>
            <w:tcW w:type="pct" w:w="38%"/>
          </w:tcPr>
          <w:p>
            <w:r>
              <w:rPr>
                <w:rFonts w:ascii="Calibri" w:cs="Calibri" w:eastAsia="Calibri" w:hAnsi="Calibri"/>
                <w:b w:val="false"/>
                <w:bCs w:val="false"/>
                <w:i w:val="false"/>
                <w:iCs w:val="false"/>
                <w:strike w:val="false"/>
                <w:color w:val="000000"/>
                <w:sz w:val="20"/>
                <w:szCs w:val="20"/>
              </w:rPr>
              <w:t xml:space="preserve">Protected Health Information (PHI) as defined by HIPAA</w:t>
            </w:r>
          </w:p>
        </w:tc>
        <w:tc>
          <w:tcPr>
            <w:tcW w:type="pct" w:w="40%"/>
          </w:tcPr>
          <w:p>
            <w:r>
              <w:rPr>
                <w:rFonts w:ascii="Calibri" w:cs="Calibri" w:eastAsia="Calibri" w:hAnsi="Calibri"/>
                <w:b w:val="false"/>
                <w:bCs w:val="false"/>
                <w:i w:val="false"/>
                <w:iCs w:val="false"/>
                <w:strike w:val="false"/>
                <w:color w:val="000000"/>
                <w:sz w:val="20"/>
                <w:szCs w:val="20"/>
              </w:rPr>
              <w:t xml:space="preserve">HIPAA access controls (minimum necessary standard); BAA verification required; 6-year retention minimum; PHI audit log mandatory; breach notification workflow integrated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REGULATED_GDPR</w:t>
            </w:r>
          </w:p>
        </w:tc>
        <w:tc>
          <w:tcPr>
            <w:tcW w:type="pct" w:w="10%"/>
          </w:tcPr>
          <w:p>
            <w:r>
              <w:rPr>
                <w:rFonts w:ascii="Calibri" w:cs="Calibri" w:eastAsia="Calibri" w:hAnsi="Calibri"/>
                <w:b w:val="false"/>
                <w:bCs w:val="false"/>
                <w:i w:val="false"/>
                <w:iCs w:val="false"/>
                <w:strike w:val="false"/>
                <w:color w:val="000000"/>
                <w:sz w:val="20"/>
                <w:szCs w:val="20"/>
              </w:rPr>
              <w:t xml:space="preserve">Bit 8</w:t>
            </w:r>
          </w:p>
        </w:tc>
        <w:tc>
          <w:tcPr>
            <w:tcW w:type="pct" w:w="38%"/>
          </w:tcPr>
          <w:p>
            <w:r>
              <w:rPr>
                <w:rFonts w:ascii="Calibri" w:cs="Calibri" w:eastAsia="Calibri" w:hAnsi="Calibri"/>
                <w:b w:val="false"/>
                <w:bCs w:val="false"/>
                <w:i w:val="false"/>
                <w:iCs w:val="false"/>
                <w:strike w:val="false"/>
                <w:color w:val="000000"/>
                <w:sz w:val="20"/>
                <w:szCs w:val="20"/>
              </w:rPr>
              <w:t xml:space="preserve">Personal data subject to GDPR jurisdiction</w:t>
            </w:r>
          </w:p>
        </w:tc>
        <w:tc>
          <w:tcPr>
            <w:tcW w:type="pct" w:w="40%"/>
          </w:tcPr>
          <w:p>
            <w:r>
              <w:rPr>
                <w:rFonts w:ascii="Calibri" w:cs="Calibri" w:eastAsia="Calibri" w:hAnsi="Calibri"/>
                <w:b w:val="false"/>
                <w:bCs w:val="false"/>
                <w:i w:val="false"/>
                <w:iCs w:val="false"/>
                <w:strike w:val="false"/>
                <w:color w:val="000000"/>
                <w:sz w:val="20"/>
                <w:szCs w:val="20"/>
              </w:rPr>
              <w:t xml:space="preserve">Lawful basis verification; data subject rights enforcement (access, rectification, erasure, portability, objection); cross-border transfer controls; DPA notification triggers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REGULATED_CCPA</w:t>
            </w:r>
          </w:p>
        </w:tc>
        <w:tc>
          <w:tcPr>
            <w:tcW w:type="pct" w:w="10%"/>
          </w:tcPr>
          <w:p>
            <w:r>
              <w:rPr>
                <w:rFonts w:ascii="Calibri" w:cs="Calibri" w:eastAsia="Calibri" w:hAnsi="Calibri"/>
                <w:b w:val="false"/>
                <w:bCs w:val="false"/>
                <w:i w:val="false"/>
                <w:iCs w:val="false"/>
                <w:strike w:val="false"/>
                <w:color w:val="000000"/>
                <w:sz w:val="20"/>
                <w:szCs w:val="20"/>
              </w:rPr>
              <w:t xml:space="preserve">Bit 9</w:t>
            </w:r>
          </w:p>
        </w:tc>
        <w:tc>
          <w:tcPr>
            <w:tcW w:type="pct" w:w="38%"/>
          </w:tcPr>
          <w:p>
            <w:r>
              <w:rPr>
                <w:rFonts w:ascii="Calibri" w:cs="Calibri" w:eastAsia="Calibri" w:hAnsi="Calibri"/>
                <w:b w:val="false"/>
                <w:bCs w:val="false"/>
                <w:i w:val="false"/>
                <w:iCs w:val="false"/>
                <w:strike w:val="false"/>
                <w:color w:val="000000"/>
                <w:sz w:val="20"/>
                <w:szCs w:val="20"/>
              </w:rPr>
              <w:t xml:space="preserve">Personal information subject to CCPA/CPRA jurisdiction (California residents)</w:t>
            </w:r>
          </w:p>
        </w:tc>
        <w:tc>
          <w:tcPr>
            <w:tcW w:type="pct" w:w="40%"/>
          </w:tcPr>
          <w:p>
            <w:r>
              <w:rPr>
                <w:rFonts w:ascii="Calibri" w:cs="Calibri" w:eastAsia="Calibri" w:hAnsi="Calibri"/>
                <w:b w:val="false"/>
                <w:bCs w:val="false"/>
                <w:i w:val="false"/>
                <w:iCs w:val="false"/>
                <w:strike w:val="false"/>
                <w:color w:val="000000"/>
                <w:sz w:val="20"/>
                <w:szCs w:val="20"/>
              </w:rPr>
              <w:t xml:space="preserve">Opt-out of sale enforcement; right-to-know compliance; deletion request workflow; sensitive personal information restrictions per CPRA</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REGULATED_FINRA</w:t>
            </w:r>
          </w:p>
        </w:tc>
        <w:tc>
          <w:tcPr>
            <w:tcW w:type="pct" w:w="10%"/>
          </w:tcPr>
          <w:p>
            <w:r>
              <w:rPr>
                <w:rFonts w:ascii="Calibri" w:cs="Calibri" w:eastAsia="Calibri" w:hAnsi="Calibri"/>
                <w:b w:val="false"/>
                <w:bCs w:val="false"/>
                <w:i w:val="false"/>
                <w:iCs w:val="false"/>
                <w:strike w:val="false"/>
                <w:color w:val="000000"/>
                <w:sz w:val="20"/>
                <w:szCs w:val="20"/>
              </w:rPr>
              <w:t xml:space="preserve">Bit 10</w:t>
            </w:r>
          </w:p>
        </w:tc>
        <w:tc>
          <w:tcPr>
            <w:tcW w:type="pct" w:w="38%"/>
          </w:tcPr>
          <w:p>
            <w:r>
              <w:rPr>
                <w:rFonts w:ascii="Calibri" w:cs="Calibri" w:eastAsia="Calibri" w:hAnsi="Calibri"/>
                <w:b w:val="false"/>
                <w:bCs w:val="false"/>
                <w:i w:val="false"/>
                <w:iCs w:val="false"/>
                <w:strike w:val="false"/>
                <w:color w:val="000000"/>
                <w:sz w:val="20"/>
                <w:szCs w:val="20"/>
              </w:rPr>
              <w:t xml:space="preserve">Financial records subject to FINRA regulations</w:t>
            </w:r>
          </w:p>
        </w:tc>
        <w:tc>
          <w:tcPr>
            <w:tcW w:type="pct" w:w="40%"/>
          </w:tcPr>
          <w:p>
            <w:r>
              <w:rPr>
                <w:rFonts w:ascii="Calibri" w:cs="Calibri" w:eastAsia="Calibri" w:hAnsi="Calibri"/>
                <w:b w:val="false"/>
                <w:bCs w:val="false"/>
                <w:i w:val="false"/>
                <w:iCs w:val="false"/>
                <w:strike w:val="false"/>
                <w:color w:val="000000"/>
                <w:sz w:val="20"/>
                <w:szCs w:val="20"/>
              </w:rPr>
              <w:t xml:space="preserve">7-year retention mandatory; WORM (Write Once Read Many) storage required; supervisory review workflow integration; exam access controls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EXPORT_CONTROLLED</w:t>
            </w:r>
          </w:p>
        </w:tc>
        <w:tc>
          <w:tcPr>
            <w:tcW w:type="pct" w:w="10%"/>
          </w:tcPr>
          <w:p>
            <w:r>
              <w:rPr>
                <w:rFonts w:ascii="Calibri" w:cs="Calibri" w:eastAsia="Calibri" w:hAnsi="Calibri"/>
                <w:b w:val="false"/>
                <w:bCs w:val="false"/>
                <w:i w:val="false"/>
                <w:iCs w:val="false"/>
                <w:strike w:val="false"/>
                <w:color w:val="000000"/>
                <w:sz w:val="20"/>
                <w:szCs w:val="20"/>
              </w:rPr>
              <w:t xml:space="preserve">Bit 11</w:t>
            </w:r>
          </w:p>
        </w:tc>
        <w:tc>
          <w:tcPr>
            <w:tcW w:type="pct" w:w="38%"/>
          </w:tcPr>
          <w:p>
            <w:r>
              <w:rPr>
                <w:rFonts w:ascii="Calibri" w:cs="Calibri" w:eastAsia="Calibri" w:hAnsi="Calibri"/>
                <w:b w:val="false"/>
                <w:bCs w:val="false"/>
                <w:i w:val="false"/>
                <w:iCs w:val="false"/>
                <w:strike w:val="false"/>
                <w:color w:val="000000"/>
                <w:sz w:val="20"/>
                <w:szCs w:val="20"/>
              </w:rPr>
              <w:t xml:space="preserve">Technical data subject to export control regulations (EAR, ITAR)</w:t>
            </w:r>
          </w:p>
        </w:tc>
        <w:tc>
          <w:tcPr>
            <w:tcW w:type="pct" w:w="40%"/>
          </w:tcPr>
          <w:p>
            <w:r>
              <w:rPr>
                <w:rFonts w:ascii="Calibri" w:cs="Calibri" w:eastAsia="Calibri" w:hAnsi="Calibri"/>
                <w:b w:val="false"/>
                <w:bCs w:val="false"/>
                <w:i w:val="false"/>
                <w:iCs w:val="false"/>
                <w:strike w:val="false"/>
                <w:color w:val="000000"/>
                <w:sz w:val="20"/>
                <w:szCs w:val="20"/>
              </w:rPr>
              <w:t xml:space="preserve">Nationality-based access restrictions; geographic restriction on API responses; deemed export controls for foreign national employees; export license verification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AI_GENERATED</w:t>
            </w:r>
          </w:p>
        </w:tc>
        <w:tc>
          <w:tcPr>
            <w:tcW w:type="pct" w:w="10%"/>
          </w:tcPr>
          <w:p>
            <w:r>
              <w:rPr>
                <w:rFonts w:ascii="Calibri" w:cs="Calibri" w:eastAsia="Calibri" w:hAnsi="Calibri"/>
                <w:b w:val="false"/>
                <w:bCs w:val="false"/>
                <w:i w:val="false"/>
                <w:iCs w:val="false"/>
                <w:strike w:val="false"/>
                <w:color w:val="000000"/>
                <w:sz w:val="20"/>
                <w:szCs w:val="20"/>
              </w:rPr>
              <w:t xml:space="preserve">Bit 12</w:t>
            </w:r>
          </w:p>
        </w:tc>
        <w:tc>
          <w:tcPr>
            <w:tcW w:type="pct" w:w="38%"/>
          </w:tcPr>
          <w:p>
            <w:r>
              <w:rPr>
                <w:rFonts w:ascii="Calibri" w:cs="Calibri" w:eastAsia="Calibri" w:hAnsi="Calibri"/>
                <w:b w:val="false"/>
                <w:bCs w:val="false"/>
                <w:i w:val="false"/>
                <w:iCs w:val="false"/>
                <w:strike w:val="false"/>
                <w:color w:val="000000"/>
                <w:sz w:val="20"/>
                <w:szCs w:val="20"/>
              </w:rPr>
              <w:t xml:space="preserve">Fact Unit primarily derived from AI model output rather than directly from observed data</w:t>
            </w:r>
          </w:p>
        </w:tc>
        <w:tc>
          <w:tcPr>
            <w:tcW w:type="pct" w:w="40%"/>
          </w:tcPr>
          <w:p>
            <w:r>
              <w:rPr>
                <w:rFonts w:ascii="Calibri" w:cs="Calibri" w:eastAsia="Calibri" w:hAnsi="Calibri"/>
                <w:b w:val="false"/>
                <w:bCs w:val="false"/>
                <w:i w:val="false"/>
                <w:iCs w:val="false"/>
                <w:strike w:val="false"/>
                <w:color w:val="000000"/>
                <w:sz w:val="20"/>
                <w:szCs w:val="20"/>
              </w:rPr>
              <w:t xml:space="preserve">AI-origin disclosure in API responses; reduced default ConfidenceScore cap (0.85 maximum without independent verification); additional scrutiny in Hallucination Prevention pipeline</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UNDER_REVIEW</w:t>
            </w:r>
          </w:p>
        </w:tc>
        <w:tc>
          <w:tcPr>
            <w:tcW w:type="pct" w:w="10%"/>
          </w:tcPr>
          <w:p>
            <w:r>
              <w:rPr>
                <w:rFonts w:ascii="Calibri" w:cs="Calibri" w:eastAsia="Calibri" w:hAnsi="Calibri"/>
                <w:b w:val="false"/>
                <w:bCs w:val="false"/>
                <w:i w:val="false"/>
                <w:iCs w:val="false"/>
                <w:strike w:val="false"/>
                <w:color w:val="000000"/>
                <w:sz w:val="20"/>
                <w:szCs w:val="20"/>
              </w:rPr>
              <w:t xml:space="preserve">Bit 13</w:t>
            </w:r>
          </w:p>
        </w:tc>
        <w:tc>
          <w:tcPr>
            <w:tcW w:type="pct" w:w="38%"/>
          </w:tcPr>
          <w:p>
            <w:r>
              <w:rPr>
                <w:rFonts w:ascii="Calibri" w:cs="Calibri" w:eastAsia="Calibri" w:hAnsi="Calibri"/>
                <w:b w:val="false"/>
                <w:bCs w:val="false"/>
                <w:i w:val="false"/>
                <w:iCs w:val="false"/>
                <w:strike w:val="false"/>
                <w:color w:val="000000"/>
                <w:sz w:val="20"/>
                <w:szCs w:val="20"/>
              </w:rPr>
              <w:t xml:space="preserve">Fact Unit flagged for human review due to conflict, anomaly, or policy concern</w:t>
            </w:r>
          </w:p>
        </w:tc>
        <w:tc>
          <w:tcPr>
            <w:tcW w:type="pct" w:w="40%"/>
          </w:tcPr>
          <w:p>
            <w:r>
              <w:rPr>
                <w:rFonts w:ascii="Calibri" w:cs="Calibri" w:eastAsia="Calibri" w:hAnsi="Calibri"/>
                <w:b w:val="false"/>
                <w:bCs w:val="false"/>
                <w:i w:val="false"/>
                <w:iCs w:val="false"/>
                <w:strike w:val="false"/>
                <w:color w:val="000000"/>
                <w:sz w:val="20"/>
                <w:szCs w:val="20"/>
              </w:rPr>
              <w:t xml:space="preserve">Excluded from default query results; accessible only to REVIEWER role; review task created in audit queue; version change prohibited until review is resolved</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SYNTHETIC</w:t>
            </w:r>
          </w:p>
        </w:tc>
        <w:tc>
          <w:tcPr>
            <w:tcW w:type="pct" w:w="10%"/>
          </w:tcPr>
          <w:p>
            <w:r>
              <w:rPr>
                <w:rFonts w:ascii="Calibri" w:cs="Calibri" w:eastAsia="Calibri" w:hAnsi="Calibri"/>
                <w:b w:val="false"/>
                <w:bCs w:val="false"/>
                <w:i w:val="false"/>
                <w:iCs w:val="false"/>
                <w:strike w:val="false"/>
                <w:color w:val="000000"/>
                <w:sz w:val="20"/>
                <w:szCs w:val="20"/>
              </w:rPr>
              <w:t xml:space="preserve">Bit 14</w:t>
            </w:r>
          </w:p>
        </w:tc>
        <w:tc>
          <w:tcPr>
            <w:tcW w:type="pct" w:w="38%"/>
          </w:tcPr>
          <w:p>
            <w:r>
              <w:rPr>
                <w:rFonts w:ascii="Calibri" w:cs="Calibri" w:eastAsia="Calibri" w:hAnsi="Calibri"/>
                <w:b w:val="false"/>
                <w:bCs w:val="false"/>
                <w:i w:val="false"/>
                <w:iCs w:val="false"/>
                <w:strike w:val="false"/>
                <w:color w:val="000000"/>
                <w:sz w:val="20"/>
                <w:szCs w:val="20"/>
              </w:rPr>
              <w:t xml:space="preserve">Fact Unit derived from a Scenario Graph or simulation, not from real-world observation</w:t>
            </w:r>
          </w:p>
        </w:tc>
        <w:tc>
          <w:tcPr>
            <w:tcW w:type="pct" w:w="40%"/>
          </w:tcPr>
          <w:p>
            <w:r>
              <w:rPr>
                <w:rFonts w:ascii="Calibri" w:cs="Calibri" w:eastAsia="Calibri" w:hAnsi="Calibri"/>
                <w:b w:val="false"/>
                <w:bCs w:val="false"/>
                <w:i w:val="false"/>
                <w:iCs w:val="false"/>
                <w:strike w:val="false"/>
                <w:color w:val="000000"/>
                <w:sz w:val="20"/>
                <w:szCs w:val="20"/>
              </w:rPr>
              <w:t xml:space="preserve">Clearly labeled as synthetic in all outputs; excluded from training data exports; excluded from Provenance attestation claims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RESERVED</w:t>
            </w:r>
          </w:p>
        </w:tc>
        <w:tc>
          <w:tcPr>
            <w:tcW w:type="pct" w:w="10%"/>
          </w:tcPr>
          <w:p>
            <w:r>
              <w:rPr>
                <w:rFonts w:ascii="Calibri" w:cs="Calibri" w:eastAsia="Calibri" w:hAnsi="Calibri"/>
                <w:b w:val="false"/>
                <w:bCs w:val="false"/>
                <w:i w:val="false"/>
                <w:iCs w:val="false"/>
                <w:strike w:val="false"/>
                <w:color w:val="000000"/>
                <w:sz w:val="20"/>
                <w:szCs w:val="20"/>
              </w:rPr>
              <w:t xml:space="preserve">Bits 15–31</w:t>
            </w:r>
          </w:p>
        </w:tc>
        <w:tc>
          <w:tcPr>
            <w:tcW w:type="pct" w:w="38%"/>
          </w:tcPr>
          <w:p>
            <w:r>
              <w:rPr>
                <w:rFonts w:ascii="Calibri" w:cs="Calibri" w:eastAsia="Calibri" w:hAnsi="Calibri"/>
                <w:b w:val="false"/>
                <w:bCs w:val="false"/>
                <w:i w:val="false"/>
                <w:iCs w:val="false"/>
                <w:strike w:val="false"/>
                <w:color w:val="000000"/>
                <w:sz w:val="20"/>
                <w:szCs w:val="20"/>
              </w:rPr>
              <w:t xml:space="preserve">Reserved for future Safety Substrate expansion; must be zero in all current Fact Units</w:t>
            </w:r>
          </w:p>
        </w:tc>
        <w:tc>
          <w:tcPr>
            <w:tcW w:type="pct" w:w="40%"/>
          </w:tcPr>
          <w:p>
            <w:r>
              <w:rPr>
                <w:rFonts w:ascii="Calibri" w:cs="Calibri" w:eastAsia="Calibri" w:hAnsi="Calibri"/>
                <w:b w:val="false"/>
                <w:bCs w:val="false"/>
                <w:i w:val="false"/>
                <w:iCs w:val="false"/>
                <w:strike w:val="false"/>
                <w:color w:val="000000"/>
                <w:sz w:val="20"/>
                <w:szCs w:val="20"/>
              </w:rPr>
              <w:t xml:space="preserve">Safety Substrate rejects Fact Units with non-zero reserved bits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 Safety Enforcement Points — Per-Layer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Enforcement Point</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What Is Checked</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Block Trigger</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What Gets Logged</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Escalation Path</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Ingestion Gate</w:t>
            </w:r>
          </w:p>
        </w:tc>
        <w:tc>
          <w:tcPr>
            <w:tcW w:type="pct" w:w="29%"/>
          </w:tcPr>
          <w:p>
            <w:r>
              <w:rPr>
                <w:rFonts w:ascii="Calibri" w:cs="Calibri" w:eastAsia="Calibri" w:hAnsi="Calibri"/>
                <w:b w:val="false"/>
                <w:bCs w:val="false"/>
                <w:i w:val="false"/>
                <w:iCs w:val="false"/>
                <w:strike w:val="false"/>
                <w:color w:val="000000"/>
                <w:sz w:val="20"/>
                <w:szCs w:val="20"/>
              </w:rPr>
              <w:t xml:space="preserve">Source reputation score; known malicious payload signatures; rate limit compliance; ingestion quota per source; preliminary content classification for HAZARDOUS patterns</w:t>
            </w:r>
          </w:p>
        </w:tc>
        <w:tc>
          <w:tcPr>
            <w:tcW w:type="pct" w:w="22%"/>
          </w:tcPr>
          <w:p>
            <w:r>
              <w:rPr>
                <w:rFonts w:ascii="Calibri" w:cs="Calibri" w:eastAsia="Calibri" w:hAnsi="Calibri"/>
                <w:b w:val="false"/>
                <w:bCs w:val="false"/>
                <w:i w:val="false"/>
                <w:iCs w:val="false"/>
                <w:strike w:val="false"/>
                <w:color w:val="000000"/>
                <w:sz w:val="20"/>
                <w:szCs w:val="20"/>
              </w:rPr>
              <w:t xml:space="preserve">Source reputation &lt; threshold; rate limit exceeded; HAZARDOUS pattern detected without authorization</w:t>
            </w:r>
          </w:p>
        </w:tc>
        <w:tc>
          <w:tcPr>
            <w:tcW w:type="pct" w:w="19%"/>
          </w:tcPr>
          <w:p>
            <w:r>
              <w:rPr>
                <w:rFonts w:ascii="Calibri" w:cs="Calibri" w:eastAsia="Calibri" w:hAnsi="Calibri"/>
                <w:b w:val="false"/>
                <w:bCs w:val="false"/>
                <w:i w:val="false"/>
                <w:iCs w:val="false"/>
                <w:strike w:val="false"/>
                <w:color w:val="000000"/>
                <w:sz w:val="20"/>
                <w:szCs w:val="20"/>
              </w:rPr>
              <w:t xml:space="preserve">Source ID, payload hash, classification result, block reason,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alert to Security Operations; dead-letter queue for manual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Construction Gate</w:t>
            </w:r>
          </w:p>
        </w:tc>
        <w:tc>
          <w:tcPr>
            <w:tcW w:type="pct" w:w="29%"/>
          </w:tcPr>
          <w:p>
            <w:r>
              <w:rPr>
                <w:rFonts w:ascii="Calibri" w:cs="Calibri" w:eastAsia="Calibri" w:hAnsi="Calibri"/>
                <w:b w:val="false"/>
                <w:bCs w:val="false"/>
                <w:i w:val="false"/>
                <w:iCs w:val="false"/>
                <w:strike w:val="false"/>
                <w:color w:val="000000"/>
                <w:sz w:val="20"/>
                <w:szCs w:val="20"/>
              </w:rPr>
              <w:t xml:space="preserve">SafetyFlags classification completeness; PII detection in all string fields; HAZARDOUS content classification; ACL well-formedness; FactType authorization (some FactTypes require elevated privilege)</w:t>
            </w:r>
          </w:p>
        </w:tc>
        <w:tc>
          <w:tcPr>
            <w:tcW w:type="pct" w:w="22%"/>
          </w:tcPr>
          <w:p>
            <w:r>
              <w:rPr>
                <w:rFonts w:ascii="Calibri" w:cs="Calibri" w:eastAsia="Calibri" w:hAnsi="Calibri"/>
                <w:b w:val="false"/>
                <w:bCs w:val="false"/>
                <w:i w:val="false"/>
                <w:iCs w:val="false"/>
                <w:strike w:val="false"/>
                <w:color w:val="000000"/>
                <w:sz w:val="20"/>
                <w:szCs w:val="20"/>
              </w:rPr>
              <w:t xml:space="preserve">PII detected without PERSONALLY_IDENTIFIABLE flag; HAZARDOUS content without HAZARDOUS_AUTHORIZED principal; malformed ACL</w:t>
            </w:r>
          </w:p>
        </w:tc>
        <w:tc>
          <w:tcPr>
            <w:tcW w:type="pct" w:w="19%"/>
          </w:tcPr>
          <w:p>
            <w:r>
              <w:rPr>
                <w:rFonts w:ascii="Calibri" w:cs="Calibri" w:eastAsia="Calibri" w:hAnsi="Calibri"/>
                <w:b w:val="false"/>
                <w:bCs w:val="false"/>
                <w:i w:val="false"/>
                <w:iCs w:val="false"/>
                <w:strike w:val="false"/>
                <w:color w:val="000000"/>
                <w:sz w:val="20"/>
                <w:szCs w:val="20"/>
              </w:rPr>
              <w:t xml:space="preserve">FUID (draft), SafetyFlags computed, PII detection result, construction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Automated PII flagging workflow; human review queue for HAZARDOUS content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Graph Insertion Gate</w:t>
            </w:r>
          </w:p>
        </w:tc>
        <w:tc>
          <w:tcPr>
            <w:tcW w:type="pct" w:w="29%"/>
          </w:tcPr>
          <w:p>
            <w:r>
              <w:rPr>
                <w:rFonts w:ascii="Calibri" w:cs="Calibri" w:eastAsia="Calibri" w:hAnsi="Calibri"/>
                <w:b w:val="false"/>
                <w:bCs w:val="false"/>
                <w:i w:val="false"/>
                <w:iCs w:val="false"/>
                <w:strike w:val="false"/>
                <w:color w:val="000000"/>
                <w:sz w:val="20"/>
                <w:szCs w:val="20"/>
              </w:rPr>
              <w:t xml:space="preserve">Duplication of final SafetyFlags check; CDRE consistency validation; ConfidenceScore range validation; EmbeddingVector dimensionality check; SafetyChecksum of Provenance Record</w:t>
            </w:r>
          </w:p>
        </w:tc>
        <w:tc>
          <w:tcPr>
            <w:tcW w:type="pct" w:w="22%"/>
          </w:tcPr>
          <w:p>
            <w:r>
              <w:rPr>
                <w:rFonts w:ascii="Calibri" w:cs="Calibri" w:eastAsia="Calibri" w:hAnsi="Calibri"/>
                <w:b w:val="false"/>
                <w:bCs w:val="false"/>
                <w:i w:val="false"/>
                <w:iCs w:val="false"/>
                <w:strike w:val="false"/>
                <w:color w:val="000000"/>
                <w:sz w:val="20"/>
                <w:szCs w:val="20"/>
              </w:rPr>
              <w:t xml:space="preserve">SafetyFlags downgrade detected (tampering); CDRE integrity constraint violation; invalid embedding vector</w:t>
            </w:r>
          </w:p>
        </w:tc>
        <w:tc>
          <w:tcPr>
            <w:tcW w:type="pct" w:w="19%"/>
          </w:tcPr>
          <w:p>
            <w:r>
              <w:rPr>
                <w:rFonts w:ascii="Calibri" w:cs="Calibri" w:eastAsia="Calibri" w:hAnsi="Calibri"/>
                <w:b w:val="false"/>
                <w:bCs w:val="false"/>
                <w:i w:val="false"/>
                <w:iCs w:val="false"/>
                <w:strike w:val="false"/>
                <w:color w:val="000000"/>
                <w:sz w:val="20"/>
                <w:szCs w:val="20"/>
              </w:rPr>
              <w:t xml:space="preserve">FUID, pre-insertion state hash, check results, inserting agent ID, timestamp</w:t>
            </w:r>
          </w:p>
        </w:tc>
        <w:tc>
          <w:tcPr>
            <w:tcW w:type="pct" w:w="19%"/>
          </w:tcPr>
          <w:p>
            <w:r>
              <w:rPr>
                <w:rFonts w:ascii="Calibri" w:cs="Calibri" w:eastAsia="Calibri" w:hAnsi="Calibri"/>
                <w:b w:val="false"/>
                <w:bCs w:val="false"/>
                <w:i w:val="false"/>
                <w:iCs w:val="false"/>
                <w:strike w:val="false"/>
                <w:color w:val="000000"/>
                <w:sz w:val="20"/>
                <w:szCs w:val="20"/>
              </w:rPr>
              <w:t xml:space="preserve">Integrity violation triggers immediate Security Operations alert and system audit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Query Processing Gate</w:t>
            </w:r>
          </w:p>
        </w:tc>
        <w:tc>
          <w:tcPr>
            <w:tcW w:type="pct" w:w="29%"/>
          </w:tcPr>
          <w:p>
            <w:r>
              <w:rPr>
                <w:rFonts w:ascii="Calibri" w:cs="Calibri" w:eastAsia="Calibri" w:hAnsi="Calibri"/>
                <w:b w:val="false"/>
                <w:bCs w:val="false"/>
                <w:i w:val="false"/>
                <w:iCs w:val="false"/>
                <w:strike w:val="false"/>
                <w:color w:val="000000"/>
                <w:sz w:val="20"/>
                <w:szCs w:val="20"/>
              </w:rPr>
              <w:t xml:space="preserve">Query expression syntax validation; prohibited pattern detection (exfiltration signatures, mass-download patterns); caller authentication and authorization; query rate limit enforcement; ACROSS SCENARIOS safety scope check</w:t>
            </w:r>
          </w:p>
        </w:tc>
        <w:tc>
          <w:tcPr>
            <w:tcW w:type="pct" w:w="22%"/>
          </w:tcPr>
          <w:p>
            <w:r>
              <w:rPr>
                <w:rFonts w:ascii="Calibri" w:cs="Calibri" w:eastAsia="Calibri" w:hAnsi="Calibri"/>
                <w:b w:val="false"/>
                <w:bCs w:val="false"/>
                <w:i w:val="false"/>
                <w:iCs w:val="false"/>
                <w:strike w:val="false"/>
                <w:color w:val="000000"/>
                <w:sz w:val="20"/>
                <w:szCs w:val="20"/>
              </w:rPr>
              <w:t xml:space="preserve">Prohibited query pattern; unauthenticated caller; rate limit exceeded; attempt to query HAZARDOUS without dual-approval</w:t>
            </w:r>
          </w:p>
        </w:tc>
        <w:tc>
          <w:tcPr>
            <w:tcW w:type="pct" w:w="19%"/>
          </w:tcPr>
          <w:p>
            <w:r>
              <w:rPr>
                <w:rFonts w:ascii="Calibri" w:cs="Calibri" w:eastAsia="Calibri" w:hAnsi="Calibri"/>
                <w:b w:val="false"/>
                <w:bCs w:val="false"/>
                <w:i w:val="false"/>
                <w:iCs w:val="false"/>
                <w:strike w:val="false"/>
                <w:color w:val="000000"/>
                <w:sz w:val="20"/>
                <w:szCs w:val="20"/>
              </w:rPr>
              <w:t xml:space="preserve">Caller ID, query hash, pattern check results, authorization outcome,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prohibited patterns trigger account suspension and Security Operations review</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Fact Unit Retrieval Gate</w:t>
            </w:r>
          </w:p>
        </w:tc>
        <w:tc>
          <w:tcPr>
            <w:tcW w:type="pct" w:w="29%"/>
          </w:tcPr>
          <w:p>
            <w:r>
              <w:rPr>
                <w:rFonts w:ascii="Calibri" w:cs="Calibri" w:eastAsia="Calibri" w:hAnsi="Calibri"/>
                <w:b w:val="false"/>
                <w:bCs w:val="false"/>
                <w:i w:val="false"/>
                <w:iCs w:val="false"/>
                <w:strike w:val="false"/>
                <w:color w:val="000000"/>
                <w:sz w:val="20"/>
                <w:szCs w:val="20"/>
              </w:rPr>
              <w:t xml:space="preserve">Per-Fact-Unit ACL enforcement against caller's identity and attributes; SafetyFlags enforcement (encryption-in-transit for CONFIDENTIAL; HAZARDOUS dual-approval check); SafetyFlags disclosure labeling</w:t>
            </w:r>
          </w:p>
        </w:tc>
        <w:tc>
          <w:tcPr>
            <w:tcW w:type="pct" w:w="22%"/>
          </w:tcPr>
          <w:p>
            <w:r>
              <w:rPr>
                <w:rFonts w:ascii="Calibri" w:cs="Calibri" w:eastAsia="Calibri" w:hAnsi="Calibri"/>
                <w:b w:val="false"/>
                <w:bCs w:val="false"/>
                <w:i w:val="false"/>
                <w:iCs w:val="false"/>
                <w:strike w:val="false"/>
                <w:color w:val="000000"/>
                <w:sz w:val="20"/>
                <w:szCs w:val="20"/>
              </w:rPr>
              <w:t xml:space="preserve">Caller not in ACL ALLOW list; missing required role; HAZARDOUS retrieval without dual-approval; UNDER_REVIEW not accessible to non-REVIEWER caller</w:t>
            </w:r>
          </w:p>
        </w:tc>
        <w:tc>
          <w:tcPr>
            <w:tcW w:type="pct" w:w="19%"/>
          </w:tcPr>
          <w:p>
            <w:r>
              <w:rPr>
                <w:rFonts w:ascii="Calibri" w:cs="Calibri" w:eastAsia="Calibri" w:hAnsi="Calibri"/>
                <w:b w:val="false"/>
                <w:bCs w:val="false"/>
                <w:i w:val="false"/>
                <w:iCs w:val="false"/>
                <w:strike w:val="false"/>
                <w:color w:val="000000"/>
                <w:sz w:val="20"/>
                <w:szCs w:val="20"/>
              </w:rPr>
              <w:t xml:space="preserve">Caller ID, FUID, retrieval result (ALLOW/DENY), SafetyFlags active, timestamp</w:t>
            </w:r>
          </w:p>
        </w:tc>
        <w:tc>
          <w:tcPr>
            <w:tcW w:type="pct" w:w="19%"/>
          </w:tcPr>
          <w:p>
            <w:r>
              <w:rPr>
                <w:rFonts w:ascii="Calibri" w:cs="Calibri" w:eastAsia="Calibri" w:hAnsi="Calibri"/>
                <w:b w:val="false"/>
                <w:bCs w:val="false"/>
                <w:i w:val="false"/>
                <w:iCs w:val="false"/>
                <w:strike w:val="false"/>
                <w:color w:val="000000"/>
                <w:sz w:val="20"/>
                <w:szCs w:val="20"/>
              </w:rPr>
              <w:t xml:space="preserve">Repeated DENY events for high-sensitivity Fact Units trigger Security Operations alert</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Regeneration Gate</w:t>
            </w:r>
          </w:p>
        </w:tc>
        <w:tc>
          <w:tcPr>
            <w:tcW w:type="pct" w:w="29%"/>
          </w:tcPr>
          <w:p>
            <w:r>
              <w:rPr>
                <w:rFonts w:ascii="Calibri" w:cs="Calibri" w:eastAsia="Calibri" w:hAnsi="Calibri"/>
                <w:b w:val="false"/>
                <w:bCs w:val="false"/>
                <w:i w:val="false"/>
                <w:iCs w:val="false"/>
                <w:strike w:val="false"/>
                <w:color w:val="000000"/>
                <w:sz w:val="20"/>
                <w:szCs w:val="20"/>
              </w:rPr>
              <w:t xml:space="preserve">Output sentence grounding verification; PII leakage detection in MRE output; HAZARDOUS content regeneration prohibition; AI_GENERATED disclosure enforcement; output length and rate limits</w:t>
            </w:r>
          </w:p>
        </w:tc>
        <w:tc>
          <w:tcPr>
            <w:tcW w:type="pct" w:w="22%"/>
          </w:tcPr>
          <w:p>
            <w:r>
              <w:rPr>
                <w:rFonts w:ascii="Calibri" w:cs="Calibri" w:eastAsia="Calibri" w:hAnsi="Calibri"/>
                <w:b w:val="false"/>
                <w:bCs w:val="false"/>
                <w:i w:val="false"/>
                <w:iCs w:val="false"/>
                <w:strike w:val="false"/>
                <w:color w:val="000000"/>
                <w:sz w:val="20"/>
                <w:szCs w:val="20"/>
              </w:rPr>
              <w:t xml:space="preserve">Ungroundable sentence detected; PII detected in output without consent; HAZARDOUS content in regeneration output</w:t>
            </w:r>
          </w:p>
        </w:tc>
        <w:tc>
          <w:tcPr>
            <w:tcW w:type="pct" w:w="19%"/>
          </w:tcPr>
          <w:p>
            <w:r>
              <w:rPr>
                <w:rFonts w:ascii="Calibri" w:cs="Calibri" w:eastAsia="Calibri" w:hAnsi="Calibri"/>
                <w:b w:val="false"/>
                <w:bCs w:val="false"/>
                <w:i w:val="false"/>
                <w:iCs w:val="false"/>
                <w:strike w:val="false"/>
                <w:color w:val="000000"/>
                <w:sz w:val="20"/>
                <w:szCs w:val="20"/>
              </w:rPr>
              <w:t xml:space="preserve">Session ID, output hash, grounding check results, redacted content indicator, timestamp</w:t>
            </w:r>
          </w:p>
        </w:tc>
        <w:tc>
          <w:tcPr>
            <w:tcW w:type="pct" w:w="19%"/>
          </w:tcPr>
          <w:p>
            <w:r>
              <w:rPr>
                <w:rFonts w:ascii="Calibri" w:cs="Calibri" w:eastAsia="Calibri" w:hAnsi="Calibri"/>
                <w:b w:val="false"/>
                <w:bCs w:val="false"/>
                <w:i w:val="false"/>
                <w:iCs w:val="false"/>
                <w:strike w:val="false"/>
                <w:color w:val="000000"/>
                <w:sz w:val="20"/>
                <w:szCs w:val="20"/>
              </w:rPr>
              <w:t xml:space="preserve">Ungroundable content logged as potential hallucination incident; immediate review if PII leakage detected</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Export Gate</w:t>
            </w:r>
          </w:p>
        </w:tc>
        <w:tc>
          <w:tcPr>
            <w:tcW w:type="pct" w:w="29%"/>
          </w:tcPr>
          <w:p>
            <w:r>
              <w:rPr>
                <w:rFonts w:ascii="Calibri" w:cs="Calibri" w:eastAsia="Calibri" w:hAnsi="Calibri"/>
                <w:b w:val="false"/>
                <w:bCs w:val="false"/>
                <w:i w:val="false"/>
                <w:iCs w:val="false"/>
                <w:strike w:val="false"/>
                <w:color w:val="000000"/>
                <w:sz w:val="20"/>
                <w:szCs w:val="20"/>
              </w:rPr>
              <w:t xml:space="preserve">Export destination authorization; EXPORT_CONTROLLED jurisdiction check; CONFIDENTIAL written authorization; bulk export rate and volume limits; watermark application; canary Fact Unit inclusion for exfiltration detection</w:t>
            </w:r>
          </w:p>
        </w:tc>
        <w:tc>
          <w:tcPr>
            <w:tcW w:type="pct" w:w="22%"/>
          </w:tcPr>
          <w:p>
            <w:r>
              <w:rPr>
                <w:rFonts w:ascii="Calibri" w:cs="Calibri" w:eastAsia="Calibri" w:hAnsi="Calibri"/>
                <w:b w:val="false"/>
                <w:bCs w:val="false"/>
                <w:i w:val="false"/>
                <w:iCs w:val="false"/>
                <w:strike w:val="false"/>
                <w:color w:val="000000"/>
                <w:sz w:val="20"/>
                <w:szCs w:val="20"/>
              </w:rPr>
              <w:t xml:space="preserve">Unauthorized export destination; EXPORT_CONTROLLED to restricted jurisdiction; CONFIDENTIAL without authorization; bulk export exceeding threshold</w:t>
            </w:r>
          </w:p>
        </w:tc>
        <w:tc>
          <w:tcPr>
            <w:tcW w:type="pct" w:w="19%"/>
          </w:tcPr>
          <w:p>
            <w:r>
              <w:rPr>
                <w:rFonts w:ascii="Calibri" w:cs="Calibri" w:eastAsia="Calibri" w:hAnsi="Calibri"/>
                <w:b w:val="false"/>
                <w:bCs w:val="false"/>
                <w:i w:val="false"/>
                <w:iCs w:val="false"/>
                <w:strike w:val="false"/>
                <w:color w:val="000000"/>
                <w:sz w:val="20"/>
                <w:szCs w:val="20"/>
              </w:rPr>
              <w:t xml:space="preserve">Exporter ID, destination, Fact Unit count, SafetyFlags distribution in export, authorization reference, timestamp</w:t>
            </w:r>
          </w:p>
        </w:tc>
        <w:tc>
          <w:tcPr>
            <w:tcW w:type="pct" w:w="19%"/>
          </w:tcPr>
          <w:p>
            <w:r>
              <w:rPr>
                <w:rFonts w:ascii="Calibri" w:cs="Calibri" w:eastAsia="Calibri" w:hAnsi="Calibri"/>
                <w:b w:val="false"/>
                <w:bCs w:val="false"/>
                <w:i w:val="false"/>
                <w:iCs w:val="false"/>
                <w:strike w:val="false"/>
                <w:color w:val="000000"/>
                <w:sz w:val="20"/>
                <w:szCs w:val="20"/>
              </w:rPr>
              <w:t xml:space="preserve">All blocked exports trigger immediate Security Operations notification; repeated attempts trigger account suspension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Federation Gate</w:t>
            </w:r>
          </w:p>
        </w:tc>
        <w:tc>
          <w:tcPr>
            <w:tcW w:type="pct" w:w="29%"/>
          </w:tcPr>
          <w:p>
            <w:r>
              <w:rPr>
                <w:rFonts w:ascii="Calibri" w:cs="Calibri" w:eastAsia="Calibri" w:hAnsi="Calibri"/>
                <w:b w:val="false"/>
                <w:bCs w:val="false"/>
                <w:i w:val="false"/>
                <w:iCs w:val="false"/>
                <w:strike w:val="false"/>
                <w:color w:val="000000"/>
                <w:sz w:val="20"/>
                <w:szCs w:val="20"/>
              </w:rPr>
              <w:t xml:space="preserve">Remote instance trust level; ontology compatibility negotiation result; reciprocal SafetyFlags policy compatibility; CONFIDENTIAL and above excluded from federation by default unless explicit bilateral agreement</w:t>
            </w:r>
          </w:p>
        </w:tc>
        <w:tc>
          <w:tcPr>
            <w:tcW w:type="pct" w:w="22%"/>
          </w:tcPr>
          <w:p>
            <w:r>
              <w:rPr>
                <w:rFonts w:ascii="Calibri" w:cs="Calibri" w:eastAsia="Calibri" w:hAnsi="Calibri"/>
                <w:b w:val="false"/>
                <w:bCs w:val="false"/>
                <w:i w:val="false"/>
                <w:iCs w:val="false"/>
                <w:strike w:val="false"/>
                <w:color w:val="000000"/>
                <w:sz w:val="20"/>
                <w:szCs w:val="20"/>
              </w:rPr>
              <w:t xml:space="preserve">Untrusted remote instance; incompatible SafetyFlags policies; CONFIDENTIAL Fact Units without explicit bilateral federation agreement</w:t>
            </w:r>
          </w:p>
        </w:tc>
        <w:tc>
          <w:tcPr>
            <w:tcW w:type="pct" w:w="19%"/>
          </w:tcPr>
          <w:p>
            <w:r>
              <w:rPr>
                <w:rFonts w:ascii="Calibri" w:cs="Calibri" w:eastAsia="Calibri" w:hAnsi="Calibri"/>
                <w:b w:val="false"/>
                <w:bCs w:val="false"/>
                <w:i w:val="false"/>
                <w:iCs w:val="false"/>
                <w:strike w:val="false"/>
                <w:color w:val="000000"/>
                <w:sz w:val="20"/>
                <w:szCs w:val="20"/>
              </w:rPr>
              <w:t xml:space="preserve">Remote instance ID, trust level, negotiated policy, included/excluded SafetyFlags, timestamp</w:t>
            </w:r>
          </w:p>
        </w:tc>
        <w:tc>
          <w:tcPr>
            <w:tcW w:type="pct" w:w="19%"/>
          </w:tcPr>
          <w:p>
            <w:r>
              <w:rPr>
                <w:rFonts w:ascii="Calibri" w:cs="Calibri" w:eastAsia="Calibri" w:hAnsi="Calibri"/>
                <w:b w:val="false"/>
                <w:bCs w:val="false"/>
                <w:i w:val="false"/>
                <w:iCs w:val="false"/>
                <w:strike w:val="false"/>
                <w:color w:val="000000"/>
                <w:sz w:val="20"/>
                <w:szCs w:val="20"/>
              </w:rPr>
              <w:t xml:space="preserve">Trust level violations trigger federation suspension and Security Operations review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 Adversarial Robustness</w:t>
      </w:r>
    </w:p>
    <w:p>
      <w:pPr>
        <w:pStyle w:val="Heading3"/>
        <w:spacing w:after="120" w:before="240" w:line="288" w:lineRule="auto"/>
      </w:pPr>
      <w:r>
        <w:rPr>
          <w:rFonts w:ascii="Calibri" w:cs="Calibri" w:eastAsia="Calibri" w:hAnsi="Calibri"/>
          <w:color w:val="000000"/>
          <w:sz w:val="30"/>
          <w:szCs w:val="30"/>
        </w:rPr>
        <w:t xml:space="preserve">8.4.1 Prompt Injection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applies prompt injection detection at both the Ingestion Gate (for incoming documents that might contain embedded instructions) and the Query Processing Gate (for queries that might contain adversarial instruction injections). Detection employs a multi-layer approach: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Syntactic detection:</w:t>
      </w:r>
      <w:r>
        <w:rPr>
          <w:rFonts w:ascii="Calibri" w:cs="Calibri" w:eastAsia="Calibri" w:hAnsi="Calibri"/>
          <w:b w:val="false"/>
          <w:bCs w:val="false"/>
          <w:i w:val="false"/>
          <w:iCs w:val="false"/>
          <w:strike w:val="false"/>
          <w:color w:val="000000"/>
          <w:sz w:val="22"/>
          <w:szCs w:val="22"/>
        </w:rPr>
        <w:t xml:space="preserve"> Pattern matching against known injection signatures (role-playing instructions, system prompt override attempts, delimiter injection patterns)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detection:</w:t>
      </w:r>
      <w:r>
        <w:rPr>
          <w:rFonts w:ascii="Calibri" w:cs="Calibri" w:eastAsia="Calibri" w:hAnsi="Calibri"/>
          <w:b w:val="false"/>
          <w:bCs w:val="false"/>
          <w:i w:val="false"/>
          <w:iCs w:val="false"/>
          <w:strike w:val="false"/>
          <w:color w:val="000000"/>
          <w:sz w:val="22"/>
          <w:szCs w:val="22"/>
        </w:rPr>
        <w:t xml:space="preserve"> EmbeddingVector-based classifier trained to identify instruction-like content in non-instruction contexts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anomaly detection:</w:t>
      </w:r>
      <w:r>
        <w:rPr>
          <w:rFonts w:ascii="Calibri" w:cs="Calibri" w:eastAsia="Calibri" w:hAnsi="Calibri"/>
          <w:b w:val="false"/>
          <w:bCs w:val="false"/>
          <w:i w:val="false"/>
          <w:iCs w:val="false"/>
          <w:strike w:val="false"/>
          <w:color w:val="000000"/>
          <w:sz w:val="22"/>
          <w:szCs w:val="22"/>
        </w:rPr>
        <w:t xml:space="preserve"> Statistical deviation from expected query distribution for the authenticated caller's historical query profile</w:t>
      </w:r>
    </w:p>
    <w:p>
      <w:pPr>
        <w:pStyle w:val="Heading3"/>
        <w:spacing w:after="120" w:before="240" w:line="288" w:lineRule="auto"/>
      </w:pPr>
      <w:r>
        <w:rPr>
          <w:rFonts w:ascii="Calibri" w:cs="Calibri" w:eastAsia="Calibri" w:hAnsi="Calibri"/>
          <w:color w:val="000000"/>
          <w:sz w:val="30"/>
          <w:szCs w:val="30"/>
        </w:rPr>
        <w:t xml:space="preserve">8.4.2 Fact Poisoning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poisoning occurs when an adversary attempts to corrupt the Fact Graph by injecting plausibly formatted but false or misleading Fact Units. The Safety Substrate's Fact Poisoning Detection subsystem applies the following checks: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Contradiction anomaly detection:</w:t>
      </w:r>
      <w:r>
        <w:rPr>
          <w:rFonts w:ascii="Calibri" w:cs="Calibri" w:eastAsia="Calibri" w:hAnsi="Calibri"/>
          <w:b w:val="false"/>
          <w:bCs w:val="false"/>
          <w:i w:val="false"/>
          <w:iCs w:val="false"/>
          <w:strike w:val="false"/>
          <w:color w:val="000000"/>
          <w:sz w:val="22"/>
          <w:szCs w:val="22"/>
        </w:rPr>
        <w:t xml:space="preserve"> Any new Fact Unit that contradicts more than a configurable threshold of existing high-confidence Fact Units (default: contradicts 10+ Fact Units with ConfidenceScore ≥ 0.85) is automatically flagged as UNDER_REVIEW rather than inserted as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Source velocity anomaly:</w:t>
      </w:r>
      <w:r>
        <w:rPr>
          <w:rFonts w:ascii="Calibri" w:cs="Calibri" w:eastAsia="Calibri" w:hAnsi="Calibri"/>
          <w:b w:val="false"/>
          <w:bCs w:val="false"/>
          <w:i w:val="false"/>
          <w:iCs w:val="false"/>
          <w:strike w:val="false"/>
          <w:color w:val="000000"/>
          <w:sz w:val="22"/>
          <w:szCs w:val="22"/>
        </w:rPr>
        <w:t xml:space="preserve"> A source that suddenly produces orders of magnitude more Fact Units than its historical baseline triggers a rate anomaly alert and temporary hold on that source's Fact Units pending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Semantic outlier detection:</w:t>
      </w:r>
      <w:r>
        <w:rPr>
          <w:rFonts w:ascii="Calibri" w:cs="Calibri" w:eastAsia="Calibri" w:hAnsi="Calibri"/>
          <w:b w:val="false"/>
          <w:bCs w:val="false"/>
          <w:i w:val="false"/>
          <w:iCs w:val="false"/>
          <w:strike w:val="false"/>
          <w:color w:val="000000"/>
          <w:sz w:val="22"/>
          <w:szCs w:val="22"/>
        </w:rPr>
        <w:t xml:space="preserve"> New Fact Units whose EmbeddingVectors are statistical outliers from the distribution of the source's historical contributions are flagged for review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Fact Units:</w:t>
      </w:r>
      <w:r>
        <w:rPr>
          <w:rFonts w:ascii="Calibri" w:cs="Calibri" w:eastAsia="Calibri" w:hAnsi="Calibri"/>
          <w:b w:val="false"/>
          <w:bCs w:val="false"/>
          <w:i w:val="false"/>
          <w:iCs w:val="false"/>
          <w:strike w:val="false"/>
          <w:color w:val="000000"/>
          <w:sz w:val="22"/>
          <w:szCs w:val="22"/>
        </w:rPr>
        <w:t xml:space="preserve"> A set of known-correct Fact Units with synthetic source signatures (canaries) are embedded in the Fact Graph. Any modification or contradiction of a canary triggers an immediate Security Operations alert indicating potential graph manipulation</w:t>
      </w:r>
    </w:p>
    <w:p>
      <w:pPr>
        <w:pStyle w:val="Heading3"/>
        <w:spacing w:after="120" w:before="240" w:line="288" w:lineRule="auto"/>
      </w:pPr>
      <w:r>
        <w:rPr>
          <w:rFonts w:ascii="Calibri" w:cs="Calibri" w:eastAsia="Calibri" w:hAnsi="Calibri"/>
          <w:color w:val="000000"/>
          <w:sz w:val="30"/>
          <w:szCs w:val="30"/>
        </w:rPr>
        <w:t xml:space="preserve">8.4.3 Data Exfiltration Prevention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Rate limiting:</w:t>
      </w:r>
      <w:r>
        <w:rPr>
          <w:rFonts w:ascii="Calibri" w:cs="Calibri" w:eastAsia="Calibri" w:hAnsi="Calibri"/>
          <w:b w:val="false"/>
          <w:bCs w:val="false"/>
          <w:i w:val="false"/>
          <w:iCs w:val="false"/>
          <w:strike w:val="false"/>
          <w:color w:val="000000"/>
          <w:sz w:val="22"/>
          <w:szCs w:val="22"/>
        </w:rPr>
        <w:t xml:space="preserve"> Per-caller, per-API-key, and per-IP daily Fact Unit retrieval limits; configurable per sensitivity tier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Watermarking:</w:t>
      </w:r>
      <w:r>
        <w:rPr>
          <w:rFonts w:ascii="Calibri" w:cs="Calibri" w:eastAsia="Calibri" w:hAnsi="Calibri"/>
          <w:b w:val="false"/>
          <w:bCs w:val="false"/>
          <w:i w:val="false"/>
          <w:iCs w:val="false"/>
          <w:strike w:val="false"/>
          <w:color w:val="000000"/>
          <w:sz w:val="22"/>
          <w:szCs w:val="22"/>
        </w:rPr>
        <w:t xml:space="preserve"> All exported Fact Unit sets include covert statistical watermarks enabling identification of the specific export event that a leaked dataset originated from, enabling forensic attribution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Canary retrieval monitoring:</w:t>
      </w:r>
      <w:r>
        <w:rPr>
          <w:rFonts w:ascii="Calibri" w:cs="Calibri" w:eastAsia="Calibri" w:hAnsi="Calibri"/>
          <w:b w:val="false"/>
          <w:bCs w:val="false"/>
          <w:i w:val="false"/>
          <w:iCs w:val="false"/>
          <w:strike w:val="false"/>
          <w:color w:val="000000"/>
          <w:sz w:val="22"/>
          <w:szCs w:val="22"/>
        </w:rPr>
        <w:t xml:space="preserve"> Retrieval of canary Fact Units by unusual callers triggers exfiltration alerts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Bulk download pattern detection:</w:t>
      </w:r>
      <w:r>
        <w:rPr>
          <w:rFonts w:ascii="Calibri" w:cs="Calibri" w:eastAsia="Calibri" w:hAnsi="Calibri"/>
          <w:b w:val="false"/>
          <w:bCs w:val="false"/>
          <w:i w:val="false"/>
          <w:iCs w:val="false"/>
          <w:strike w:val="false"/>
          <w:color w:val="000000"/>
          <w:sz w:val="22"/>
          <w:szCs w:val="22"/>
        </w:rPr>
        <w:t xml:space="preserve"> Sequential enumeration of FUIDs, downloads spanning the full FUID namespace, and other systematic traversal patterns are detected and blocked</w:t>
      </w:r>
    </w:p>
    <w:p>
      <w:pPr>
        <w:pStyle w:val="Heading3"/>
        <w:spacing w:after="120" w:before="240" w:line="288" w:lineRule="auto"/>
      </w:pPr>
      <w:r>
        <w:rPr>
          <w:rFonts w:ascii="Calibri" w:cs="Calibri" w:eastAsia="Calibri" w:hAnsi="Calibri"/>
          <w:color w:val="000000"/>
          <w:sz w:val="30"/>
          <w:szCs w:val="30"/>
        </w:rPr>
        <w:t xml:space="preserve">8.4.4 Model Inversion Resistance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are sensitive because they encode the semantic content of Fact Units in a form that can be inverted (approximately reconstructed) by an adversary with access to the embedding model. The Safety Substrate applies the following protections: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EmbeddingVectors are never exposed in API responses; only the textual reconstruction of the Fact Unit is returned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Differential privacy noise (Laplace mechanism with calibrated ε) is added to any aggregated EmbeddingVector statistics returned in analytics APIs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 similarity search results are returned as ranked Fact Unit content, not as distance scores that could be used to reconstruct embeddings</w:t>
      </w:r>
    </w:p>
    <w:p>
      <w:pPr>
        <w:pStyle w:val="Heading2"/>
        <w:spacing w:after="120" w:before="240" w:line="288" w:lineRule="auto"/>
      </w:pPr>
      <w:r>
        <w:rPr>
          <w:rFonts w:ascii="Calibri" w:cs="Calibri" w:eastAsia="Calibri" w:hAnsi="Calibri"/>
          <w:color w:val="000000"/>
          <w:sz w:val="36"/>
          <w:szCs w:val="36"/>
        </w:rPr>
        <w:t xml:space="preserve">8.5 Audit and Incident Response</w:t>
      </w:r>
    </w:p>
    <w:p>
      <w:pPr>
        <w:pStyle w:val="Heading3"/>
        <w:spacing w:after="120" w:before="240" w:line="288" w:lineRule="auto"/>
      </w:pPr>
      <w:r>
        <w:rPr>
          <w:rFonts w:ascii="Calibri" w:cs="Calibri" w:eastAsia="Calibri" w:hAnsi="Calibri"/>
          <w:color w:val="000000"/>
          <w:sz w:val="30"/>
          <w:szCs w:val="30"/>
        </w:rPr>
        <w:t xml:space="preserve">8.5.1 Safety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is a separate, tamper-evident log (distinct from the Provenance Ledger) that records every Safety Substrate enforcement event. It uses the same Merkle DAG chaining structure as the Provenance Ledger and is anchored to an external notarization service. The Safety Audit Log is immutable and cannot be modified, archived, or purged by any system operation — including GDPR erasure requests, which are satisfied by tombstoning the Fact Unit content without removing the audit records of access events (which contain no personal data).</w:t>
      </w:r>
      <w:r>
        <w:rPr>
          <w:rFonts w:ascii="Calibri" w:cs="Calibri" w:eastAsia="Calibri" w:hAnsi="Calibri"/>
          <w:b w:val="false"/>
          <w:bCs w:val="false"/>
          <w:i/>
          <w:iCs/>
          <w:strike w:val="false"/>
          <w:color w:val="555555"/>
          <w:sz w:val="20"/>
          <w:szCs w:val="20"/>
        </w:rPr>
        <w:t xml:space="preserve"> (Queryable directly via GET /v1/audit/log in the Unified Audit API, §9.5.3, added in the Version 1.0 merge review.)</w:t>
      </w:r>
    </w:p>
    <w:p>
      <w:pPr>
        <w:pStyle w:val="Heading3"/>
        <w:spacing w:after="120" w:before="240" w:line="288" w:lineRule="auto"/>
      </w:pPr>
      <w:r>
        <w:rPr>
          <w:rFonts w:ascii="Calibri" w:cs="Calibri" w:eastAsia="Calibri" w:hAnsi="Calibri"/>
          <w:color w:val="000000"/>
          <w:sz w:val="30"/>
          <w:szCs w:val="30"/>
        </w:rPr>
        <w:t xml:space="preserve">8.5.2 Automated Incident Detection and Alerting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Substrate continuously evaluates incoming audit log events against a set of detection rules using a streaming rule engine. Detected incidents are classified by severity (P0–P3) and routed to the appropriate response channel: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Severity</w:t>
            </w:r>
          </w:p>
        </w:tc>
        <w:tc>
          <w:tcPr>
            <w:tcW w:type="pct" w:w="35%"/>
            <w:shd w:fill="DCE6F0" w:color="auto" w:val="clear"/>
          </w:tcPr>
          <w:p>
            <w:r>
              <w:rPr>
                <w:rFonts w:ascii="Calibri" w:cs="Calibri" w:eastAsia="Calibri" w:hAnsi="Calibri"/>
                <w:b/>
                <w:bCs/>
                <w:i w:val="false"/>
                <w:iCs w:val="false"/>
                <w:strike w:val="false"/>
                <w:color w:val="0D2A5E"/>
                <w:sz w:val="20"/>
                <w:szCs w:val="20"/>
              </w:rPr>
              <w:t xml:space="preserve">Condition Examples</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Response</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SLA</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P0 — Critical</w:t>
            </w:r>
          </w:p>
        </w:tc>
        <w:tc>
          <w:tcPr>
            <w:tcW w:type="pct" w:w="35%"/>
          </w:tcPr>
          <w:p>
            <w:r>
              <w:rPr>
                <w:rFonts w:ascii="Calibri" w:cs="Calibri" w:eastAsia="Calibri" w:hAnsi="Calibri"/>
                <w:b w:val="false"/>
                <w:bCs w:val="false"/>
                <w:i w:val="false"/>
                <w:iCs w:val="false"/>
                <w:strike w:val="false"/>
                <w:color w:val="000000"/>
                <w:sz w:val="20"/>
                <w:szCs w:val="20"/>
              </w:rPr>
              <w:t xml:space="preserve">Safety Substrate bypass attempt detected; canary modification; HAZARDOUS content exfiltration attempt</w:t>
            </w:r>
          </w:p>
        </w:tc>
        <w:tc>
          <w:tcPr>
            <w:tcW w:type="pct" w:w="31%"/>
          </w:tcPr>
          <w:p>
            <w:r>
              <w:rPr>
                <w:rFonts w:ascii="Calibri" w:cs="Calibri" w:eastAsia="Calibri" w:hAnsi="Calibri"/>
                <w:b w:val="false"/>
                <w:bCs w:val="false"/>
                <w:i w:val="false"/>
                <w:iCs w:val="false"/>
                <w:strike w:val="false"/>
                <w:color w:val="000000"/>
                <w:sz w:val="20"/>
                <w:szCs w:val="20"/>
              </w:rPr>
              <w:t xml:space="preserve">Immediate automated account suspension; Security Operations paged; CEO/CTO notified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5 minutes; contain within 30 minutes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P1 — High</w:t>
            </w:r>
          </w:p>
        </w:tc>
        <w:tc>
          <w:tcPr>
            <w:tcW w:type="pct" w:w="35%"/>
          </w:tcPr>
          <w:p>
            <w:r>
              <w:rPr>
                <w:rFonts w:ascii="Calibri" w:cs="Calibri" w:eastAsia="Calibri" w:hAnsi="Calibri"/>
                <w:b w:val="false"/>
                <w:bCs w:val="false"/>
                <w:i w:val="false"/>
                <w:iCs w:val="false"/>
                <w:strike w:val="false"/>
                <w:color w:val="000000"/>
                <w:sz w:val="20"/>
                <w:szCs w:val="20"/>
              </w:rPr>
              <w:t xml:space="preserve">Repeated ACL violations from single caller; fact poisoning indicator; bulk download pattern</w:t>
            </w:r>
          </w:p>
        </w:tc>
        <w:tc>
          <w:tcPr>
            <w:tcW w:type="pct" w:w="31%"/>
          </w:tcPr>
          <w:p>
            <w:r>
              <w:rPr>
                <w:rFonts w:ascii="Calibri" w:cs="Calibri" w:eastAsia="Calibri" w:hAnsi="Calibri"/>
                <w:b w:val="false"/>
                <w:bCs w:val="false"/>
                <w:i w:val="false"/>
                <w:iCs w:val="false"/>
                <w:strike w:val="false"/>
                <w:color w:val="000000"/>
                <w:sz w:val="20"/>
                <w:szCs w:val="20"/>
              </w:rPr>
              <w:t xml:space="preserve">Rate limiting escalated; Security Operations alerted; automated investigation initiated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30 minutes; investigate within 2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P2 — Medium</w:t>
            </w:r>
          </w:p>
        </w:tc>
        <w:tc>
          <w:tcPr>
            <w:tcW w:type="pct" w:w="35%"/>
          </w:tcPr>
          <w:p>
            <w:r>
              <w:rPr>
                <w:rFonts w:ascii="Calibri" w:cs="Calibri" w:eastAsia="Calibri" w:hAnsi="Calibri"/>
                <w:b w:val="false"/>
                <w:bCs w:val="false"/>
                <w:i w:val="false"/>
                <w:iCs w:val="false"/>
                <w:strike w:val="false"/>
                <w:color w:val="000000"/>
                <w:sz w:val="20"/>
                <w:szCs w:val="20"/>
              </w:rPr>
              <w:t xml:space="preserve">Elevated UNDER_REVIEW rate from single source; unusual query pattern; PII leakage prevention trigger</w:t>
            </w:r>
          </w:p>
        </w:tc>
        <w:tc>
          <w:tcPr>
            <w:tcW w:type="pct" w:w="31%"/>
          </w:tcPr>
          <w:p>
            <w:r>
              <w:rPr>
                <w:rFonts w:ascii="Calibri" w:cs="Calibri" w:eastAsia="Calibri" w:hAnsi="Calibri"/>
                <w:b w:val="false"/>
                <w:bCs w:val="false"/>
                <w:i w:val="false"/>
                <w:iCs w:val="false"/>
                <w:strike w:val="false"/>
                <w:color w:val="000000"/>
                <w:sz w:val="20"/>
                <w:szCs w:val="20"/>
              </w:rPr>
              <w:t xml:space="preserve">Source temporarily throttled; Security Operations ticket created</w:t>
            </w:r>
          </w:p>
        </w:tc>
        <w:tc>
          <w:tcPr>
            <w:tcW w:type="pct" w:w="23%"/>
          </w:tcPr>
          <w:p>
            <w:r>
              <w:rPr>
                <w:rFonts w:ascii="Calibri" w:cs="Calibri" w:eastAsia="Calibri" w:hAnsi="Calibri"/>
                <w:b w:val="false"/>
                <w:bCs w:val="false"/>
                <w:i w:val="false"/>
                <w:iCs w:val="false"/>
                <w:strike w:val="false"/>
                <w:color w:val="000000"/>
                <w:sz w:val="20"/>
                <w:szCs w:val="20"/>
              </w:rPr>
              <w:t xml:space="preserve">Acknowledge within 2 hours; investigate within 24 hours</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P3 — Low</w:t>
            </w:r>
          </w:p>
        </w:tc>
        <w:tc>
          <w:tcPr>
            <w:tcW w:type="pct" w:w="35%"/>
          </w:tcPr>
          <w:p>
            <w:r>
              <w:rPr>
                <w:rFonts w:ascii="Calibri" w:cs="Calibri" w:eastAsia="Calibri" w:hAnsi="Calibri"/>
                <w:b w:val="false"/>
                <w:bCs w:val="false"/>
                <w:i w:val="false"/>
                <w:iCs w:val="false"/>
                <w:strike w:val="false"/>
                <w:color w:val="000000"/>
                <w:sz w:val="20"/>
                <w:szCs w:val="20"/>
              </w:rPr>
              <w:t xml:space="preserve">Individual access denial events; minor configuration anomalies; new source classification events</w:t>
            </w:r>
          </w:p>
        </w:tc>
        <w:tc>
          <w:tcPr>
            <w:tcW w:type="pct" w:w="31%"/>
          </w:tcPr>
          <w:p>
            <w:r>
              <w:rPr>
                <w:rFonts w:ascii="Calibri" w:cs="Calibri" w:eastAsia="Calibri" w:hAnsi="Calibri"/>
                <w:b w:val="false"/>
                <w:bCs w:val="false"/>
                <w:i w:val="false"/>
                <w:iCs w:val="false"/>
                <w:strike w:val="false"/>
                <w:color w:val="000000"/>
                <w:sz w:val="20"/>
                <w:szCs w:val="20"/>
              </w:rPr>
              <w:t xml:space="preserve">Logged; aggregated into daily Security Review report</w:t>
            </w:r>
          </w:p>
        </w:tc>
        <w:tc>
          <w:tcPr>
            <w:tcW w:type="pct" w:w="23%"/>
          </w:tcPr>
          <w:p>
            <w:r>
              <w:rPr>
                <w:rFonts w:ascii="Calibri" w:cs="Calibri" w:eastAsia="Calibri" w:hAnsi="Calibri"/>
                <w:b w:val="false"/>
                <w:bCs w:val="false"/>
                <w:i w:val="false"/>
                <w:iCs w:val="false"/>
                <w:strike w:val="false"/>
                <w:color w:val="000000"/>
                <w:sz w:val="20"/>
                <w:szCs w:val="20"/>
              </w:rPr>
              <w:t xml:space="preserve">Review within 5 business days</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8.5.3 Forensic Replay Capability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Safety Audit Log, combined with the Provenance Ledger and a snapshot of the Fact Graph state at any point in time (via the continuous WAL replication), enables complete forensic replay of any incident. Given a window of time, the forensic replay capability can reconstruct: every query executed, every Fact Unit accessed, every safety event triggered, and the exact state of every Fact Unit at any moment within the replay window. This capability supports both internal incident investigations and external regulatory examinations.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VIII — SEMANTIC TRANSPORT LAYER</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VIII Executive Summary</w:t>
            </w:r>
            <w:r>
              <w:rPr>
                <w:rFonts w:ascii="Calibri" w:cs="Calibri" w:eastAsia="Calibri" w:hAnsi="Calibri"/>
                <w:b/>
                <w:bCs/>
                <w:i w:val="false"/>
                <w:iCs w:val="false"/>
                <w:strike w:val="false"/>
                <w:color w:val="333333"/>
                <w:sz w:val="24"/>
                <w:szCs w:val="24"/>
              </w:rPr>
              <w:t xml:space="preserve">Part VIII specifies the Semantic Transport Layer (STL) — the six-layer protocol stack governing all transmission of Fact Units within and across QueryBook system boundaries. The STL provides framing, session management, reliability, security, topic-based routing, and compression services specifically optimized for the semantics of Fact Unit transmission. This Part also defines the QB-Streaming Protocol for real-time subscriptions, the Federation Protocol for cross-instance synchronization, and the external API specifications. This Part is the primary reference for patent Cluster E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VIII: Semantic Transport Layer</w:t>
      </w:r>
    </w:p>
    <w:p>
      <w:pPr>
        <w:pStyle w:val="Heading1"/>
        <w:spacing w:after="120" w:before="240" w:line="288" w:lineRule="auto"/>
      </w:pPr>
      <w:r>
        <w:rPr>
          <w:rFonts w:ascii="Calibri" w:cs="Calibri" w:eastAsia="Calibri" w:hAnsi="Calibri"/>
          <w:color w:val="000000"/>
          <w:sz w:val="48"/>
          <w:szCs w:val="48"/>
        </w:rPr>
        <w:t xml:space="preserve">Chapter 9: Semantic Transport Layer (STL) — Complete Specification</w:t>
      </w:r>
    </w:p>
    <w:p>
      <w:pPr>
        <w:pStyle w:val="Heading2"/>
        <w:spacing w:after="120" w:before="240" w:line="288" w:lineRule="auto"/>
      </w:pPr>
      <w:r>
        <w:rPr>
          <w:rFonts w:ascii="Calibri" w:cs="Calibri" w:eastAsia="Calibri" w:hAnsi="Calibri"/>
          <w:color w:val="000000"/>
          <w:sz w:val="36"/>
          <w:szCs w:val="36"/>
        </w:rPr>
        <w:t xml:space="preserve">9.1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governs all transmission of Fact Units and associated control messages between the following system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Ingestion workers and the Fact Graph storage layer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Internal QueryBook microservices (NCL, PIE, MRE, CDRE, AEM modules)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API consumers (authenticated applications and agents)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Federated QueryBook instances operating under separate administrative domains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Streaming pipeline subscribers consuming real-time Fact Streams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STL is not a general-purpose messaging system; it is specifically optimized for the transmission of QBF-encoded Fact Units and Fact Bundles, with native support for Fact-Unit-specific concerns such as SafetyFlags enforcement, FUID-based deduplication, and schema-typed topic routing.</w:t>
      </w:r>
    </w:p>
    <w:p>
      <w:pPr>
        <w:pStyle w:val="Heading2"/>
        <w:spacing w:after="120" w:before="240" w:line="288" w:lineRule="auto"/>
      </w:pPr>
      <w:r>
        <w:rPr>
          <w:rFonts w:ascii="Calibri" w:cs="Calibri" w:eastAsia="Calibri" w:hAnsi="Calibri"/>
          <w:color w:val="000000"/>
          <w:sz w:val="36"/>
          <w:szCs w:val="36"/>
        </w:rPr>
        <w:t xml:space="preserve">9.2 Protocol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70%"/>
            <w:shd w:fill="DCE6F0" w:color="auto" w:val="clear"/>
          </w:tcPr>
          <w:p>
            <w:r>
              <w:rPr>
                <w:rFonts w:ascii="Calibri" w:cs="Calibri" w:eastAsia="Calibri" w:hAnsi="Calibri"/>
                <w:b/>
                <w:bCs/>
                <w:i w:val="false"/>
                <w:iCs w:val="false"/>
                <w:strike w:val="false"/>
                <w:color w:val="0D2A5E"/>
                <w:sz w:val="20"/>
                <w:szCs w:val="20"/>
              </w:rPr>
              <w:t xml:space="preserve">Responsibilities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1</w:t>
            </w:r>
          </w:p>
        </w:tc>
        <w:tc>
          <w:tcPr>
            <w:tcW w:type="pct" w:w="11%"/>
          </w:tcPr>
          <w:p>
            <w:r>
              <w:rPr>
                <w:rFonts w:ascii="Calibri" w:cs="Calibri" w:eastAsia="Calibri" w:hAnsi="Calibri"/>
                <w:b w:val="false"/>
                <w:bCs w:val="false"/>
                <w:i w:val="false"/>
                <w:iCs w:val="false"/>
                <w:strike w:val="false"/>
                <w:color w:val="000000"/>
                <w:sz w:val="20"/>
                <w:szCs w:val="20"/>
              </w:rPr>
              <w:t xml:space="preserve">Framing Layer</w:t>
            </w:r>
          </w:p>
        </w:tc>
        <w:tc>
          <w:tcPr>
            <w:tcW w:type="pct" w:w="10%"/>
          </w:tcPr>
          <w:p>
            <w:r>
              <w:rPr>
                <w:rFonts w:ascii="Calibri" w:cs="Calibri" w:eastAsia="Calibri" w:hAnsi="Calibri"/>
                <w:b w:val="false"/>
                <w:bCs w:val="false"/>
                <w:i w:val="false"/>
                <w:iCs w:val="false"/>
                <w:strike w:val="false"/>
                <w:color w:val="000000"/>
                <w:sz w:val="20"/>
                <w:szCs w:val="20"/>
              </w:rPr>
              <w:t xml:space="preserve">QBF-Frame</w:t>
            </w:r>
          </w:p>
        </w:tc>
        <w:tc>
          <w:tcPr>
            <w:tcW w:type="pct" w:w="70%"/>
          </w:tcPr>
          <w:p>
            <w:r>
              <w:rPr>
                <w:rFonts w:ascii="Calibri" w:cs="Calibri" w:eastAsia="Calibri" w:hAnsi="Calibri"/>
                <w:b w:val="false"/>
                <w:bCs w:val="false"/>
                <w:i w:val="false"/>
                <w:iCs w:val="false"/>
                <w:strike w:val="false"/>
                <w:color w:val="000000"/>
                <w:sz w:val="20"/>
                <w:szCs w:val="20"/>
              </w:rPr>
              <w:t xml:space="preserve">QBF-encoded Fact Unit or Fact Bundle payload encapsulated in a fixed-structure frame with: 4-byte magic (0x51424654 = "QBFT"), 1-byte frame type, 4-byte payload length, 1-byte flags, payload bytes, 4-byte CRC-32C trailer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2</w:t>
            </w:r>
          </w:p>
        </w:tc>
        <w:tc>
          <w:tcPr>
            <w:tcW w:type="pct" w:w="11%"/>
          </w:tcPr>
          <w:p>
            <w:r>
              <w:rPr>
                <w:rFonts w:ascii="Calibri" w:cs="Calibri" w:eastAsia="Calibri" w:hAnsi="Calibri"/>
                <w:b w:val="false"/>
                <w:bCs w:val="false"/>
                <w:i w:val="false"/>
                <w:iCs w:val="false"/>
                <w:strike w:val="false"/>
                <w:color w:val="000000"/>
                <w:sz w:val="20"/>
                <w:szCs w:val="20"/>
              </w:rPr>
              <w:t xml:space="preserve">Session Layer</w:t>
            </w:r>
          </w:p>
        </w:tc>
        <w:tc>
          <w:tcPr>
            <w:tcW w:type="pct" w:w="10%"/>
          </w:tcPr>
          <w:p>
            <w:r>
              <w:rPr>
                <w:rFonts w:ascii="Calibri" w:cs="Calibri" w:eastAsia="Calibri" w:hAnsi="Calibri"/>
                <w:b w:val="false"/>
                <w:bCs w:val="false"/>
                <w:i w:val="false"/>
                <w:iCs w:val="false"/>
                <w:strike w:val="false"/>
                <w:color w:val="000000"/>
                <w:sz w:val="20"/>
                <w:szCs w:val="20"/>
              </w:rPr>
              <w:t xml:space="preserve">QB-Session</w:t>
            </w:r>
          </w:p>
        </w:tc>
        <w:tc>
          <w:tcPr>
            <w:tcW w:type="pct" w:w="70%"/>
          </w:tcPr>
          <w:p>
            <w:r>
              <w:rPr>
                <w:rFonts w:ascii="Calibri" w:cs="Calibri" w:eastAsia="Calibri" w:hAnsi="Calibri"/>
                <w:b w:val="false"/>
                <w:bCs w:val="false"/>
                <w:i w:val="false"/>
                <w:iCs w:val="false"/>
                <w:strike w:val="false"/>
                <w:color w:val="000000"/>
                <w:sz w:val="20"/>
                <w:szCs w:val="20"/>
              </w:rPr>
              <w:t xml:space="preserve">Stateful session establishment with handshake (version negotiation, capability exchange, session ID assignment); sequence numbering (64-bit monotonic counter per session); deduplication window (sliding window of received sequence numbers to discard duplicates); heartbeat protocol (configurable interval, default 30 seconds)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3</w:t>
            </w:r>
          </w:p>
        </w:tc>
        <w:tc>
          <w:tcPr>
            <w:tcW w:type="pct" w:w="11%"/>
          </w:tcPr>
          <w:p>
            <w:r>
              <w:rPr>
                <w:rFonts w:ascii="Calibri" w:cs="Calibri" w:eastAsia="Calibri" w:hAnsi="Calibri"/>
                <w:b w:val="false"/>
                <w:bCs w:val="false"/>
                <w:i w:val="false"/>
                <w:iCs w:val="false"/>
                <w:strike w:val="false"/>
                <w:color w:val="000000"/>
                <w:sz w:val="20"/>
                <w:szCs w:val="20"/>
              </w:rPr>
              <w:t xml:space="preserve">Reliability Layer</w:t>
            </w:r>
          </w:p>
        </w:tc>
        <w:tc>
          <w:tcPr>
            <w:tcW w:type="pct" w:w="10%"/>
          </w:tcPr>
          <w:p>
            <w:r>
              <w:rPr>
                <w:rFonts w:ascii="Calibri" w:cs="Calibri" w:eastAsia="Calibri" w:hAnsi="Calibri"/>
                <w:b w:val="false"/>
                <w:bCs w:val="false"/>
                <w:i w:val="false"/>
                <w:iCs w:val="false"/>
                <w:strike w:val="false"/>
                <w:color w:val="000000"/>
                <w:sz w:val="20"/>
                <w:szCs w:val="20"/>
              </w:rPr>
              <w:t xml:space="preserve">QB-Reliable</w:t>
            </w:r>
          </w:p>
        </w:tc>
        <w:tc>
          <w:tcPr>
            <w:tcW w:type="pct" w:w="70%"/>
          </w:tcPr>
          <w:p>
            <w:r>
              <w:rPr>
                <w:rFonts w:ascii="Calibri" w:cs="Calibri" w:eastAsia="Calibri" w:hAnsi="Calibri"/>
                <w:b w:val="false"/>
                <w:bCs w:val="false"/>
                <w:i w:val="false"/>
                <w:iCs w:val="false"/>
                <w:strike w:val="false"/>
                <w:color w:val="000000"/>
                <w:sz w:val="20"/>
                <w:szCs w:val="20"/>
              </w:rPr>
              <w:t xml:space="preserve">At-least-once delivery: sender retains frame until ACK received; configurable exactly-once mode using idempotency keys (FUID + operation hash); configurable timeout and retry policy; NACK-based fast retransmission; flow control via receiver-advertised window size</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4</w:t>
            </w:r>
          </w:p>
        </w:tc>
        <w:tc>
          <w:tcPr>
            <w:tcW w:type="pct" w:w="11%"/>
          </w:tcPr>
          <w:p>
            <w:r>
              <w:rPr>
                <w:rFonts w:ascii="Calibri" w:cs="Calibri" w:eastAsia="Calibri" w:hAnsi="Calibri"/>
                <w:b w:val="false"/>
                <w:bCs w:val="false"/>
                <w:i w:val="false"/>
                <w:iCs w:val="false"/>
                <w:strike w:val="false"/>
                <w:color w:val="000000"/>
                <w:sz w:val="20"/>
                <w:szCs w:val="20"/>
              </w:rPr>
              <w:t xml:space="preserve">Security Layer</w:t>
            </w:r>
          </w:p>
        </w:tc>
        <w:tc>
          <w:tcPr>
            <w:tcW w:type="pct" w:w="10%"/>
          </w:tcPr>
          <w:p>
            <w:r>
              <w:rPr>
                <w:rFonts w:ascii="Calibri" w:cs="Calibri" w:eastAsia="Calibri" w:hAnsi="Calibri"/>
                <w:b w:val="false"/>
                <w:bCs w:val="false"/>
                <w:i w:val="false"/>
                <w:iCs w:val="false"/>
                <w:strike w:val="false"/>
                <w:color w:val="000000"/>
                <w:sz w:val="20"/>
                <w:szCs w:val="20"/>
              </w:rPr>
              <w:t xml:space="preserve">QB-Secure</w:t>
            </w:r>
          </w:p>
        </w:tc>
        <w:tc>
          <w:tcPr>
            <w:tcW w:type="pct" w:w="70%"/>
          </w:tcPr>
          <w:p>
            <w:r>
              <w:rPr>
                <w:rFonts w:ascii="Calibri" w:cs="Calibri" w:eastAsia="Calibri" w:hAnsi="Calibri"/>
                <w:b w:val="false"/>
                <w:bCs w:val="false"/>
                <w:i w:val="false"/>
                <w:iCs w:val="false"/>
                <w:strike w:val="false"/>
                <w:color w:val="000000"/>
                <w:sz w:val="20"/>
                <w:szCs w:val="20"/>
              </w:rPr>
              <w:t xml:space="preserve">Mutual TLS 1.3 for transport encryption; payload signing with ECDSA P-384 (sender signs payload hash; receiver verifies before processing); optional payload encryption with AES-256-GCM (authenticated encryption, 96-bit nonce, 128-bit tag); certificate pinning for internal service-to-service communication; short-lived certificate rotation (24-hour maximum TTL)</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5</w:t>
            </w:r>
          </w:p>
        </w:tc>
        <w:tc>
          <w:tcPr>
            <w:tcW w:type="pct" w:w="11%"/>
          </w:tcPr>
          <w:p>
            <w:r>
              <w:rPr>
                <w:rFonts w:ascii="Calibri" w:cs="Calibri" w:eastAsia="Calibri" w:hAnsi="Calibri"/>
                <w:b w:val="false"/>
                <w:bCs w:val="false"/>
                <w:i w:val="false"/>
                <w:iCs w:val="false"/>
                <w:strike w:val="false"/>
                <w:color w:val="000000"/>
                <w:sz w:val="20"/>
                <w:szCs w:val="20"/>
              </w:rPr>
              <w:t xml:space="preserve">Routing Layer</w:t>
            </w:r>
          </w:p>
        </w:tc>
        <w:tc>
          <w:tcPr>
            <w:tcW w:type="pct" w:w="10%"/>
          </w:tcPr>
          <w:p>
            <w:r>
              <w:rPr>
                <w:rFonts w:ascii="Calibri" w:cs="Calibri" w:eastAsia="Calibri" w:hAnsi="Calibri"/>
                <w:b w:val="false"/>
                <w:bCs w:val="false"/>
                <w:i w:val="false"/>
                <w:iCs w:val="false"/>
                <w:strike w:val="false"/>
                <w:color w:val="000000"/>
                <w:sz w:val="20"/>
                <w:szCs w:val="20"/>
              </w:rPr>
              <w:t xml:space="preserve">QB-Route</w:t>
            </w:r>
          </w:p>
        </w:tc>
        <w:tc>
          <w:tcPr>
            <w:tcW w:type="pct" w:w="70%"/>
          </w:tcPr>
          <w:p>
            <w:r>
              <w:rPr>
                <w:rFonts w:ascii="Calibri" w:cs="Calibri" w:eastAsia="Calibri" w:hAnsi="Calibri"/>
                <w:b w:val="false"/>
                <w:bCs w:val="false"/>
                <w:i w:val="false"/>
                <w:iCs w:val="false"/>
                <w:strike w:val="false"/>
                <w:color w:val="000000"/>
                <w:sz w:val="20"/>
                <w:szCs w:val="20"/>
              </w:rPr>
              <w:t xml:space="preserve">Topic-based publish-subscribe routing; topic name format: </w:t>
            </w:r>
            <w:r>
              <w:rPr>
                <w:rFonts w:ascii="Calibri" w:cs="Calibri" w:eastAsia="Calibri" w:hAnsi="Calibri"/>
                <w:b w:val="false"/>
                <w:bCs w:val="false"/>
                <w:i w:val="false"/>
                <w:iCs w:val="false"/>
                <w:strike w:val="false"/>
                <w:color w:val="000000"/>
                <w:sz w:val="18"/>
                <w:szCs w:val="18"/>
                <w:shd w:fill="F3F4F6" w:color="auto" w:val="clear"/>
              </w:rPr>
              <w:t xml:space="preserve">qb/{ontology_version}/{fact_type}/{domain}</w:t>
            </w:r>
            <w:r>
              <w:rPr>
                <w:rFonts w:ascii="Calibri" w:cs="Calibri" w:eastAsia="Calibri" w:hAnsi="Calibri"/>
                <w:b w:val="false"/>
                <w:bCs w:val="false"/>
                <w:i w:val="false"/>
                <w:iCs w:val="false"/>
                <w:strike w:val="false"/>
                <w:color w:val="000000"/>
                <w:sz w:val="20"/>
                <w:szCs w:val="20"/>
              </w:rPr>
              <w:t xml:space="preserve"> (e.g., </w:t>
            </w:r>
            <w:r>
              <w:rPr>
                <w:rFonts w:ascii="Calibri" w:cs="Calibri" w:eastAsia="Calibri" w:hAnsi="Calibri"/>
                <w:b w:val="false"/>
                <w:bCs w:val="false"/>
                <w:i w:val="false"/>
                <w:iCs w:val="false"/>
                <w:strike w:val="false"/>
                <w:color w:val="000000"/>
                <w:sz w:val="18"/>
                <w:szCs w:val="18"/>
                <w:shd w:fill="F3F4F6" w:color="auto" w:val="clear"/>
              </w:rPr>
              <w:t xml:space="preserve">qb/v1.2/ASSERTION/SCIENCE</w:t>
            </w:r>
            <w:r>
              <w:rPr>
                <w:rFonts w:ascii="Calibri" w:cs="Calibri" w:eastAsia="Calibri" w:hAnsi="Calibri"/>
                <w:b w:val="false"/>
                <w:bCs w:val="false"/>
                <w:i w:val="false"/>
                <w:iCs w:val="false"/>
                <w:strike w:val="false"/>
                <w:color w:val="000000"/>
                <w:sz w:val="20"/>
                <w:szCs w:val="20"/>
              </w:rPr>
              <w:t xml:space="preserve">); FactType determines topic assignment; consumer group semantics (multiple consumers per group share the partition load); partition assignment by SubjectRef hash for co-locality of related Fact Units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Layer 6</w:t>
            </w:r>
          </w:p>
        </w:tc>
        <w:tc>
          <w:tcPr>
            <w:tcW w:type="pct" w:w="11%"/>
          </w:tcPr>
          <w:p>
            <w:r>
              <w:rPr>
                <w:rFonts w:ascii="Calibri" w:cs="Calibri" w:eastAsia="Calibri" w:hAnsi="Calibri"/>
                <w:b w:val="false"/>
                <w:bCs w:val="false"/>
                <w:i w:val="false"/>
                <w:iCs w:val="false"/>
                <w:strike w:val="false"/>
                <w:color w:val="000000"/>
                <w:sz w:val="20"/>
                <w:szCs w:val="20"/>
              </w:rPr>
              <w:t xml:space="preserve">Compression Layer</w:t>
            </w:r>
          </w:p>
        </w:tc>
        <w:tc>
          <w:tcPr>
            <w:tcW w:type="pct" w:w="10%"/>
          </w:tcPr>
          <w:p>
            <w:r>
              <w:rPr>
                <w:rFonts w:ascii="Calibri" w:cs="Calibri" w:eastAsia="Calibri" w:hAnsi="Calibri"/>
                <w:b w:val="false"/>
                <w:bCs w:val="false"/>
                <w:i w:val="false"/>
                <w:iCs w:val="false"/>
                <w:strike w:val="false"/>
                <w:color w:val="000000"/>
                <w:sz w:val="20"/>
                <w:szCs w:val="20"/>
              </w:rPr>
              <w:t xml:space="preserve">QB-Compress</w:t>
            </w:r>
          </w:p>
        </w:tc>
        <w:tc>
          <w:tcPr>
            <w:tcW w:type="pct" w:w="70%"/>
          </w:tcPr>
          <w:p>
            <w:r>
              <w:rPr>
                <w:rFonts w:ascii="Calibri" w:cs="Calibri" w:eastAsia="Calibri" w:hAnsi="Calibri"/>
                <w:b w:val="false"/>
                <w:bCs w:val="false"/>
                <w:i w:val="false"/>
                <w:iCs w:val="false"/>
                <w:strike w:val="false"/>
                <w:color w:val="000000"/>
                <w:sz w:val="20"/>
                <w:szCs w:val="20"/>
              </w:rPr>
              <w:t xml:space="preserve">LZ4 compression for low-latency real-time paths (Fact Stream delivery); Zstandard (level 3) for high-throughput batch paths (Fact Bundle export, bulk ingestion); per-frame compression negotiated at Session Layer handshake; no compression below frame size threshold (default: 512 bytes)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 QB-Streaming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QB-Streaming Protocol defines the real-time Fact Stream subscription API, enabling external consumers and internal QueryBook services to receive Fact Units as they are inserted into the Fact Graph.</w:t>
      </w:r>
    </w:p>
    <w:p>
      <w:pPr>
        <w:pStyle w:val="Heading3"/>
        <w:spacing w:after="120" w:before="240" w:line="288" w:lineRule="auto"/>
      </w:pPr>
      <w:r>
        <w:rPr>
          <w:rFonts w:ascii="Calibri" w:cs="Calibri" w:eastAsia="Calibri" w:hAnsi="Calibri"/>
          <w:color w:val="000000"/>
          <w:sz w:val="30"/>
          <w:szCs w:val="30"/>
        </w:rPr>
        <w:t xml:space="preserve">9.3.1 Subscription Filter Syntax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SUBSCRIBE TO FACT_STREAM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WHERE FactType IN ('ASSERTION', 'EVENT_DESCRIPTION')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Domain = 'SCIENCE'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ConfidenceScore &gt;= 0.70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SubjectRef.EntityType = 'ResearchStudy'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SafetyFlags NOT CONTAINS (HAZARDOUS |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TemporalAnchor.T_start &gt;= 1735689600000000000 -- 2025-01-01T00:00:00Z in 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DELIVERY_GUARANTEE AT_LEAST_ONCE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CONSUMER_GROUP 'science-monitor-group'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STARTING_OFFSET LATEST</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9.3.2 Delivery Guarantees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AT_LEAST_ONCE:</w:t>
      </w:r>
      <w:r>
        <w:rPr>
          <w:rFonts w:ascii="Calibri" w:cs="Calibri" w:eastAsia="Calibri" w:hAnsi="Calibri"/>
          <w:b w:val="false"/>
          <w:bCs w:val="false"/>
          <w:i w:val="false"/>
          <w:iCs w:val="false"/>
          <w:strike w:val="false"/>
          <w:color w:val="000000"/>
          <w:sz w:val="22"/>
          <w:szCs w:val="22"/>
        </w:rPr>
        <w:t xml:space="preserve"> Every Fact Unit matching the filter is delivered at least once. Consumers must be idempotent (deduplication by FUID).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EXACTLY_ONCE:</w:t>
      </w:r>
      <w:r>
        <w:rPr>
          <w:rFonts w:ascii="Calibri" w:cs="Calibri" w:eastAsia="Calibri" w:hAnsi="Calibri"/>
          <w:b w:val="false"/>
          <w:bCs w:val="false"/>
          <w:i w:val="false"/>
          <w:iCs w:val="false"/>
          <w:strike w:val="false"/>
          <w:color w:val="000000"/>
          <w:sz w:val="22"/>
          <w:szCs w:val="22"/>
        </w:rPr>
        <w:t xml:space="preserve"> Each Fact Unit is delivered exactly once per consumer group. Requires transactional consumer with offset commit within processing transaction. Higher latency (p99 +50ms) relative to AT_LEAST_ONCE.</w:t>
      </w:r>
    </w:p>
    <w:p>
      <w:pPr>
        <w:pStyle w:val="Heading3"/>
        <w:spacing w:after="120" w:before="240" w:line="288" w:lineRule="auto"/>
      </w:pPr>
      <w:r>
        <w:rPr>
          <w:rFonts w:ascii="Calibri" w:cs="Calibri" w:eastAsia="Calibri" w:hAnsi="Calibri"/>
          <w:color w:val="000000"/>
          <w:sz w:val="30"/>
          <w:szCs w:val="30"/>
        </w:rPr>
        <w:t xml:space="preserve">9.3.3 Backpressure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consumer's processing falls behind its subscription throughput, the QB-Streaming Protocol applies the following backpressure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advertises reduced receive window (Layer 3 flow control)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STL Broker holds in-flight Fact Units in per-consumer buffer (max configurable size)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80% capacity: consumer receives BACKPRESSURE_WARNING frame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buffer fills to 100% capacity: subscription is paused; consumer receives SUBSCRIPTION_PAUSED frame with estimated resume 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Consumer reports readiness to resume via RESUME_READY frame; subscription resumes from the most recent uncommitted offset</w:t>
      </w:r>
    </w:p>
    <w:p>
      <w:pPr>
        <w:pStyle w:val="Heading3"/>
        <w:spacing w:after="120" w:before="240" w:line="288" w:lineRule="auto"/>
      </w:pPr>
      <w:r>
        <w:rPr>
          <w:rFonts w:ascii="Calibri" w:cs="Calibri" w:eastAsia="Calibri" w:hAnsi="Calibri"/>
          <w:color w:val="000000"/>
          <w:sz w:val="30"/>
          <w:szCs w:val="30"/>
        </w:rPr>
        <w:t xml:space="preserve">9.3.4 Consumer Group Semantics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Consumer Group is a named set of consumer processes that collectively consume a Fact Stream subscription. Partitions of the stream are assigned to individual consumers within the group for parallel processing. Partition assignment is managed by the QB-Stream Coordinator via a modified Kafka-compatible rebalancing protocol, with one significant extension: Fact Units with the same SubjectRef are always assigned to the same partition to ensure ordered delivery for related facts.</w:t>
      </w:r>
    </w:p>
    <w:p>
      <w:pPr>
        <w:pStyle w:val="Heading2"/>
        <w:spacing w:after="120" w:before="240" w:line="288" w:lineRule="auto"/>
      </w:pPr>
      <w:r>
        <w:rPr>
          <w:rFonts w:ascii="Calibri" w:cs="Calibri" w:eastAsia="Calibri" w:hAnsi="Calibri"/>
          <w:color w:val="000000"/>
          <w:sz w:val="36"/>
          <w:szCs w:val="36"/>
        </w:rPr>
        <w:t xml:space="preserve">9.4 Federation Protocol</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QueryBook instances may be configured to federate, enabling selective bidirectional synchronization of Fact Units across administrative boundaries.</w:t>
      </w:r>
    </w:p>
    <w:p>
      <w:pPr>
        <w:pStyle w:val="Heading3"/>
        <w:spacing w:after="120" w:before="240" w:line="288" w:lineRule="auto"/>
      </w:pPr>
      <w:r>
        <w:rPr>
          <w:rFonts w:ascii="Calibri" w:cs="Calibri" w:eastAsia="Calibri" w:hAnsi="Calibri"/>
          <w:color w:val="000000"/>
          <w:sz w:val="30"/>
          <w:szCs w:val="30"/>
        </w:rPr>
        <w:t xml:space="preserve">9.4.1 Federation Handshake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Initiating instance presents its Federation Certificate (issued by its Certificate Authority) to the accepting instance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exchange their current Ontology Mesh version manifests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CDRE performs ontology compatibility analysis: identifying shared FactTypes, predicate mappings, and any incompatible concepts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negotiate a Federation Trust Level: FULL (all Fact Units eligible for sharing), SELECTIVE (only Fact Units matching a bilateral filter agreement), or READ_ONLY (accepting instance can read from initiating instance but not write back)</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Both instances sign the negotiated Federation Agreement using their ECDSA P-384 keys; the signed agreement is stored in both instances' Provenance Ledgers</w:t>
      </w:r>
    </w:p>
    <w:p>
      <w:pPr>
        <w:pStyle w:val="Heading3"/>
        <w:spacing w:after="120" w:before="240" w:line="288" w:lineRule="auto"/>
      </w:pPr>
      <w:r>
        <w:rPr>
          <w:rFonts w:ascii="Calibri" w:cs="Calibri" w:eastAsia="Calibri" w:hAnsi="Calibri"/>
          <w:color w:val="000000"/>
          <w:sz w:val="30"/>
          <w:szCs w:val="30"/>
        </w:rPr>
        <w:t xml:space="preserve">9.4.2 Differential Sync</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initial federation establishment, ongoing synchronization uses a differential sync protocol: each instance maintains a federation offset (equivalent to the last-synchronized Provenance Ledger block ID from the peer). On each sync cycle (configurable frequency, default: every 5 minutes for near-real-time federation), only Fact Units with Provenance Records newer than the last federation offset are transmitted. SafetyFlags are re-evaluated at the receiving instance's Federation Gate before insertion — a Fact Unit that is SAFE in the sending instance may receive additional restrictions in the receiving instance based on that instance's local policies.</w:t>
      </w:r>
    </w:p>
    <w:p>
      <w:pPr>
        <w:pStyle w:val="Heading3"/>
        <w:spacing w:after="120" w:before="240" w:line="288" w:lineRule="auto"/>
      </w:pPr>
      <w:r>
        <w:rPr>
          <w:rFonts w:ascii="Calibri" w:cs="Calibri" w:eastAsia="Calibri" w:hAnsi="Calibri"/>
          <w:color w:val="000000"/>
          <w:sz w:val="30"/>
          <w:szCs w:val="30"/>
        </w:rPr>
        <w:t xml:space="preserve">9.4.3 Conflict Resolution During Merge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 federated sync delivers a Fact Unit whose Semantic Hash matches an existing Active Fact Unit in the receiving instance (indicating the same fact has been independently developed in both instances), the Conflict Resolution Protocol (Section 3.3.3) is applied with the following federation-specific modification: source authority is assessed based on the Federation Trust Level of the sending instance, not the internal source reliability weight.</w:t>
      </w:r>
    </w:p>
    <w:p>
      <w:pPr>
        <w:pStyle w:val="Heading2"/>
        <w:spacing w:after="120" w:before="240" w:line="288" w:lineRule="auto"/>
      </w:pPr>
      <w:r>
        <w:rPr>
          <w:rFonts w:ascii="Calibri" w:cs="Calibri" w:eastAsia="Calibri" w:hAnsi="Calibri"/>
          <w:color w:val="000000"/>
          <w:sz w:val="36"/>
          <w:szCs w:val="36"/>
        </w:rPr>
        <w:t xml:space="preserve">9.5 External API</w:t>
      </w:r>
    </w:p>
    <w:p>
      <w:pPr>
        <w:pStyle w:val="Heading3"/>
        <w:spacing w:after="120" w:before="240" w:line="288" w:lineRule="auto"/>
      </w:pPr>
      <w:r>
        <w:rPr>
          <w:rFonts w:ascii="Calibri" w:cs="Calibri" w:eastAsia="Calibri" w:hAnsi="Calibri"/>
          <w:color w:val="000000"/>
          <w:sz w:val="30"/>
          <w:szCs w:val="30"/>
        </w:rPr>
        <w:t xml:space="preserve">9.5.1 RESTful API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DCE6F0" w:color="auto" w:val="clear"/>
          </w:tcPr>
          <w:p>
            <w:r>
              <w:rPr>
                <w:rFonts w:ascii="Calibri" w:cs="Calibri" w:eastAsia="Calibri" w:hAnsi="Calibri"/>
                <w:b/>
                <w:bCs/>
                <w:i w:val="false"/>
                <w:iCs w:val="false"/>
                <w:strike w:val="false"/>
                <w:color w:val="0D2A5E"/>
                <w:sz w:val="20"/>
                <w:szCs w:val="20"/>
              </w:rPr>
              <w:t xml:space="preserve">Endpoint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42%"/>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Auth Required</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single Fact Unit by FUID</w:t>
            </w:r>
          </w:p>
        </w:tc>
        <w:tc>
          <w:tcPr>
            <w:tcW w:type="pct" w:w="24%"/>
          </w:tcPr>
          <w:p>
            <w:r>
              <w:rPr>
                <w:rFonts w:ascii="Calibri" w:cs="Calibri" w:eastAsia="Calibri" w:hAnsi="Calibri"/>
                <w:b w:val="false"/>
                <w:bCs w:val="false"/>
                <w:i w:val="false"/>
                <w:iCs w:val="false"/>
                <w:strike w:val="false"/>
                <w:color w:val="000000"/>
                <w:sz w:val="20"/>
                <w:szCs w:val="20"/>
              </w:rPr>
              <w:t xml:space="preserve">Bearer token (OAuth 2.0)</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Submit a new Fact Unit for ingestion (routes through Ingestion Pipeline)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Update mutable fields of an existing Fact Unit (AnnotationSet, ACL, TTL only)</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 + ACL OWNER</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/v1/fact-units/{fuid}/lineage</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full Fact Lineage chain for a Fact Unit</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new Fact Bundle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WRITER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/v1/fact-bundles/{bundle_id}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a Fact Bundle and its member Fact Units</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expression; returns ranked Fact Unit result set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/v1/query/regenerate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Execute a QB-Query with REGENERATE AS clause; returns natural language output</w:t>
            </w:r>
          </w:p>
        </w:tc>
        <w:tc>
          <w:tcPr>
            <w:tcW w:type="pct" w:w="24%"/>
          </w:tcPr>
          <w:p>
            <w:r>
              <w:rPr>
                <w:rFonts w:ascii="Calibri" w:cs="Calibri" w:eastAsia="Calibri" w:hAnsi="Calibri"/>
                <w:b w:val="false"/>
                <w:bCs w:val="false"/>
                <w:i w:val="false"/>
                <w:iCs w:val="false"/>
                <w:strike w:val="false"/>
                <w:color w:val="000000"/>
                <w:sz w:val="20"/>
                <w:szCs w:val="20"/>
              </w:rPr>
              <w:t xml:space="preserve">Bearer token</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/v1/streams/subscribe</w:t>
            </w:r>
          </w:p>
        </w:tc>
        <w:tc>
          <w:tcPr>
            <w:tcW w:type="pct" w:w="10%"/>
          </w:tcPr>
          <w:p>
            <w:r>
              <w:rPr>
                <w:rFonts w:ascii="Calibri" w:cs="Calibri" w:eastAsia="Calibri" w:hAnsi="Calibri"/>
                <w:b w:val="false"/>
                <w:bCs w:val="false"/>
                <w:i w:val="false"/>
                <w:iCs w:val="false"/>
                <w:strike w:val="false"/>
                <w:color w:val="000000"/>
                <w:sz w:val="20"/>
                <w:szCs w:val="20"/>
              </w:rPr>
              <w:t xml:space="preserve">POST</w:t>
            </w:r>
          </w:p>
        </w:tc>
        <w:tc>
          <w:tcPr>
            <w:tcW w:type="pct" w:w="42%"/>
          </w:tcPr>
          <w:p>
            <w:r>
              <w:rPr>
                <w:rFonts w:ascii="Calibri" w:cs="Calibri" w:eastAsia="Calibri" w:hAnsi="Calibri"/>
                <w:b w:val="false"/>
                <w:bCs w:val="false"/>
                <w:i w:val="false"/>
                <w:iCs w:val="false"/>
                <w:strike w:val="false"/>
                <w:color w:val="000000"/>
                <w:sz w:val="20"/>
                <w:szCs w:val="20"/>
              </w:rPr>
              <w:t xml:space="preserve">Create a Fact Stream subscription; returns a subscription handle</w:t>
            </w:r>
          </w:p>
        </w:tc>
        <w:tc>
          <w:tcPr>
            <w:tcW w:type="pct" w:w="24%"/>
          </w:tcPr>
          <w:p>
            <w:r>
              <w:rPr>
                <w:rFonts w:ascii="Calibri" w:cs="Calibri" w:eastAsia="Calibri" w:hAnsi="Calibri"/>
                <w:b w:val="false"/>
                <w:bCs w:val="false"/>
                <w:i w:val="false"/>
                <w:iCs w:val="false"/>
                <w:strike w:val="false"/>
                <w:color w:val="000000"/>
                <w:sz w:val="20"/>
                <w:szCs w:val="20"/>
              </w:rPr>
              <w:t xml:space="preserve">Bearer token + STREAM_CONSUMER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/v1/streams/{subscription_id}/records</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Poll for new Fact Units in a subscription (long-polling, max 30s)</w:t>
            </w:r>
          </w:p>
        </w:tc>
        <w:tc>
          <w:tcPr>
            <w:tcW w:type="pct" w:w="24%"/>
          </w:tcPr>
          <w:p>
            <w:r>
              <w:rPr>
                <w:rFonts w:ascii="Calibri" w:cs="Calibri" w:eastAsia="Calibri" w:hAnsi="Calibri"/>
                <w:b w:val="false"/>
                <w:bCs w:val="false"/>
                <w:i w:val="false"/>
                <w:iCs w:val="false"/>
                <w:strike w:val="false"/>
                <w:color w:val="000000"/>
                <w:sz w:val="20"/>
                <w:szCs w:val="20"/>
              </w:rPr>
              <w:t xml:space="preserve">Bearer token + subscription ownership</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GET</w:t>
            </w:r>
          </w:p>
        </w:tc>
        <w:tc>
          <w:tcPr>
            <w:tcW w:type="pct" w:w="42%"/>
          </w:tcPr>
          <w:p>
            <w:r>
              <w:rPr>
                <w:rFonts w:ascii="Calibri" w:cs="Calibri" w:eastAsia="Calibri" w:hAnsi="Calibri"/>
                <w:b w:val="false"/>
                <w:bCs w:val="false"/>
                <w:i w:val="false"/>
                <w:iCs w:val="false"/>
                <w:strike w:val="false"/>
                <w:color w:val="000000"/>
                <w:sz w:val="20"/>
                <w:szCs w:val="20"/>
              </w:rPr>
              <w:t xml:space="preserve">Retrieve the SafetyFlags for a Fact Unit (requires AUDITOR role)</w:t>
            </w:r>
          </w:p>
        </w:tc>
        <w:tc>
          <w:tcPr>
            <w:tcW w:type="pct" w:w="24%"/>
          </w:tcPr>
          <w:p>
            <w:r>
              <w:rPr>
                <w:rFonts w:ascii="Calibri" w:cs="Calibri" w:eastAsia="Calibri" w:hAnsi="Calibri"/>
                <w:b w:val="false"/>
                <w:bCs w:val="false"/>
                <w:i w:val="false"/>
                <w:iCs w:val="false"/>
                <w:strike w:val="false"/>
                <w:color w:val="000000"/>
                <w:sz w:val="20"/>
                <w:szCs w:val="20"/>
              </w:rPr>
              <w:t xml:space="preserve">Bearer token + AUDITOR role</w:t>
            </w:r>
          </w:p>
        </w:tc>
      </w:tr>
      <w:tr>
        <w:trPr>
          <w:tblHeader w:val="false"/>
        </w:trPr>
        <w:tc>
          <w:tcPr>
            <w:tcW w:type="pct" w:w="24%"/>
          </w:tcPr>
          <w:p>
            <w:r>
              <w:rPr>
                <w:rFonts w:ascii="Calibri" w:cs="Calibri" w:eastAsia="Calibri" w:hAnsi="Calibri"/>
                <w:b w:val="false"/>
                <w:bCs w:val="false"/>
                <w:i w:val="false"/>
                <w:iCs w:val="false"/>
                <w:strike w:val="false"/>
                <w:color w:val="000000"/>
                <w:sz w:val="18"/>
                <w:szCs w:val="18"/>
                <w:shd w:fill="F3F4F6" w:color="auto" w:val="clear"/>
              </w:rPr>
              <w:t xml:space="preserve">/v1/safety/flags/{fuid}</w:t>
            </w:r>
          </w:p>
        </w:tc>
        <w:tc>
          <w:tcPr>
            <w:tcW w:type="pct" w:w="10%"/>
          </w:tcPr>
          <w:p>
            <w:r>
              <w:rPr>
                <w:rFonts w:ascii="Calibri" w:cs="Calibri" w:eastAsia="Calibri" w:hAnsi="Calibri"/>
                <w:b w:val="false"/>
                <w:bCs w:val="false"/>
                <w:i w:val="false"/>
                <w:iCs w:val="false"/>
                <w:strike w:val="false"/>
                <w:color w:val="000000"/>
                <w:sz w:val="20"/>
                <w:szCs w:val="20"/>
              </w:rPr>
              <w:t xml:space="preserve">PATCH</w:t>
            </w:r>
          </w:p>
        </w:tc>
        <w:tc>
          <w:tcPr>
            <w:tcW w:type="pct" w:w="42%"/>
          </w:tcPr>
          <w:p>
            <w:r>
              <w:rPr>
                <w:rFonts w:ascii="Calibri" w:cs="Calibri" w:eastAsia="Calibri" w:hAnsi="Calibri"/>
                <w:b w:val="false"/>
                <w:bCs w:val="false"/>
                <w:i w:val="false"/>
                <w:iCs w:val="false"/>
                <w:strike w:val="false"/>
                <w:color w:val="000000"/>
                <w:sz w:val="20"/>
                <w:szCs w:val="20"/>
              </w:rPr>
              <w:t xml:space="preserve">Upgrade SafetyFlags for a Fact Unit (upgrade only; SAFETY_ADMIN role required)</w:t>
            </w:r>
          </w:p>
        </w:tc>
        <w:tc>
          <w:tcPr>
            <w:tcW w:type="pct" w:w="24%"/>
          </w:tcPr>
          <w:p>
            <w:r>
              <w:rPr>
                <w:rFonts w:ascii="Calibri" w:cs="Calibri" w:eastAsia="Calibri" w:hAnsi="Calibri"/>
                <w:b w:val="false"/>
                <w:bCs w:val="false"/>
                <w:i w:val="false"/>
                <w:iCs w:val="false"/>
                <w:strike w:val="false"/>
                <w:color w:val="000000"/>
                <w:sz w:val="20"/>
                <w:szCs w:val="20"/>
              </w:rPr>
              <w:t xml:space="preserve">Bearer token + SAFETY_ADMIN role</w:t>
            </w:r>
          </w:p>
        </w:tc>
      </w:tr>
    </w:tbl>
    <w:p>
      <w:pPr>
        <w:spacing w:after="120" w:line="360" w:lineRule="auto"/>
      </w:pPr>
      <w:r>
        <w:rPr>
          <w:rFonts w:ascii="Calibri" w:cs="Calibri" w:eastAsia="Calibri" w:hAnsi="Calibri"/>
          <w:b w:val="false"/>
          <w:bCs w:val="false"/>
          <w:i w:val="false"/>
          <w:iCs w:val="false"/>
          <w:strike w:val="false"/>
          <w:color w:val="000000"/>
          <w:sz w:val="22"/>
          <w:szCs w:val="22"/>
        </w:rPr>
        <w:t xml:space="preserve">Merge note: the two AUDITOR-role endpoints above (Fact Lineage and SafetyFlags retrieval) are part of a broader set of audit-focused endpoints. See §9.5.3, Unified Audit API, for the consolidated audit endpoint set, added in the Version 1.0 merge review.</w:t>
      </w:r>
    </w:p>
    <w:p>
      <w:pPr>
        <w:spacing w:after="200" w:before="0"/>
      </w:pPr>
    </w:p>
    <w:p>
      <w:pPr>
        <w:pStyle w:val="Heading3"/>
        <w:spacing w:after="120" w:before="240" w:line="288" w:lineRule="auto"/>
      </w:pPr>
      <w:r>
        <w:rPr>
          <w:rFonts w:ascii="Calibri" w:cs="Calibri" w:eastAsia="Calibri" w:hAnsi="Calibri"/>
          <w:color w:val="000000"/>
          <w:sz w:val="30"/>
          <w:szCs w:val="30"/>
        </w:rPr>
        <w:t xml:space="preserve">9.5.2 gRPC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RESTful endpoints have equivalent gRPC service definitions. The gRPC API provides lower latency (no HTTP/1.1 overhead), bidirectional streaming (used for long-running Fact Stream subscriptions via server-side streaming RPCs), and native Protocol Buffers v3 payload encoding. The gRPC service definition (proto file) is maintained in the QB-API-PROTO-001 reference document incorporated herein by reference.</w:t>
      </w:r>
    </w:p>
    <w:p>
      <w:pPr>
        <w:pStyle w:val="Heading2"/>
        <w:spacing w:after="120" w:before="240" w:line="288" w:lineRule="auto"/>
      </w:pPr>
      <w:r>
        <w:rPr>
          <w:rFonts w:ascii="Calibri" w:cs="Calibri" w:eastAsia="Calibri" w:hAnsi="Calibri"/>
          <w:color w:val="000000"/>
          <w:sz w:val="36"/>
          <w:szCs w:val="36"/>
        </w:rPr>
        <w:t xml:space="preserve">9.5.3 Unified Audit API (added in Version 1.0 merge review, Pass 2)</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consolidates the audit-related capabilities that this Bible already specifies in three separate places — the Provenance Ledger's audit and compliance functions (§5.4), the Safety Substrate's Safety Audit Log (§8.5), and the two AUDITOR-role endpoints already listed in §9.5.1 — into one addressable API surface. It does not change any storage, retention, role, or signing behavior already specified in those sections; it gives a client a single place to call instead of assembling the same functionality from three chapters.</w:t>
      </w:r>
    </w:p>
    <w:p>
      <w:pPr>
        <w:pStyle w:val="Heading3"/>
        <w:spacing w:after="120" w:before="200" w:line="288" w:lineRule="auto"/>
      </w:pPr>
      <w:r>
        <w:rPr>
          <w:rFonts w:ascii="Calibri" w:cs="Calibri" w:eastAsia="Calibri" w:hAnsi="Calibri"/>
          <w:color w:val="000000"/>
          <w:sz w:val="28"/>
          <w:szCs w:val="28"/>
        </w:rPr>
        <w:t xml:space="preserve">9.5.3.1 Unified Audit Endpoint Table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five endpoints below follow the same Endpoint / Method / Description / Auth Required format used in the §9.5.1 RESTful API table.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/v1/audit/export: </w:t>
      </w:r>
      <w:r>
        <w:rPr>
          <w:rFonts w:ascii="Calibri" w:cs="Calibri" w:eastAsia="Calibri" w:hAnsi="Calibri"/>
          <w:b w:val="false"/>
          <w:bCs w:val="false"/>
          <w:i w:val="false"/>
          <w:iCs w:val="false"/>
          <w:strike w:val="false"/>
          <w:color w:val="000000"/>
          <w:sz w:val="22"/>
          <w:szCs w:val="22"/>
        </w:rPr>
        <w:t xml:space="preserve">creates a full or scoped audit log export (QBF binary, JSON-LD, or NDJSON) using the time range, FUID set, SourceID, AgentID, Operation type, or SafetyFlags filters already defined in §5.4.1. Returns an export_id.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/v1/audit/export/{export_id}: </w:t>
      </w:r>
      <w:r>
        <w:rPr>
          <w:rFonts w:ascii="Calibri" w:cs="Calibri" w:eastAsia="Calibri" w:hAnsi="Calibri"/>
          <w:b w:val="false"/>
          <w:bCs w:val="false"/>
          <w:i w:val="false"/>
          <w:iCs w:val="false"/>
          <w:strike w:val="false"/>
          <w:color w:val="000000"/>
          <w:sz w:val="22"/>
          <w:szCs w:val="22"/>
        </w:rPr>
        <w:t xml:space="preserve">retrieves a previously requested export, its ECDSA P-384 signature, and its Merkle proof, per §5.4.1.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/v1/audit/verify/{export_id}: </w:t>
      </w:r>
      <w:r>
        <w:rPr>
          <w:rFonts w:ascii="Calibri" w:cs="Calibri" w:eastAsia="Calibri" w:hAnsi="Calibri"/>
          <w:b w:val="false"/>
          <w:bCs w:val="false"/>
          <w:i w:val="false"/>
          <w:iCs w:val="false"/>
          <w:strike w:val="false"/>
          <w:color w:val="000000"/>
          <w:sz w:val="22"/>
          <w:szCs w:val="22"/>
        </w:rPr>
        <w:t xml:space="preserve">verifies an export's Merkle proof against the live Provenance Ledger root without downloading the full export. Requires only a valid Bearer token, not the AUDITOR role — this endpoint exists specifically to enable the third-party verification without full ledger access that §5.4.1 already describes as a design goal.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/v1/audit/log: </w:t>
      </w:r>
      <w:r>
        <w:rPr>
          <w:rFonts w:ascii="Calibri" w:cs="Calibri" w:eastAsia="Calibri" w:hAnsi="Calibri"/>
          <w:b w:val="false"/>
          <w:bCs w:val="false"/>
          <w:i w:val="false"/>
          <w:iCs w:val="false"/>
          <w:strike w:val="false"/>
          <w:color w:val="000000"/>
          <w:sz w:val="22"/>
          <w:szCs w:val="22"/>
        </w:rPr>
        <w:t xml:space="preserve">queries the Safety Audit Log (§8.5.1) directly by principal identity, FUID, operation type, or time range, returning tamper-evident access records. Requires the AUDITOR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/v1/audit/soc2-trail: </w:t>
      </w:r>
      <w:r>
        <w:rPr>
          <w:rFonts w:ascii="Calibri" w:cs="Calibri" w:eastAsia="Calibri" w:hAnsi="Calibri"/>
          <w:b w:val="false"/>
          <w:bCs w:val="false"/>
          <w:i w:val="false"/>
          <w:iCs w:val="false"/>
          <w:strike w:val="false"/>
          <w:color w:val="000000"/>
          <w:sz w:val="22"/>
          <w:szCs w:val="22"/>
        </w:rPr>
        <w:t xml:space="preserve">retrieves the combined SOC 2 Type II audit trail described in §5.4.3 (Provenance Ledger operation log plus Safety Audit Log) for a given time window. Requires the AUDITOR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other endpoint in §9.5.1, all five endpoints above have equivalent gRPC service definitions per §9.5.2 and are subject to standard Safety Substrate enforcement (§8.1) and Prime Directive review (Domain 0) before any data is returned.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IX — PREDICTIVE INFERENCE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IX Executive Summary</w:t>
            </w:r>
            <w:r>
              <w:rPr>
                <w:rFonts w:ascii="Calibri" w:cs="Calibri" w:eastAsia="Calibri" w:hAnsi="Calibri"/>
                <w:b/>
                <w:bCs/>
                <w:i w:val="false"/>
                <w:iCs w:val="false"/>
                <w:strike w:val="false"/>
                <w:color w:val="333333"/>
                <w:sz w:val="24"/>
                <w:szCs w:val="24"/>
              </w:rPr>
              <w:t xml:space="preserve">Part IX specifies the Predictive Inference Engine (PIE) — the component of QueryBook responsible for generating calibrated, probabilistic forward projections of knowledge state evolution. The PIE operates over the current Fact Graph state, temporal Fact Stream trends, embedded causal models, and NCL-learned transition probabilities. Predictions are represented as first-class Fact Units of FactType PREDICTION, enabling predictions to participate in reasoning, be cited in regenerated text, and be tracked for accuracy over time. This Part is the primary reference for patent Cluster L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IX: Predictive Inference Engine</w:t>
      </w:r>
    </w:p>
    <w:p>
      <w:pPr>
        <w:pStyle w:val="Heading1"/>
        <w:spacing w:after="120" w:before="240" w:line="288" w:lineRule="auto"/>
      </w:pPr>
      <w:r>
        <w:rPr>
          <w:rFonts w:ascii="Calibri" w:cs="Calibri" w:eastAsia="Calibri" w:hAnsi="Calibri"/>
          <w:color w:val="000000"/>
          <w:sz w:val="48"/>
          <w:szCs w:val="48"/>
        </w:rPr>
        <w:t xml:space="preserve">Chapter 10: Predictive Inference Engine (PIE) — Complete Specification</w:t>
      </w:r>
    </w:p>
    <w:p>
      <w:pPr>
        <w:pStyle w:val="Heading2"/>
        <w:spacing w:after="120" w:before="240" w:line="288" w:lineRule="auto"/>
      </w:pPr>
      <w:r>
        <w:rPr>
          <w:rFonts w:ascii="Calibri" w:cs="Calibri" w:eastAsia="Calibri" w:hAnsi="Calibri"/>
          <w:color w:val="000000"/>
          <w:sz w:val="36"/>
          <w:szCs w:val="36"/>
        </w:rPr>
        <w:t xml:space="preserve">10.1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is a probabilistic forward-projection engine that generates predictions about future knowledge states. It integrates four input streams: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Current Fact Graph State:</w:t>
      </w:r>
      <w:r>
        <w:rPr>
          <w:rFonts w:ascii="Calibri" w:cs="Calibri" w:eastAsia="Calibri" w:hAnsi="Calibri"/>
          <w:b w:val="false"/>
          <w:bCs w:val="false"/>
          <w:i w:val="false"/>
          <w:iCs w:val="false"/>
          <w:strike w:val="false"/>
          <w:color w:val="000000"/>
          <w:sz w:val="22"/>
          <w:szCs w:val="22"/>
        </w:rPr>
        <w:t xml:space="preserve"> The complete set of Active Fact Units and their RelationSets, providing the baseline for all predictions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Trend Analysis:</w:t>
      </w:r>
      <w:r>
        <w:rPr>
          <w:rFonts w:ascii="Calibri" w:cs="Calibri" w:eastAsia="Calibri" w:hAnsi="Calibri"/>
          <w:b w:val="false"/>
          <w:bCs w:val="false"/>
          <w:i w:val="false"/>
          <w:iCs w:val="false"/>
          <w:strike w:val="false"/>
          <w:color w:val="000000"/>
          <w:sz w:val="22"/>
          <w:szCs w:val="22"/>
        </w:rPr>
        <w:t xml:space="preserve"> Statistical analysis of Fact Stream history to identify trends in entity attribute values, event frequencies, and relation changes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Causal Models:</w:t>
      </w:r>
      <w:r>
        <w:rPr>
          <w:rFonts w:ascii="Calibri" w:cs="Calibri" w:eastAsia="Calibri" w:hAnsi="Calibri"/>
          <w:b w:val="false"/>
          <w:bCs w:val="false"/>
          <w:i w:val="false"/>
          <w:iCs w:val="false"/>
          <w:strike w:val="false"/>
          <w:color w:val="000000"/>
          <w:sz w:val="22"/>
          <w:szCs w:val="22"/>
        </w:rPr>
        <w:t xml:space="preserve"> Causal Relation Fact Units (FactType = CAUSAL_RELATION) derived by AEM-3, which encode known causal pathways that enable forward projection via causal chain reasoning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Learned Transition Probabilities:</w:t>
      </w:r>
      <w:r>
        <w:rPr>
          <w:rFonts w:ascii="Calibri" w:cs="Calibri" w:eastAsia="Calibri" w:hAnsi="Calibri"/>
          <w:b w:val="false"/>
          <w:bCs w:val="false"/>
          <w:i w:val="false"/>
          <w:iCs w:val="false"/>
          <w:strike w:val="false"/>
          <w:color w:val="000000"/>
          <w:sz w:val="22"/>
          <w:szCs w:val="22"/>
        </w:rPr>
        <w:t xml:space="preserve"> The NCL TMM's learned temporal sequence patterns, which encode the historically observed probability that specific Fact Unit activations follow other Fact Unit activations in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operates as a service within the QueryBook microservices architecture, consuming Fact Stream events in near-real-time and periodically updating its internal prediction state. Prediction Fact Units are produced on a configurable schedule (default: every 15 minutes for time-indexed predictions; continuously for event-triggered predictions).</w:t>
      </w:r>
    </w:p>
    <w:p>
      <w:pPr>
        <w:pStyle w:val="Heading2"/>
        <w:spacing w:after="120" w:before="240" w:line="288" w:lineRule="auto"/>
      </w:pPr>
      <w:r>
        <w:rPr>
          <w:rFonts w:ascii="Calibri" w:cs="Calibri" w:eastAsia="Calibri" w:hAnsi="Calibri"/>
          <w:color w:val="000000"/>
          <w:sz w:val="36"/>
          <w:szCs w:val="36"/>
        </w:rPr>
        <w:t xml:space="preserve">10.2 Prediction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Prediction Type</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FactType</w:t>
            </w:r>
          </w:p>
        </w:tc>
        <w:tc>
          <w:tcPr>
            <w:tcW w:type="pct" w:w="19%"/>
            <w:shd w:fill="DCE6F0" w:color="auto" w:val="clear"/>
          </w:tcPr>
          <w:p>
            <w:r>
              <w:rPr>
                <w:rFonts w:ascii="Calibri" w:cs="Calibri" w:eastAsia="Calibri" w:hAnsi="Calibri"/>
                <w:b/>
                <w:bCs/>
                <w:i w:val="false"/>
                <w:iCs w:val="false"/>
                <w:strike w:val="false"/>
                <w:color w:val="0D2A5E"/>
                <w:sz w:val="20"/>
                <w:szCs w:val="20"/>
              </w:rPr>
              <w:t xml:space="preserve">Input Fact Types Required</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Output Description</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Primary Application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Entity State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PREDICTION_ENTITY_STATE</w:t>
            </w:r>
          </w:p>
        </w:tc>
        <w:tc>
          <w:tcPr>
            <w:tcW w:type="pct" w:w="19%"/>
          </w:tcPr>
          <w:p>
            <w:r>
              <w:rPr>
                <w:rFonts w:ascii="Calibri" w:cs="Calibri" w:eastAsia="Calibri" w:hAnsi="Calibri"/>
                <w:b w:val="false"/>
                <w:bCs w:val="false"/>
                <w:i w:val="false"/>
                <w:iCs w:val="false"/>
                <w:strike w:val="false"/>
                <w:color w:val="000000"/>
                <w:sz w:val="20"/>
                <w:szCs w:val="20"/>
              </w:rPr>
              <w:t xml:space="preserve">TIME_SERIES_POINT, TREND, ENTITY_ATTRIBUTE</w:t>
            </w:r>
          </w:p>
        </w:tc>
        <w:tc>
          <w:tcPr>
            <w:tcW w:type="pct" w:w="32%"/>
          </w:tcPr>
          <w:p>
            <w:r>
              <w:rPr>
                <w:rFonts w:ascii="Calibri" w:cs="Calibri" w:eastAsia="Calibri" w:hAnsi="Calibri"/>
                <w:b w:val="false"/>
                <w:bCs w:val="false"/>
                <w:i w:val="false"/>
                <w:iCs w:val="false"/>
                <w:strike w:val="false"/>
                <w:color w:val="000000"/>
                <w:sz w:val="20"/>
                <w:szCs w:val="20"/>
              </w:rPr>
              <w:t xml:space="preserve">Projected future value of an entity attribute at a specified future time, with confidence interval</w:t>
            </w:r>
          </w:p>
        </w:tc>
        <w:tc>
          <w:tcPr>
            <w:tcW w:type="pct" w:w="25%"/>
          </w:tcPr>
          <w:p>
            <w:r>
              <w:rPr>
                <w:rFonts w:ascii="Calibri" w:cs="Calibri" w:eastAsia="Calibri" w:hAnsi="Calibri"/>
                <w:b w:val="false"/>
                <w:bCs w:val="false"/>
                <w:i w:val="false"/>
                <w:iCs w:val="false"/>
                <w:strike w:val="false"/>
                <w:color w:val="000000"/>
                <w:sz w:val="20"/>
                <w:szCs w:val="20"/>
              </w:rPr>
              <w:t xml:space="preserve">Financial forecasting, population projections, equipment failure prediction, stock level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Event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PREDICTION_EVENT</w:t>
            </w:r>
          </w:p>
        </w:tc>
        <w:tc>
          <w:tcPr>
            <w:tcW w:type="pct" w:w="19%"/>
          </w:tcPr>
          <w:p>
            <w:r>
              <w:rPr>
                <w:rFonts w:ascii="Calibri" w:cs="Calibri" w:eastAsia="Calibri" w:hAnsi="Calibri"/>
                <w:b w:val="false"/>
                <w:bCs w:val="false"/>
                <w:i w:val="false"/>
                <w:iCs w:val="false"/>
                <w:strike w:val="false"/>
                <w:color w:val="000000"/>
                <w:sz w:val="20"/>
                <w:szCs w:val="20"/>
              </w:rPr>
              <w:t xml:space="preserve">CAUSAL_CHAIN, EVENT (historical), TREND</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specified event type will occur within a specified future time window, given current causal chain Fact Units</w:t>
            </w:r>
          </w:p>
        </w:tc>
        <w:tc>
          <w:tcPr>
            <w:tcW w:type="pct" w:w="25%"/>
          </w:tcPr>
          <w:p>
            <w:r>
              <w:rPr>
                <w:rFonts w:ascii="Calibri" w:cs="Calibri" w:eastAsia="Calibri" w:hAnsi="Calibri"/>
                <w:b w:val="false"/>
                <w:bCs w:val="false"/>
                <w:i w:val="false"/>
                <w:iCs w:val="false"/>
                <w:strike w:val="false"/>
                <w:color w:val="000000"/>
                <w:sz w:val="20"/>
                <w:szCs w:val="20"/>
              </w:rPr>
              <w:t xml:space="preserve">Risk assessment, opportunity identification, supply chain event prediction, security threat prediction</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Relation Change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PREDICTION_RELATION_CHANGE</w:t>
            </w:r>
          </w:p>
        </w:tc>
        <w:tc>
          <w:tcPr>
            <w:tcW w:type="pct" w:w="19%"/>
          </w:tcPr>
          <w:p>
            <w:r>
              <w:rPr>
                <w:rFonts w:ascii="Calibri" w:cs="Calibri" w:eastAsia="Calibri" w:hAnsi="Calibri"/>
                <w:b w:val="false"/>
                <w:bCs w:val="false"/>
                <w:i w:val="false"/>
                <w:iCs w:val="false"/>
                <w:strike w:val="false"/>
                <w:color w:val="000000"/>
                <w:sz w:val="20"/>
                <w:szCs w:val="20"/>
              </w:rPr>
              <w:t xml:space="preserve">ENTITY_ATTRIBUTE (temporal trends), CAUSAL_RELATION</w:t>
            </w:r>
          </w:p>
        </w:tc>
        <w:tc>
          <w:tcPr>
            <w:tcW w:type="pct" w:w="32%"/>
          </w:tcPr>
          <w:p>
            <w:r>
              <w:rPr>
                <w:rFonts w:ascii="Calibri" w:cs="Calibri" w:eastAsia="Calibri" w:hAnsi="Calibri"/>
                <w:b w:val="false"/>
                <w:bCs w:val="false"/>
                <w:i w:val="false"/>
                <w:iCs w:val="false"/>
                <w:strike w:val="false"/>
                <w:color w:val="000000"/>
                <w:sz w:val="20"/>
                <w:szCs w:val="20"/>
              </w:rPr>
              <w:t xml:space="preserve">Probability that a specific existing Fact Unit will be superseded within a given time window; includes projected replacement value distribution</w:t>
            </w:r>
          </w:p>
        </w:tc>
        <w:tc>
          <w:tcPr>
            <w:tcW w:type="pct" w:w="25%"/>
          </w:tcPr>
          <w:p>
            <w:r>
              <w:rPr>
                <w:rFonts w:ascii="Calibri" w:cs="Calibri" w:eastAsia="Calibri" w:hAnsi="Calibri"/>
                <w:b w:val="false"/>
                <w:bCs w:val="false"/>
                <w:i w:val="false"/>
                <w:iCs w:val="false"/>
                <w:strike w:val="false"/>
                <w:color w:val="000000"/>
                <w:sz w:val="20"/>
                <w:szCs w:val="20"/>
              </w:rPr>
              <w:t xml:space="preserve">Knowledge graph maintenance, fact expiry planning, real-time situation awareness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Knowledge Gap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PREDICTION_KNOWLEDGE_GAP</w:t>
            </w:r>
          </w:p>
        </w:tc>
        <w:tc>
          <w:tcPr>
            <w:tcW w:type="pct" w:w="19%"/>
          </w:tcPr>
          <w:p>
            <w:r>
              <w:rPr>
                <w:rFonts w:ascii="Calibri" w:cs="Calibri" w:eastAsia="Calibri" w:hAnsi="Calibri"/>
                <w:b w:val="false"/>
                <w:bCs w:val="false"/>
                <w:i w:val="false"/>
                <w:iCs w:val="false"/>
                <w:strike w:val="false"/>
                <w:color w:val="000000"/>
                <w:sz w:val="20"/>
                <w:szCs w:val="20"/>
              </w:rPr>
              <w:t xml:space="preserve">Ontology Mesh schema (expected Fact Units), Fact Graph coverage analysis</w:t>
            </w:r>
          </w:p>
        </w:tc>
        <w:tc>
          <w:tcPr>
            <w:tcW w:type="pct" w:w="32%"/>
          </w:tcPr>
          <w:p>
            <w:r>
              <w:rPr>
                <w:rFonts w:ascii="Calibri" w:cs="Calibri" w:eastAsia="Calibri" w:hAnsi="Calibri"/>
                <w:b w:val="false"/>
                <w:bCs w:val="false"/>
                <w:i w:val="false"/>
                <w:iCs w:val="false"/>
                <w:strike w:val="false"/>
                <w:color w:val="000000"/>
                <w:sz w:val="20"/>
                <w:szCs w:val="20"/>
              </w:rPr>
              <w:t xml:space="preserve">Identification of entity-predicate pairs that should exist in the Fact Graph based on ontology expectations but are currently absent or low-confidence</w:t>
            </w:r>
          </w:p>
        </w:tc>
        <w:tc>
          <w:tcPr>
            <w:tcW w:type="pct" w:w="25%"/>
          </w:tcPr>
          <w:p>
            <w:r>
              <w:rPr>
                <w:rFonts w:ascii="Calibri" w:cs="Calibri" w:eastAsia="Calibri" w:hAnsi="Calibri"/>
                <w:b w:val="false"/>
                <w:bCs w:val="false"/>
                <w:i w:val="false"/>
                <w:iCs w:val="false"/>
                <w:strike w:val="false"/>
                <w:color w:val="000000"/>
                <w:sz w:val="20"/>
                <w:szCs w:val="20"/>
              </w:rPr>
              <w:t xml:space="preserve">Research prioritization, data acquisition planning, knowledge graph completion, information needs analysis</w:t>
            </w:r>
          </w:p>
        </w:tc>
      </w:tr>
      <w:tr>
        <w:trPr>
          <w:tblHeader w:val="false"/>
        </w:trPr>
        <w:tc>
          <w:tcPr>
            <w:tcW w:type="pct" w:w="12%"/>
          </w:tcPr>
          <w:p>
            <w:r>
              <w:rPr>
                <w:rFonts w:ascii="Calibri" w:cs="Calibri" w:eastAsia="Calibri" w:hAnsi="Calibri"/>
                <w:b/>
                <w:bCs/>
                <w:i w:val="false"/>
                <w:iCs w:val="false"/>
                <w:strike w:val="false"/>
                <w:color w:val="000000"/>
                <w:sz w:val="22"/>
                <w:szCs w:val="22"/>
              </w:rPr>
              <w:t xml:space="preserve">Anomaly Prediction</w:t>
            </w:r>
          </w:p>
        </w:tc>
        <w:tc>
          <w:tcPr>
            <w:tcW w:type="pct" w:w="12%"/>
          </w:tcPr>
          <w:p>
            <w:r>
              <w:rPr>
                <w:rFonts w:ascii="Calibri" w:cs="Calibri" w:eastAsia="Calibri" w:hAnsi="Calibri"/>
                <w:b w:val="false"/>
                <w:bCs w:val="false"/>
                <w:i w:val="false"/>
                <w:iCs w:val="false"/>
                <w:strike w:val="false"/>
                <w:color w:val="000000"/>
                <w:sz w:val="20"/>
                <w:szCs w:val="20"/>
              </w:rPr>
              <w:t xml:space="preserve">PREDICTION_ANOMALY</w:t>
            </w:r>
          </w:p>
        </w:tc>
        <w:tc>
          <w:tcPr>
            <w:tcW w:type="pct" w:w="19%"/>
          </w:tcPr>
          <w:p>
            <w:r>
              <w:rPr>
                <w:rFonts w:ascii="Calibri" w:cs="Calibri" w:eastAsia="Calibri" w:hAnsi="Calibri"/>
                <w:b w:val="false"/>
                <w:bCs w:val="false"/>
                <w:i w:val="false"/>
                <w:iCs w:val="false"/>
                <w:strike w:val="false"/>
                <w:color w:val="000000"/>
                <w:sz w:val="20"/>
                <w:szCs w:val="20"/>
              </w:rPr>
              <w:t xml:space="preserve">MEASUREMENT, TIME_SERIES_POINT, learned normal distributions</w:t>
            </w:r>
          </w:p>
        </w:tc>
        <w:tc>
          <w:tcPr>
            <w:tcW w:type="pct" w:w="32%"/>
          </w:tcPr>
          <w:p>
            <w:r>
              <w:rPr>
                <w:rFonts w:ascii="Calibri" w:cs="Calibri" w:eastAsia="Calibri" w:hAnsi="Calibri"/>
                <w:b w:val="false"/>
                <w:bCs w:val="false"/>
                <w:i w:val="false"/>
                <w:iCs w:val="false"/>
                <w:strike w:val="false"/>
                <w:color w:val="000000"/>
                <w:sz w:val="20"/>
                <w:szCs w:val="20"/>
              </w:rPr>
              <w:t xml:space="preserve">Flag on incoming Fact Unit patterns that deviate significantly from learned norms, with anomaly score and contributing factor analysis</w:t>
            </w:r>
          </w:p>
        </w:tc>
        <w:tc>
          <w:tcPr>
            <w:tcW w:type="pct" w:w="25%"/>
          </w:tcPr>
          <w:p>
            <w:r>
              <w:rPr>
                <w:rFonts w:ascii="Calibri" w:cs="Calibri" w:eastAsia="Calibri" w:hAnsi="Calibri"/>
                <w:b w:val="false"/>
                <w:bCs w:val="false"/>
                <w:i w:val="false"/>
                <w:iCs w:val="false"/>
                <w:strike w:val="false"/>
                <w:color w:val="000000"/>
                <w:sz w:val="20"/>
                <w:szCs w:val="20"/>
              </w:rPr>
              <w:t xml:space="preserve">Fraud detection, sensor malfunction prediction, disinformation detection, process deviation alerting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10.3 Prediction Confidence and Calibration</w:t>
      </w:r>
    </w:p>
    <w:p>
      <w:pPr>
        <w:pStyle w:val="Heading3"/>
        <w:spacing w:after="120" w:before="240" w:line="288" w:lineRule="auto"/>
      </w:pPr>
      <w:r>
        <w:rPr>
          <w:rFonts w:ascii="Calibri" w:cs="Calibri" w:eastAsia="Calibri" w:hAnsi="Calibri"/>
          <w:color w:val="000000"/>
          <w:sz w:val="30"/>
          <w:szCs w:val="30"/>
        </w:rPr>
        <w:t xml:space="preserve">10.3.1 Bayesian Credible Intervals</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PIE predictions include Bayesian 95% credible intervals computed via conjugate prior analysis where analytical solutions exist, or via Markov Chain Monte Carlo (MCMC) sampling for complex multi-variable predictions. The credible interval is stored in the PREDICTION Fact Unit's ObjectValue as a structured type: </w:t>
      </w:r>
      <w:r>
        <w:rPr>
          <w:rFonts w:ascii="Calibri" w:cs="Calibri" w:eastAsia="Calibri" w:hAnsi="Calibri"/>
          <w:b w:val="false"/>
          <w:bCs w:val="false"/>
          <w:i w:val="false"/>
          <w:iCs w:val="false"/>
          <w:strike w:val="false"/>
          <w:color w:val="000000"/>
          <w:sz w:val="20"/>
          <w:szCs w:val="20"/>
          <w:shd w:fill="F3F4F6" w:color="auto" w:val="clear"/>
        </w:rPr>
        <w:t xml:space="preserve">{point_estimate: float64, lower_bound_95: float64, upper_bound_95: float64}</w:t>
      </w:r>
      <w:r>
        <w:rPr>
          <w:rFonts w:ascii="Calibri" w:cs="Calibri" w:eastAsia="Calibri" w:hAnsi="Calibri"/>
          <w:b w:val="false"/>
          <w:bCs w:val="false"/>
          <w:i w:val="false"/>
          <w:iCs w:val="false"/>
          <w:strike w:val="false"/>
          <w:color w:val="000000"/>
          <w:sz w:val="22"/>
          <w:szCs w:val="22"/>
        </w:rPr>
        <w:t xml:space="preserve">.</w:t>
      </w:r>
    </w:p>
    <w:p>
      <w:pPr>
        <w:pStyle w:val="Heading3"/>
        <w:spacing w:after="120" w:before="240" w:line="288" w:lineRule="auto"/>
      </w:pPr>
      <w:r>
        <w:rPr>
          <w:rFonts w:ascii="Calibri" w:cs="Calibri" w:eastAsia="Calibri" w:hAnsi="Calibri"/>
          <w:color w:val="000000"/>
          <w:sz w:val="30"/>
          <w:szCs w:val="30"/>
        </w:rPr>
        <w:t xml:space="preserve">10.3.2 Monte Carlo Sampling over Scenario Graphs</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Event Predictions and complex multi-step projections, the PIE constructs a Scenario Graph (Chapter 11) with multiple branches representing different possible future knowledge states. Monte Carlo sampling over this Scenario Graph — sampling 10,000–100,000 paths weighted by branch transition probabilities — produces an empirical distribution of outcomes from which confidence intervals are derived. This approach naturally handles non-Gaussian uncertainty distributions and causal non-linearities.</w:t>
      </w:r>
    </w:p>
    <w:p>
      <w:pPr>
        <w:pStyle w:val="Heading3"/>
        <w:spacing w:after="120" w:before="240" w:line="288" w:lineRule="auto"/>
      </w:pPr>
      <w:r>
        <w:rPr>
          <w:rFonts w:ascii="Calibri" w:cs="Calibri" w:eastAsia="Calibri" w:hAnsi="Calibri"/>
          <w:color w:val="000000"/>
          <w:sz w:val="30"/>
          <w:szCs w:val="30"/>
        </w:rPr>
        <w:t xml:space="preserve">10.3.3 Historical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continuously evaluates the accuracy of past predictions by comparing them against subsequently ingested Fact Units. For each expired PREDICTION Fact Unit (i.e., a Fact Unit whose prediction horizon has passed), the PIE computes a calibration score: the proportion of predictions with stated 95% credible intervals that actually contained the true observed value. A well-calibrated PIE achieves a calibration score of approximately 0.95. Systematic miscalibration triggers automatic recalibration of the PIE's prior distributions for the affected prediction type and domain.</w:t>
      </w:r>
    </w:p>
    <w:p>
      <w:pPr>
        <w:pStyle w:val="Heading2"/>
        <w:spacing w:after="120" w:before="240" w:line="288" w:lineRule="auto"/>
      </w:pPr>
      <w:r>
        <w:rPr>
          <w:rFonts w:ascii="Calibri" w:cs="Calibri" w:eastAsia="Calibri" w:hAnsi="Calibri"/>
          <w:color w:val="000000"/>
          <w:sz w:val="36"/>
          <w:szCs w:val="36"/>
        </w:rPr>
        <w:t xml:space="preserve">10.4 Prediction Lifecycle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first-class Fact Units with all the lifecycle, provenance, and safety properties of any other Fact Unit, plus the following PREDICTION-specific fields stored in the AnnotationSet: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DCE6F0" w:color="auto" w:val="clear"/>
          </w:tcPr>
          <w:p>
            <w:r>
              <w:rPr>
                <w:rFonts w:ascii="Calibri" w:cs="Calibri" w:eastAsia="Calibri" w:hAnsi="Calibri"/>
                <w:b/>
                <w:bCs/>
                <w:i w:val="false"/>
                <w:iCs w:val="false"/>
                <w:strike w:val="false"/>
                <w:color w:val="0D2A5E"/>
                <w:sz w:val="20"/>
                <w:szCs w:val="20"/>
              </w:rPr>
              <w:t xml:space="preserve">Annotation Key</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62%"/>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qb:prediction.horizon_ns</w:t>
            </w:r>
          </w:p>
        </w:tc>
        <w:tc>
          <w:tcPr>
            <w:tcW w:type="pct" w:w="16%"/>
          </w:tcPr>
          <w:p>
            <w:r>
              <w:rPr>
                <w:rFonts w:ascii="Calibri" w:cs="Calibri" w:eastAsia="Calibri" w:hAnsi="Calibri"/>
                <w:b w:val="false"/>
                <w:bCs w:val="false"/>
                <w:i w:val="false"/>
                <w:iCs w:val="false"/>
                <w:strike w:val="false"/>
                <w:color w:val="000000"/>
                <w:sz w:val="20"/>
                <w:szCs w:val="20"/>
              </w:rPr>
              <w:t xml:space="preserve">int64</w:t>
            </w:r>
          </w:p>
        </w:tc>
        <w:tc>
          <w:tcPr>
            <w:tcW w:type="pct" w:w="62%"/>
          </w:tcPr>
          <w:p>
            <w:r>
              <w:rPr>
                <w:rFonts w:ascii="Calibri" w:cs="Calibri" w:eastAsia="Calibri" w:hAnsi="Calibri"/>
                <w:b w:val="false"/>
                <w:bCs w:val="false"/>
                <w:i w:val="false"/>
                <w:iCs w:val="false"/>
                <w:strike w:val="false"/>
                <w:color w:val="000000"/>
                <w:sz w:val="20"/>
                <w:szCs w:val="20"/>
              </w:rPr>
              <w:t xml:space="preserve">The UTC Unix nanosecond timestamp at which this prediction is expected to either be confirmed or refuted by new facts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qb:prediction.conditioning_fuids</w:t>
            </w:r>
          </w:p>
        </w:tc>
        <w:tc>
          <w:tcPr>
            <w:tcW w:type="pct" w:w="16%"/>
          </w:tcPr>
          <w:p>
            <w:r>
              <w:rPr>
                <w:rFonts w:ascii="Calibri" w:cs="Calibri" w:eastAsia="Calibri" w:hAnsi="Calibri"/>
                <w:b w:val="false"/>
                <w:bCs w:val="false"/>
                <w:i w:val="false"/>
                <w:iCs w:val="false"/>
                <w:strike w:val="false"/>
                <w:color w:val="000000"/>
                <w:sz w:val="20"/>
                <w:szCs w:val="20"/>
              </w:rPr>
              <w:t xml:space="preserve">List of FUID</w:t>
            </w:r>
          </w:p>
        </w:tc>
        <w:tc>
          <w:tcPr>
            <w:tcW w:type="pct" w:w="62%"/>
          </w:tcPr>
          <w:p>
            <w:r>
              <w:rPr>
                <w:rFonts w:ascii="Calibri" w:cs="Calibri" w:eastAsia="Calibri" w:hAnsi="Calibri"/>
                <w:b w:val="false"/>
                <w:bCs w:val="false"/>
                <w:i w:val="false"/>
                <w:iCs w:val="false"/>
                <w:strike w:val="false"/>
                <w:color w:val="000000"/>
                <w:sz w:val="20"/>
                <w:szCs w:val="20"/>
              </w:rPr>
              <w:t xml:space="preserve">The set of Fact Units upon which this prediction is conditioned; changes to conditioning Fact Units trigger prediction revalidation</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qb:prediction.confidence_interval</w:t>
            </w:r>
          </w:p>
        </w:tc>
        <w:tc>
          <w:tcPr>
            <w:tcW w:type="pct" w:w="16%"/>
          </w:tcPr>
          <w:p>
            <w:r>
              <w:rPr>
                <w:rFonts w:ascii="Calibri" w:cs="Calibri" w:eastAsia="Calibri" w:hAnsi="Calibri"/>
                <w:b w:val="false"/>
                <w:bCs w:val="false"/>
                <w:i w:val="false"/>
                <w:iCs w:val="false"/>
                <w:strike w:val="false"/>
                <w:color w:val="000000"/>
                <w:sz w:val="20"/>
                <w:szCs w:val="20"/>
              </w:rPr>
              <w:t xml:space="preserve">JSON struct</w:t>
            </w:r>
          </w:p>
        </w:tc>
        <w:tc>
          <w:tcPr>
            <w:tcW w:type="pct" w:w="62%"/>
          </w:tcPr>
          <w:p>
            <w:r>
              <w:rPr>
                <w:rFonts w:ascii="Calibri" w:cs="Calibri" w:eastAsia="Calibri" w:hAnsi="Calibri"/>
                <w:b w:val="false"/>
                <w:bCs w:val="false"/>
                <w:i w:val="false"/>
                <w:iCs w:val="false"/>
                <w:strike w:val="false"/>
                <w:color w:val="000000"/>
                <w:sz w:val="20"/>
                <w:szCs w:val="20"/>
              </w:rPr>
              <w:t xml:space="preserve">Point estimate and 95% credible interval bounds</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qb:prediction.method</w:t>
            </w:r>
          </w:p>
        </w:tc>
        <w:tc>
          <w:tcPr>
            <w:tcW w:type="pct" w:w="16%"/>
          </w:tcPr>
          <w:p>
            <w:r>
              <w:rPr>
                <w:rFonts w:ascii="Calibri" w:cs="Calibri" w:eastAsia="Calibri" w:hAnsi="Calibri"/>
                <w:b w:val="false"/>
                <w:bCs w:val="false"/>
                <w:i w:val="false"/>
                <w:iCs w:val="false"/>
                <w:strike w:val="false"/>
                <w:color w:val="000000"/>
                <w:sz w:val="20"/>
                <w:szCs w:val="20"/>
              </w:rPr>
              <w:t xml:space="preserve">enum string</w:t>
            </w:r>
          </w:p>
        </w:tc>
        <w:tc>
          <w:tcPr>
            <w:tcW w:type="pct" w:w="62%"/>
          </w:tcPr>
          <w:p>
            <w:r>
              <w:rPr>
                <w:rFonts w:ascii="Calibri" w:cs="Calibri" w:eastAsia="Calibri" w:hAnsi="Calibri"/>
                <w:b w:val="false"/>
                <w:bCs w:val="false"/>
                <w:i w:val="false"/>
                <w:iCs w:val="false"/>
                <w:strike w:val="false"/>
                <w:color w:val="000000"/>
                <w:sz w:val="20"/>
                <w:szCs w:val="20"/>
              </w:rPr>
              <w:t xml:space="preserve">The prediction method used: BAYESIAN_CONJUGATE, MCMC, CAUSAL_CHAIN, TEMPORAL_REGRESSION, SCENARIO_GRAPH_SAMPLING</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qb:prediction.outcome</w:t>
            </w:r>
          </w:p>
        </w:tc>
        <w:tc>
          <w:tcPr>
            <w:tcW w:type="pct" w:w="16%"/>
          </w:tcPr>
          <w:p>
            <w:r>
              <w:rPr>
                <w:rFonts w:ascii="Calibri" w:cs="Calibri" w:eastAsia="Calibri" w:hAnsi="Calibri"/>
                <w:b w:val="false"/>
                <w:bCs w:val="false"/>
                <w:i w:val="false"/>
                <w:iCs w:val="false"/>
                <w:strike w:val="false"/>
                <w:color w:val="000000"/>
                <w:sz w:val="20"/>
                <w:szCs w:val="20"/>
              </w:rPr>
              <w:t xml:space="preserve">enum string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the horizon passes: CONFIRMED, REFUTED, INCONCLUSIVE, HORIZON_EXPIRED_NO_DATA</w:t>
            </w:r>
          </w:p>
        </w:tc>
      </w:tr>
      <w:tr>
        <w:trPr>
          <w:tblHeader w:val="false"/>
        </w:trPr>
        <w:tc>
          <w:tcPr>
            <w:tcW w:type="pct" w:w="22%"/>
          </w:tcPr>
          <w:p>
            <w:r>
              <w:rPr>
                <w:rFonts w:ascii="Calibri" w:cs="Calibri" w:eastAsia="Calibri" w:hAnsi="Calibri"/>
                <w:b w:val="false"/>
                <w:bCs w:val="false"/>
                <w:i w:val="false"/>
                <w:iCs w:val="false"/>
                <w:strike w:val="false"/>
                <w:color w:val="000000"/>
                <w:sz w:val="18"/>
                <w:szCs w:val="18"/>
                <w:shd w:fill="F3F4F6" w:color="auto" w:val="clear"/>
              </w:rPr>
              <w:t xml:space="preserve">qb:prediction.calibration_score</w:t>
            </w:r>
          </w:p>
        </w:tc>
        <w:tc>
          <w:tcPr>
            <w:tcW w:type="pct" w:w="16%"/>
          </w:tcPr>
          <w:p>
            <w:r>
              <w:rPr>
                <w:rFonts w:ascii="Calibri" w:cs="Calibri" w:eastAsia="Calibri" w:hAnsi="Calibri"/>
                <w:b w:val="false"/>
                <w:bCs w:val="false"/>
                <w:i w:val="false"/>
                <w:iCs w:val="false"/>
                <w:strike w:val="false"/>
                <w:color w:val="000000"/>
                <w:sz w:val="20"/>
                <w:szCs w:val="20"/>
              </w:rPr>
              <w:t xml:space="preserve">float32 | null</w:t>
            </w:r>
          </w:p>
        </w:tc>
        <w:tc>
          <w:tcPr>
            <w:tcW w:type="pct" w:w="62%"/>
          </w:tcPr>
          <w:p>
            <w:r>
              <w:rPr>
                <w:rFonts w:ascii="Calibri" w:cs="Calibri" w:eastAsia="Calibri" w:hAnsi="Calibri"/>
                <w:b w:val="false"/>
                <w:bCs w:val="false"/>
                <w:i w:val="false"/>
                <w:iCs w:val="false"/>
                <w:strike w:val="false"/>
                <w:color w:val="000000"/>
                <w:sz w:val="20"/>
                <w:szCs w:val="20"/>
              </w:rPr>
              <w:t xml:space="preserve">Populated after outcome is determined: calibration quality score for this prediction instance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PREDICTION Fact Units are automatically transitioned to ARCHIVED state by the TTL eviction mechanism when their </w:t>
      </w:r>
      <w:r>
        <w:rPr>
          <w:rFonts w:ascii="Calibri" w:cs="Calibri" w:eastAsia="Calibri" w:hAnsi="Calibri"/>
          <w:b w:val="false"/>
          <w:bCs w:val="false"/>
          <w:i w:val="false"/>
          <w:iCs w:val="false"/>
          <w:strike w:val="false"/>
          <w:color w:val="000000"/>
          <w:sz w:val="20"/>
          <w:szCs w:val="20"/>
          <w:shd w:fill="F3F4F6" w:color="auto" w:val="clear"/>
        </w:rPr>
        <w:t xml:space="preserve">qb:prediction.horizon_ns</w:t>
      </w:r>
      <w:r>
        <w:rPr>
          <w:rFonts w:ascii="Calibri" w:cs="Calibri" w:eastAsia="Calibri" w:hAnsi="Calibri"/>
          <w:b w:val="false"/>
          <w:bCs w:val="false"/>
          <w:i w:val="false"/>
          <w:iCs w:val="false"/>
          <w:strike w:val="false"/>
          <w:color w:val="000000"/>
          <w:sz w:val="22"/>
          <w:szCs w:val="22"/>
        </w:rPr>
        <w:t xml:space="preserve"> has passed and the outcome has been determined. Predictions for which no confirming or refuting facts are available after a configurable grace period (default: 30 days post-horizon) are archived with outcome HORIZON_EXPIRED_NO_DATA.</w:t>
      </w:r>
    </w:p>
    <w:p>
      <w:pPr>
        <w:pStyle w:val="Heading2"/>
        <w:spacing w:after="120" w:before="240" w:line="288" w:lineRule="auto"/>
      </w:pPr>
      <w:r>
        <w:rPr>
          <w:rFonts w:ascii="Calibri" w:cs="Calibri" w:eastAsia="Calibri" w:hAnsi="Calibri"/>
          <w:color w:val="000000"/>
          <w:sz w:val="36"/>
          <w:szCs w:val="36"/>
        </w:rPr>
        <w:t xml:space="preserve">10.4 Manifold-Based Trend Forecasting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PIE with an additional probabilistic forecasting method for genuinely time-series-shaped external phenomena — weather, financial markets, and comparable trend-prediction domains — using nonlinear manifold-learning techniques with real, established precedent in this application (structured manifold learning recovering chaotic attractors from financial time series; t-SNE-based weather pattern analysis; Isomap and locally linear embedding for stock price forecasting). This section extends PIE's already-probabilistic forecasting function; it does not modify the Fact Unit schema (Appendix A), the Ontology Mesh (Chapter 6), or any grounded generation or retrieval mechanism, and it is not a re-introduction of the manifold-based knowledge-representation concept already declined multiple times elsewhere in this Bible's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STRUCTURALLY SEPARATE FROM THE DETERMINISTIC CORE, AND LABELED ACCORDINGLY</w:t>
            </w:r>
            <w:r>
              <w:rPr>
                <w:rFonts w:ascii="Calibri" w:cs="Calibri" w:eastAsia="Calibri" w:hAnsi="Calibri"/>
                <w:b/>
                <w:bCs/>
                <w:i w:val="false"/>
                <w:iCs w:val="false"/>
                <w:strike w:val="false"/>
                <w:color w:val="333333"/>
                <w:sz w:val="24"/>
                <w:szCs w:val="24"/>
              </w:rPr>
              <w:t xml:space="preserve">This mechanism produces probabilistic trend forecasts for external phenomena; it never produces, modifies, or influences a grounded Fact Unit, and its output is never presented with the certainty of a retrieved fact. Every output under this section carries an explicit confidence interval and is labeled as a probabilistic forecast at the point of presentation. This is the same structural-separation discipline already applied to the Contextual Commerce Layer (Chapter 88) and NFT Integration (Chapter 94) — a real capability, walled off from the deterministic core rather than merged into it. This section does not alter PIE's determinism-adjacent guarantees for any other prediction type already specified at §10.2–§10.3.</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10.4.1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Applicable domains: time-series phenomena where the underlying system is genuinely nonlinear and probabilistic by nature — weather and climate trends, financial market behavior (reusing the Ontology Mesh's already-registered Finance domain, §20.3 of the patent), and comparable structured time-series data an operator ingests for this purpose.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applicable: this section is never used to represent, generate, or infer a grounded Fact Unit, a Fact Unit relationship, or any content subject to the structural-groundedness guarantee (Claim 8). A forecast produced here is a distinct output type, never merged into or confused with the Fact Graph.</w:t>
      </w:r>
    </w:p>
    <w:p>
      <w:pPr>
        <w:pStyle w:val="Heading3"/>
        <w:spacing w:after="120" w:before="200" w:line="288" w:lineRule="auto"/>
      </w:pPr>
      <w:r>
        <w:rPr>
          <w:rFonts w:ascii="Calibri" w:cs="Calibri" w:eastAsia="Calibri" w:hAnsi="Calibri"/>
          <w:color w:val="000000"/>
          <w:sz w:val="28"/>
          <w:szCs w:val="28"/>
        </w:rPr>
        <w:t xml:space="preserve">10.4.2 Method</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Ingested time-series data (Chapter 4) is embedded into a low-dimensional manifold using an established nonlinear dimensionality-reduction technique appropriate to the domain and data characteristics — for example, phase-space reconstruction for detecting regime changes in financial time series, or comparable manifold-learning methods for weather-pattern trend analysis. The resulting forecast is generated with an explicit confidence interval computed from the method's own uncertainty characteristics, following the same calibration discipline already required of every other PIE prediction type at §10.3.</w:t>
      </w:r>
    </w:p>
    <w:p>
      <w:pPr>
        <w:pStyle w:val="Heading3"/>
        <w:spacing w:after="120" w:before="200" w:line="288" w:lineRule="auto"/>
      </w:pPr>
      <w:r>
        <w:rPr>
          <w:rFonts w:ascii="Calibri" w:cs="Calibri" w:eastAsia="Calibri" w:hAnsi="Calibri"/>
          <w:color w:val="000000"/>
          <w:sz w:val="28"/>
          <w:szCs w:val="28"/>
        </w:rPr>
        <w:t xml:space="preserve">10.4.3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Manifold-Based Trend Forecast is presented to a user in a distinct, source-labeled region of the response — never interleaved with grounded Fact Unit content — stating explicitly that the output is a probabilistic forecast, the confidence interval, and the forecasting domain. This mirrors the presentation discipline already required for commercial content under §88.3, adapted to a forecast rather than a commercial item.</w:t>
      </w:r>
    </w:p>
    <w:p>
      <w:pPr>
        <w:pStyle w:val="Heading3"/>
        <w:spacing w:after="120" w:before="200" w:line="288" w:lineRule="auto"/>
      </w:pPr>
      <w:r>
        <w:rPr>
          <w:rFonts w:ascii="Calibri" w:cs="Calibri" w:eastAsia="Calibri" w:hAnsi="Calibri"/>
          <w:color w:val="000000"/>
          <w:sz w:val="28"/>
          <w:szCs w:val="28"/>
        </w:rPr>
        <w:t xml:space="preserve">10.4.4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PIE's existing architecture and calibration discipline (§10.1–§10.3); the Multimodal Ingestion Pipeline (Chapter 4); and, where financial forecasting is used, the Ontology Mesh's registered Finance domain (§20.3 of the patent). It modifies none of their specifications, and modifies nothing in the Fact Unit schema, Ontology Mesh, or grounded 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 — SCENARIO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333333"/>
                <w:sz w:val="24"/>
                <w:szCs w:val="24"/>
              </w:rPr>
              <w:t xml:space="preserve">Part X specifies the Scenario Graph system — QueryBook's representation for branching, probabilistic hypothetical and projected knowledge states. Each Scenario Graph node is a Knowledge State Snapshot (KSS), and edges are probabilistic transitions between states. Scenario Graphs power what-if analysis, forecasting, adversarial modeling, counterfactual reasoning, and strategic planning within QueryBook. This Part is the primary reference for patent Cluster F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 Scenario Graph System</w:t>
      </w:r>
    </w:p>
    <w:p>
      <w:pPr>
        <w:pStyle w:val="Heading1"/>
        <w:spacing w:after="120" w:before="240" w:line="288" w:lineRule="auto"/>
      </w:pPr>
      <w:r>
        <w:rPr>
          <w:rFonts w:ascii="Calibri" w:cs="Calibri" w:eastAsia="Calibri" w:hAnsi="Calibri"/>
          <w:color w:val="000000"/>
          <w:sz w:val="48"/>
          <w:szCs w:val="48"/>
        </w:rPr>
        <w:t xml:space="preserve">Chapter 11: Scenario Graph — Complete Specification</w:t>
      </w:r>
    </w:p>
    <w:p>
      <w:pPr>
        <w:pStyle w:val="Heading2"/>
        <w:spacing w:after="120" w:before="240" w:line="288" w:lineRule="auto"/>
      </w:pPr>
      <w:r>
        <w:rPr>
          <w:rFonts w:ascii="Calibri" w:cs="Calibri" w:eastAsia="Calibri" w:hAnsi="Calibri"/>
          <w:color w:val="000000"/>
          <w:sz w:val="36"/>
          <w:szCs w:val="36"/>
        </w:rPr>
        <w:t xml:space="preserve">11.1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Scenario Graph is a branching, probabilistic directed graph over the Fact Graph. Each node in the Scenario Graph is a Knowledge State Snapshot (KSS) — a consistent sub-graph of Fact Units representing a coherent hypothetical or projected world state. Each edge in the Scenario Graph is a Transition: a triple of (Condition, Transition Probability, Target KSS) specifying the probability that, given the source KSS, the world evolves to the target KSS when the condition is satisfied or assumed.</w:t>
      </w:r>
    </w:p>
    <w:p>
      <w:pPr>
        <w:spacing w:after="120" w:line="360" w:lineRule="auto"/>
      </w:pPr>
      <w:r>
        <w:rPr>
          <w:rFonts w:ascii="Calibri" w:cs="Calibri" w:eastAsia="Calibri" w:hAnsi="Calibri"/>
          <w:b w:val="false"/>
          <w:bCs w:val="false"/>
          <w:i w:val="false"/>
          <w:iCs w:val="false"/>
          <w:strike w:val="false"/>
          <w:color w:val="000000"/>
          <w:sz w:val="22"/>
          <w:szCs w:val="22"/>
        </w:rPr>
        <w:t xml:space="preserve">Scenario Graphs differ fundamentally from the Fact Graph in the following ways: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Fact Graph represents asserted, provenance-tracked knowledge about the actual world. Scenario Graph nodes represent hypothetical or projected states that may or may not correspond to reality.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edges are typed semantic relations between Fact Units. Scenario Graph edges are probabilistic transitions between world states.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Graph Fact Units carry ConfidenceScores reflecting epistemic certainty. Scenario Graph transition probabilities reflect scenario likelihood, not epistemic certainty about current state.</w:t>
      </w:r>
    </w:p>
    <w:p>
      <w:pPr>
        <w:pStyle w:val="Heading2"/>
        <w:spacing w:after="120" w:before="240" w:line="288" w:lineRule="auto"/>
      </w:pPr>
      <w:r>
        <w:rPr>
          <w:rFonts w:ascii="Calibri" w:cs="Calibri" w:eastAsia="Calibri" w:hAnsi="Calibri"/>
          <w:color w:val="000000"/>
          <w:sz w:val="36"/>
          <w:szCs w:val="36"/>
        </w:rPr>
        <w:t xml:space="preserve">11.2 Scenario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ScenarioGraphID</w:t>
            </w:r>
          </w:p>
        </w:tc>
        <w:tc>
          <w:tcPr>
            <w:tcW w:type="pct" w:w="30%"/>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Globally unique identifier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0%"/>
          </w:tcPr>
          <w:p>
            <w:r>
              <w:rPr>
                <w:rFonts w:ascii="Calibri" w:cs="Calibri" w:eastAsia="Calibri" w:hAnsi="Calibri"/>
                <w:b w:val="false"/>
                <w:bCs w:val="false"/>
                <w:i w:val="false"/>
                <w:iCs w:val="false"/>
                <w:strike w:val="false"/>
                <w:color w:val="000000"/>
                <w:sz w:val="20"/>
                <w:szCs w:val="20"/>
              </w:rPr>
              <w:t xml:space="preserve">UTF-8 string (max 512 chars)</w:t>
            </w:r>
          </w:p>
        </w:tc>
        <w:tc>
          <w:tcPr>
            <w:tcW w:type="pct" w:w="58%"/>
          </w:tcPr>
          <w:p>
            <w:r>
              <w:rPr>
                <w:rFonts w:ascii="Calibri" w:cs="Calibri" w:eastAsia="Calibri" w:hAnsi="Calibri"/>
                <w:b w:val="false"/>
                <w:bCs w:val="false"/>
                <w:i w:val="false"/>
                <w:iCs w:val="false"/>
                <w:strike w:val="false"/>
                <w:color w:val="000000"/>
                <w:sz w:val="20"/>
                <w:szCs w:val="20"/>
              </w:rPr>
              <w:t xml:space="preserve">Human-readable title for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RootKSS</w:t>
            </w:r>
          </w:p>
        </w:tc>
        <w:tc>
          <w:tcPr>
            <w:tcW w:type="pct" w:w="30%"/>
          </w:tcPr>
          <w:p>
            <w:r>
              <w:rPr>
                <w:rFonts w:ascii="Calibri" w:cs="Calibri" w:eastAsia="Calibri" w:hAnsi="Calibri"/>
                <w:b w:val="false"/>
                <w:bCs w:val="false"/>
                <w:i w:val="false"/>
                <w:iCs w:val="false"/>
                <w:strike w:val="false"/>
                <w:color w:val="000000"/>
                <w:sz w:val="20"/>
                <w:szCs w:val="20"/>
              </w:rPr>
              <w:t xml:space="preserve">KSSID (UUID)</w:t>
            </w:r>
          </w:p>
        </w:tc>
        <w:tc>
          <w:tcPr>
            <w:tcW w:type="pct" w:w="58%"/>
          </w:tcPr>
          <w:p>
            <w:r>
              <w:rPr>
                <w:rFonts w:ascii="Calibri" w:cs="Calibri" w:eastAsia="Calibri" w:hAnsi="Calibri"/>
                <w:b w:val="false"/>
                <w:bCs w:val="false"/>
                <w:i w:val="false"/>
                <w:iCs w:val="false"/>
                <w:strike w:val="false"/>
                <w:color w:val="000000"/>
                <w:sz w:val="20"/>
                <w:szCs w:val="20"/>
              </w:rPr>
              <w:t xml:space="preserve">The baseline Knowledge State Snapshot from which all branches originate; usually a snapshot of the current Fact Graph state at Scenario Graph creation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KSSSet</w:t>
            </w:r>
          </w:p>
        </w:tc>
        <w:tc>
          <w:tcPr>
            <w:tcW w:type="pct" w:w="30%"/>
          </w:tcPr>
          <w:p>
            <w:r>
              <w:rPr>
                <w:rFonts w:ascii="Calibri" w:cs="Calibri" w:eastAsia="Calibri" w:hAnsi="Calibri"/>
                <w:b w:val="false"/>
                <w:bCs w:val="false"/>
                <w:i w:val="false"/>
                <w:iCs w:val="false"/>
                <w:strike w:val="false"/>
                <w:color w:val="000000"/>
                <w:sz w:val="20"/>
                <w:szCs w:val="20"/>
              </w:rPr>
              <w:t xml:space="preserve">Map of {KSSID → KnowledgeStateSnapshot}</w:t>
            </w:r>
          </w:p>
        </w:tc>
        <w:tc>
          <w:tcPr>
            <w:tcW w:type="pct" w:w="58%"/>
          </w:tcPr>
          <w:p>
            <w:r>
              <w:rPr>
                <w:rFonts w:ascii="Calibri" w:cs="Calibri" w:eastAsia="Calibri" w:hAnsi="Calibri"/>
                <w:b w:val="false"/>
                <w:bCs w:val="false"/>
                <w:i w:val="false"/>
                <w:iCs w:val="false"/>
                <w:strike w:val="false"/>
                <w:color w:val="000000"/>
                <w:sz w:val="20"/>
                <w:szCs w:val="20"/>
              </w:rPr>
              <w:t xml:space="preserve">All Knowledge State Snapshots in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TransitionSet</w:t>
            </w:r>
          </w:p>
        </w:tc>
        <w:tc>
          <w:tcPr>
            <w:tcW w:type="pct" w:w="30%"/>
          </w:tcPr>
          <w:p>
            <w:r>
              <w:rPr>
                <w:rFonts w:ascii="Calibri" w:cs="Calibri" w:eastAsia="Calibri" w:hAnsi="Calibri"/>
                <w:b w:val="false"/>
                <w:bCs w:val="false"/>
                <w:i w:val="false"/>
                <w:iCs w:val="false"/>
                <w:strike w:val="false"/>
                <w:color w:val="000000"/>
                <w:sz w:val="20"/>
                <w:szCs w:val="20"/>
              </w:rPr>
              <w:t xml:space="preserve">Set of Transition {SourceKSSID, Condition: FU, Probability: float32, TargetKSSID}</w:t>
            </w:r>
          </w:p>
        </w:tc>
        <w:tc>
          <w:tcPr>
            <w:tcW w:type="pct" w:w="58%"/>
          </w:tcPr>
          <w:p>
            <w:r>
              <w:rPr>
                <w:rFonts w:ascii="Calibri" w:cs="Calibri" w:eastAsia="Calibri" w:hAnsi="Calibri"/>
                <w:b w:val="false"/>
                <w:bCs w:val="false"/>
                <w:i w:val="false"/>
                <w:iCs w:val="false"/>
                <w:strike w:val="false"/>
                <w:color w:val="000000"/>
                <w:sz w:val="20"/>
                <w:szCs w:val="20"/>
              </w:rPr>
              <w:t xml:space="preserve">All transition edges in this Scenario Graph; Condition is a Fact Unit assertion whose truth triggers the transition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DepthLimit</w:t>
            </w:r>
          </w:p>
        </w:tc>
        <w:tc>
          <w:tcPr>
            <w:tcW w:type="pct" w:w="30%"/>
          </w:tcPr>
          <w:p>
            <w:r>
              <w:rPr>
                <w:rFonts w:ascii="Calibri" w:cs="Calibri" w:eastAsia="Calibri" w:hAnsi="Calibri"/>
                <w:b w:val="false"/>
                <w:bCs w:val="false"/>
                <w:i w:val="false"/>
                <w:iCs w:val="false"/>
                <w:strike w:val="false"/>
                <w:color w:val="000000"/>
                <w:sz w:val="20"/>
                <w:szCs w:val="20"/>
              </w:rPr>
              <w:t xml:space="preserve">uint32</w:t>
            </w:r>
          </w:p>
        </w:tc>
        <w:tc>
          <w:tcPr>
            <w:tcW w:type="pct" w:w="58%"/>
          </w:tcPr>
          <w:p>
            <w:r>
              <w:rPr>
                <w:rFonts w:ascii="Calibri" w:cs="Calibri" w:eastAsia="Calibri" w:hAnsi="Calibri"/>
                <w:b w:val="false"/>
                <w:bCs w:val="false"/>
                <w:i w:val="false"/>
                <w:iCs w:val="false"/>
                <w:strike w:val="false"/>
                <w:color w:val="000000"/>
                <w:sz w:val="20"/>
                <w:szCs w:val="20"/>
              </w:rPr>
              <w:t xml:space="preserve">Maximum branching depth from the RootKSS; prevents combinatorial explosion in deep scenario trees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HorizonTime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The temporal horizon for the scenario; leaf KSS nodes represent world states at or before this time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ScenarioType</w:t>
            </w:r>
          </w:p>
        </w:tc>
        <w:tc>
          <w:tcPr>
            <w:tcW w:type="pct" w:w="30%"/>
          </w:tcPr>
          <w:p>
            <w:r>
              <w:rPr>
                <w:rFonts w:ascii="Calibri" w:cs="Calibri" w:eastAsia="Calibri" w:hAnsi="Calibri"/>
                <w:b w:val="false"/>
                <w:bCs w:val="false"/>
                <w:i w:val="false"/>
                <w:iCs w:val="false"/>
                <w:strike w:val="false"/>
                <w:color w:val="000000"/>
                <w:sz w:val="20"/>
                <w:szCs w:val="20"/>
              </w:rPr>
              <w:t xml:space="preserve">enum {WHAT_IF, FORECAST, ADVERSARIAL, COUNTERFACTUAL, PLANNING}</w:t>
            </w:r>
          </w:p>
        </w:tc>
        <w:tc>
          <w:tcPr>
            <w:tcW w:type="pct" w:w="58%"/>
          </w:tcPr>
          <w:p>
            <w:r>
              <w:rPr>
                <w:rFonts w:ascii="Calibri" w:cs="Calibri" w:eastAsia="Calibri" w:hAnsi="Calibri"/>
                <w:b w:val="false"/>
                <w:bCs w:val="false"/>
                <w:i w:val="false"/>
                <w:iCs w:val="false"/>
                <w:strike w:val="false"/>
                <w:color w:val="000000"/>
                <w:sz w:val="20"/>
                <w:szCs w:val="20"/>
              </w:rPr>
              <w:t xml:space="preserve">Classification of the Scenario Graph's purpose; governs applicable construction algorithms and pruning policies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PruningThreshold</w:t>
            </w:r>
          </w:p>
        </w:tc>
        <w:tc>
          <w:tcPr>
            <w:tcW w:type="pct" w:w="30%"/>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Minimum cumulative transition probability for a branch to be retained; branches with cumulative probability below this threshold are pruned during construction (default: 0.01, i.e., 1%)</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OwnerRef</w:t>
            </w:r>
          </w:p>
        </w:tc>
        <w:tc>
          <w:tcPr>
            <w:tcW w:type="pct" w:w="30%"/>
          </w:tcPr>
          <w:p>
            <w:r>
              <w:rPr>
                <w:rFonts w:ascii="Calibri" w:cs="Calibri" w:eastAsia="Calibri" w:hAnsi="Calibri"/>
                <w:b w:val="false"/>
                <w:bCs w:val="false"/>
                <w:i w:val="false"/>
                <w:iCs w:val="false"/>
                <w:strike w:val="false"/>
                <w:color w:val="000000"/>
                <w:sz w:val="20"/>
                <w:szCs w:val="20"/>
              </w:rPr>
              <w:t xml:space="preserve">PrincipalID (UUID)</w:t>
            </w:r>
          </w:p>
        </w:tc>
        <w:tc>
          <w:tcPr>
            <w:tcW w:type="pct" w:w="58%"/>
          </w:tcPr>
          <w:p>
            <w:r>
              <w:rPr>
                <w:rFonts w:ascii="Calibri" w:cs="Calibri" w:eastAsia="Calibri" w:hAnsi="Calibri"/>
                <w:b w:val="false"/>
                <w:bCs w:val="false"/>
                <w:i w:val="false"/>
                <w:iCs w:val="false"/>
                <w:strike w:val="false"/>
                <w:color w:val="000000"/>
                <w:sz w:val="20"/>
                <w:szCs w:val="20"/>
              </w:rPr>
              <w:t xml:space="preserve">The principal that created and owns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AccessPolicy</w:t>
            </w:r>
          </w:p>
        </w:tc>
        <w:tc>
          <w:tcPr>
            <w:tcW w:type="pct" w:w="30%"/>
          </w:tcPr>
          <w:p>
            <w:r>
              <w:rPr>
                <w:rFonts w:ascii="Calibri" w:cs="Calibri" w:eastAsia="Calibri" w:hAnsi="Calibri"/>
                <w:b w:val="false"/>
                <w:bCs w:val="false"/>
                <w:i w:val="false"/>
                <w:iCs w:val="false"/>
                <w:strike w:val="false"/>
                <w:color w:val="000000"/>
                <w:sz w:val="20"/>
                <w:szCs w:val="20"/>
              </w:rPr>
              <w:t xml:space="preserve">AccessControlList</w:t>
            </w:r>
          </w:p>
        </w:tc>
        <w:tc>
          <w:tcPr>
            <w:tcW w:type="pct" w:w="58%"/>
          </w:tcPr>
          <w:p>
            <w:r>
              <w:rPr>
                <w:rFonts w:ascii="Calibri" w:cs="Calibri" w:eastAsia="Calibri" w:hAnsi="Calibri"/>
                <w:b w:val="false"/>
                <w:bCs w:val="false"/>
                <w:i w:val="false"/>
                <w:iCs w:val="false"/>
                <w:strike w:val="false"/>
                <w:color w:val="000000"/>
                <w:sz w:val="20"/>
                <w:szCs w:val="20"/>
              </w:rPr>
              <w:t xml:space="preserve">Access control governing who may view, modify, or execute this Scenario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CreationTime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at which this Scenario Graph was created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LastUpdatedTime</w:t>
            </w:r>
          </w:p>
        </w:tc>
        <w:tc>
          <w:tcPr>
            <w:tcW w:type="pct" w:w="30%"/>
          </w:tcPr>
          <w:p>
            <w:r>
              <w:rPr>
                <w:rFonts w:ascii="Calibri" w:cs="Calibri" w:eastAsia="Calibri" w:hAnsi="Calibri"/>
                <w:b w:val="false"/>
                <w:bCs w:val="false"/>
                <w:i w:val="false"/>
                <w:iCs w:val="false"/>
                <w:strike w:val="false"/>
                <w:color w:val="000000"/>
                <w:sz w:val="20"/>
                <w:szCs w:val="20"/>
              </w:rPr>
              <w:t xml:space="preserve">int64 (Unix nanoseconds UTC)</w:t>
            </w:r>
          </w:p>
        </w:tc>
        <w:tc>
          <w:tcPr>
            <w:tcW w:type="pct" w:w="58%"/>
          </w:tcPr>
          <w:p>
            <w:r>
              <w:rPr>
                <w:rFonts w:ascii="Calibri" w:cs="Calibri" w:eastAsia="Calibri" w:hAnsi="Calibri"/>
                <w:b w:val="false"/>
                <w:bCs w:val="false"/>
                <w:i w:val="false"/>
                <w:iCs w:val="false"/>
                <w:strike w:val="false"/>
                <w:color w:val="000000"/>
                <w:sz w:val="20"/>
                <w:szCs w:val="20"/>
              </w:rPr>
              <w:t xml:space="preserve">Timestamp of the most recent modification; updated by PIE when new predictions are incorporated</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Knowledge State Snapshot (KSS)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8%"/>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KSSID</w:t>
            </w:r>
          </w:p>
        </w:tc>
        <w:tc>
          <w:tcPr>
            <w:tcW w:type="pct" w:w="26%"/>
          </w:tcPr>
          <w:p>
            <w:r>
              <w:rPr>
                <w:rFonts w:ascii="Calibri" w:cs="Calibri" w:eastAsia="Calibri" w:hAnsi="Calibri"/>
                <w:b w:val="false"/>
                <w:bCs w:val="false"/>
                <w:i w:val="false"/>
                <w:iCs w:val="false"/>
                <w:strike w:val="false"/>
                <w:color w:val="000000"/>
                <w:sz w:val="20"/>
                <w:szCs w:val="20"/>
              </w:rPr>
              <w:t xml:space="preserve">UUID v7</w:t>
            </w:r>
          </w:p>
        </w:tc>
        <w:tc>
          <w:tcPr>
            <w:tcW w:type="pct" w:w="58%"/>
          </w:tcPr>
          <w:p>
            <w:r>
              <w:rPr>
                <w:rFonts w:ascii="Calibri" w:cs="Calibri" w:eastAsia="Calibri" w:hAnsi="Calibri"/>
                <w:b w:val="false"/>
                <w:bCs w:val="false"/>
                <w:i w:val="false"/>
                <w:iCs w:val="false"/>
                <w:strike w:val="false"/>
                <w:color w:val="000000"/>
                <w:sz w:val="20"/>
                <w:szCs w:val="20"/>
              </w:rPr>
              <w:t xml:space="preserve">Unique identifier for this KSS within the Scenario Graph</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BaseFUIDs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the Fact Graph that are inherited unchanged into this KSS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OverrideFacts</w:t>
            </w:r>
          </w:p>
        </w:tc>
        <w:tc>
          <w:tcPr>
            <w:tcW w:type="pct" w:w="26%"/>
          </w:tcPr>
          <w:p>
            <w:r>
              <w:rPr>
                <w:rFonts w:ascii="Calibri" w:cs="Calibri" w:eastAsia="Calibri" w:hAnsi="Calibri"/>
                <w:b w:val="false"/>
                <w:bCs w:val="false"/>
                <w:i w:val="false"/>
                <w:iCs w:val="false"/>
                <w:strike w:val="false"/>
                <w:color w:val="000000"/>
                <w:sz w:val="20"/>
                <w:szCs w:val="20"/>
              </w:rPr>
              <w:t xml:space="preserve">List of Fact Unit (inline, SYNTHETIC flag set)</w:t>
            </w:r>
          </w:p>
        </w:tc>
        <w:tc>
          <w:tcPr>
            <w:tcW w:type="pct" w:w="58%"/>
          </w:tcPr>
          <w:p>
            <w:r>
              <w:rPr>
                <w:rFonts w:ascii="Calibri" w:cs="Calibri" w:eastAsia="Calibri" w:hAnsi="Calibri"/>
                <w:b w:val="false"/>
                <w:bCs w:val="false"/>
                <w:i w:val="false"/>
                <w:iCs w:val="false"/>
                <w:strike w:val="false"/>
                <w:color w:val="000000"/>
                <w:sz w:val="20"/>
                <w:szCs w:val="20"/>
              </w:rPr>
              <w:t xml:space="preserve">Synthetic Fact Units that represent the hypothetical state changes in this KSS; may override (shadow) Fact Units in BaseFUIDs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RemovedFUIDs</w:t>
            </w:r>
          </w:p>
        </w:tc>
        <w:tc>
          <w:tcPr>
            <w:tcW w:type="pct" w:w="26%"/>
          </w:tcPr>
          <w:p>
            <w:r>
              <w:rPr>
                <w:rFonts w:ascii="Calibri" w:cs="Calibri" w:eastAsia="Calibri" w:hAnsi="Calibri"/>
                <w:b w:val="false"/>
                <w:bCs w:val="false"/>
                <w:i w:val="false"/>
                <w:iCs w:val="false"/>
                <w:strike w:val="false"/>
                <w:color w:val="000000"/>
                <w:sz w:val="20"/>
                <w:szCs w:val="20"/>
              </w:rPr>
              <w:t xml:space="preserve">List of FUID</w:t>
            </w:r>
          </w:p>
        </w:tc>
        <w:tc>
          <w:tcPr>
            <w:tcW w:type="pct" w:w="58%"/>
          </w:tcPr>
          <w:p>
            <w:r>
              <w:rPr>
                <w:rFonts w:ascii="Calibri" w:cs="Calibri" w:eastAsia="Calibri" w:hAnsi="Calibri"/>
                <w:b w:val="false"/>
                <w:bCs w:val="false"/>
                <w:i w:val="false"/>
                <w:iCs w:val="false"/>
                <w:strike w:val="false"/>
                <w:color w:val="000000"/>
                <w:sz w:val="20"/>
                <w:szCs w:val="20"/>
              </w:rPr>
              <w:t xml:space="preserve">Fact Units from BaseFUIDs that are assumed not to hold in this KSS (used for counterfactual branches)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ConsistencyStatus</w:t>
            </w:r>
          </w:p>
        </w:tc>
        <w:tc>
          <w:tcPr>
            <w:tcW w:type="pct" w:w="26%"/>
          </w:tcPr>
          <w:p>
            <w:r>
              <w:rPr>
                <w:rFonts w:ascii="Calibri" w:cs="Calibri" w:eastAsia="Calibri" w:hAnsi="Calibri"/>
                <w:b w:val="false"/>
                <w:bCs w:val="false"/>
                <w:i w:val="false"/>
                <w:iCs w:val="false"/>
                <w:strike w:val="false"/>
                <w:color w:val="000000"/>
                <w:sz w:val="20"/>
                <w:szCs w:val="20"/>
              </w:rPr>
              <w:t xml:space="preserve">enum {CONSISTENT, INCONSISTENT, UNCHECKED}</w:t>
            </w:r>
          </w:p>
        </w:tc>
        <w:tc>
          <w:tcPr>
            <w:tcW w:type="pct" w:w="58%"/>
          </w:tcPr>
          <w:p>
            <w:r>
              <w:rPr>
                <w:rFonts w:ascii="Calibri" w:cs="Calibri" w:eastAsia="Calibri" w:hAnsi="Calibri"/>
                <w:b w:val="false"/>
                <w:bCs w:val="false"/>
                <w:i w:val="false"/>
                <w:iCs w:val="false"/>
                <w:strike w:val="false"/>
                <w:color w:val="000000"/>
                <w:sz w:val="20"/>
                <w:szCs w:val="20"/>
              </w:rPr>
              <w:t xml:space="preserve">Result of CDRE consistency validation for this KSS; INCONSISTENT KSS nodes are flagged but retained for analysis</w:t>
            </w:r>
          </w:p>
        </w:tc>
      </w:tr>
      <w:tr>
        <w:trPr>
          <w:tblHeader w:val="false"/>
        </w:trPr>
        <w:tc>
          <w:tcPr>
            <w:tcW w:type="pct" w:w="16%"/>
          </w:tcPr>
          <w:p>
            <w:r>
              <w:rPr>
                <w:rFonts w:ascii="Consolas" w:cs="Consolas" w:eastAsia="Consolas" w:hAnsi="Consolas"/>
                <w:b/>
                <w:bCs/>
                <w:i w:val="false"/>
                <w:iCs w:val="false"/>
                <w:strike w:val="false"/>
                <w:color w:val="0D2A5E"/>
                <w:sz w:val="19"/>
                <w:szCs w:val="19"/>
              </w:rPr>
              <w:t xml:space="preserve">CumulativeProbability</w:t>
            </w:r>
          </w:p>
        </w:tc>
        <w:tc>
          <w:tcPr>
            <w:tcW w:type="pct" w:w="26%"/>
          </w:tcPr>
          <w:p>
            <w:r>
              <w:rPr>
                <w:rFonts w:ascii="Calibri" w:cs="Calibri" w:eastAsia="Calibri" w:hAnsi="Calibri"/>
                <w:b w:val="false"/>
                <w:bCs w:val="false"/>
                <w:i w:val="false"/>
                <w:iCs w:val="false"/>
                <w:strike w:val="false"/>
                <w:color w:val="000000"/>
                <w:sz w:val="20"/>
                <w:szCs w:val="20"/>
              </w:rPr>
              <w:t xml:space="preserve">float32</w:t>
            </w:r>
          </w:p>
        </w:tc>
        <w:tc>
          <w:tcPr>
            <w:tcW w:type="pct" w:w="58%"/>
          </w:tcPr>
          <w:p>
            <w:r>
              <w:rPr>
                <w:rFonts w:ascii="Calibri" w:cs="Calibri" w:eastAsia="Calibri" w:hAnsi="Calibri"/>
                <w:b w:val="false"/>
                <w:bCs w:val="false"/>
                <w:i w:val="false"/>
                <w:iCs w:val="false"/>
                <w:strike w:val="false"/>
                <w:color w:val="000000"/>
                <w:sz w:val="20"/>
                <w:szCs w:val="20"/>
              </w:rPr>
              <w:t xml:space="preserve">Product of all transition probabilities on the path from RootKSS to this KSS; used for pruning and result weighting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11.3 Scenario Graph Construction</w:t>
      </w:r>
    </w:p>
    <w:p>
      <w:pPr>
        <w:pStyle w:val="Heading3"/>
        <w:spacing w:after="120" w:before="240" w:line="288" w:lineRule="auto"/>
      </w:pPr>
      <w:r>
        <w:rPr>
          <w:rFonts w:ascii="Calibri" w:cs="Calibri" w:eastAsia="Calibri" w:hAnsi="Calibri"/>
          <w:color w:val="000000"/>
          <w:sz w:val="30"/>
          <w:szCs w:val="30"/>
        </w:rPr>
        <w:t xml:space="preserve">11.3.1 Automated Construction from PIE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PIE automatically constructs FORECAST and ADVERSARIAL Scenario Graphs from its prediction outputs. The construction algorithm is: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Initialize RootKSS from the current Fact Graph state (snapshot of all Active Fact Units relevant to the prediction domain)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each PREDICTION Fact Unit generated by the PIE, create a branch: one KSS where the prediction is true (OverrideFacts includes the PREDICTION content as a concrete fact), one where it is false (RemovedFUIDs includes the conditioned Fact Units, OverrideFacts includes the negation), connected to the RootKSS with probabilities equal to the prediction ConfidenceScore and (1 - ConfidenceScore) respectively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Recursively expand branches up to DepthLimit, applying PIE predictions conditioned on each branch's KSS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pruning: remove branches with CumulativeProbability below PruningThreshold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CDRE consistency validation to all leaf KSS nodes; flag INCONSISTENT nodes</w:t>
      </w:r>
    </w:p>
    <w:p>
      <w:pPr>
        <w:pStyle w:val="Heading3"/>
        <w:spacing w:after="120" w:before="240" w:line="288" w:lineRule="auto"/>
      </w:pPr>
      <w:r>
        <w:rPr>
          <w:rFonts w:ascii="Calibri" w:cs="Calibri" w:eastAsia="Calibri" w:hAnsi="Calibri"/>
          <w:color w:val="000000"/>
          <w:sz w:val="30"/>
          <w:szCs w:val="30"/>
        </w:rPr>
        <w:t xml:space="preserve">11.3.2 Human-in-the-Loop Scenario Authoring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Scenario Graph API provides an authoring interface for human experts to construct WHAT_IF, COUNTERFACTUAL, and PLANNING Scenario Graphs with precise control over branch conditions and transition probabilities. The authoring API supports: creating new KSS nodes, specifying OverrideFacts and RemovedFUIDs manually, setting transition probabilities based on expert judgment, and importing PREDICTION Fact Units as initial branches.</w:t>
      </w:r>
    </w:p>
    <w:p>
      <w:pPr>
        <w:pStyle w:val="Heading2"/>
        <w:spacing w:after="120" w:before="240" w:line="288" w:lineRule="auto"/>
      </w:pPr>
      <w:r>
        <w:rPr>
          <w:rFonts w:ascii="Calibri" w:cs="Calibri" w:eastAsia="Calibri" w:hAnsi="Calibri"/>
          <w:color w:val="000000"/>
          <w:sz w:val="36"/>
          <w:szCs w:val="36"/>
        </w:rPr>
        <w:t xml:space="preserve">11.4 Scenario Graph Execution and Query</w:t>
      </w:r>
    </w:p>
    <w:p>
      <w:pPr>
        <w:pStyle w:val="Heading3"/>
        <w:spacing w:after="120" w:before="240" w:line="288" w:lineRule="auto"/>
      </w:pPr>
      <w:r>
        <w:rPr>
          <w:rFonts w:ascii="Calibri" w:cs="Calibri" w:eastAsia="Calibri" w:hAnsi="Calibri"/>
          <w:color w:val="000000"/>
          <w:sz w:val="30"/>
          <w:szCs w:val="30"/>
        </w:rPr>
        <w:t xml:space="preserve">11.4.1 Cross-Branch Query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QB-Query's ACROSS SCENARIOS clause (Chapter 18) enables querying across all branches of a Scenario Graph simultaneously. Results are returned with a per-result CumulativeProbability weight, enabling computation of expected values, variance analysis, and identification of robust vs. contingent answers.</w:t>
      </w:r>
    </w:p>
    <w:p>
      <w:pPr>
        <w:pStyle w:val="Heading3"/>
        <w:spacing w:after="120" w:before="240" w:line="288" w:lineRule="auto"/>
      </w:pPr>
      <w:r>
        <w:rPr>
          <w:rFonts w:ascii="Calibri" w:cs="Calibri" w:eastAsia="Calibri" w:hAnsi="Calibri"/>
          <w:color w:val="000000"/>
          <w:sz w:val="30"/>
          <w:szCs w:val="30"/>
        </w:rPr>
        <w:t xml:space="preserve">11.4.2 Robust Fact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Robust Fact is a Fact Unit (or its equivalent OverrideFact) that is true in all KSS nodes of a Scenario Graph above the PruningThreshold. Robust facts are the knowledge that remains reliable regardless of which scenario branch materializes — the highest-confidence output of scenario analysis. The ACROSS SCENARIOS query engine identifies Robust Facts by computing the intersection of Fact Unit sets across all branches weighted by CumulativeProbability.</w:t>
      </w:r>
    </w:p>
    <w:p>
      <w:pPr>
        <w:pStyle w:val="Heading3"/>
        <w:spacing w:after="120" w:before="240" w:line="288" w:lineRule="auto"/>
      </w:pPr>
      <w:r>
        <w:rPr>
          <w:rFonts w:ascii="Calibri" w:cs="Calibri" w:eastAsia="Calibri" w:hAnsi="Calibri"/>
          <w:color w:val="000000"/>
          <w:sz w:val="30"/>
          <w:szCs w:val="30"/>
        </w:rPr>
        <w:t xml:space="preserve">11.4.3 Scenario Comparison (KSS Diff)</w:t>
      </w:r>
    </w:p>
    <w:p>
      <w:pPr>
        <w:spacing w:after="120" w:line="360" w:lineRule="auto"/>
      </w:pPr>
      <w:r>
        <w:rPr>
          <w:rFonts w:ascii="Calibri" w:cs="Calibri" w:eastAsia="Calibri" w:hAnsi="Calibri"/>
          <w:b w:val="false"/>
          <w:bCs w:val="false"/>
          <w:i w:val="false"/>
          <w:iCs w:val="false"/>
          <w:strike w:val="false"/>
          <w:color w:val="000000"/>
          <w:sz w:val="22"/>
          <w:szCs w:val="22"/>
        </w:rPr>
        <w:t xml:space="preserve">Given two KSSID references, the Scenario Comparison operation produces a structured diff: Fact Units present in KSS-A but not KSS-B (KSS-A unique facts), Fact Units present in KSS-B but not KSS-A (KSS-B unique facts), Fact Units present in both but with different ObjectValues (conflicting facts), and Fact Units present in both with identical content (shared facts).</w:t>
      </w:r>
    </w:p>
    <w:p>
      <w:pPr>
        <w:pStyle w:val="Heading3"/>
        <w:spacing w:after="120" w:before="240" w:line="288" w:lineRule="auto"/>
      </w:pPr>
      <w:r>
        <w:rPr>
          <w:rFonts w:ascii="Calibri" w:cs="Calibri" w:eastAsia="Calibri" w:hAnsi="Calibri"/>
          <w:color w:val="000000"/>
          <w:sz w:val="30"/>
          <w:szCs w:val="30"/>
        </w:rPr>
        <w:t xml:space="preserve">11.4.4 Scenario Merging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two branches of a Scenario Graph converge to the same KSS (i.e., different condition sequences lead to the same world state), the system detects this convergence by computing the KSS content hash and merging the two branches into a single KSS node. The merged node's CumulativeProbability is the sum of the merged branches' cumulative probabilities (probability union for independent paths to the same state).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 — NARRATIVE GRAPH SYSTEM</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 Executive Summary</w:t>
            </w:r>
            <w:r>
              <w:rPr>
                <w:rFonts w:ascii="Calibri" w:cs="Calibri" w:eastAsia="Calibri" w:hAnsi="Calibri"/>
                <w:b/>
                <w:bCs/>
                <w:i w:val="false"/>
                <w:iCs w:val="false"/>
                <w:strike w:val="false"/>
                <w:color w:val="333333"/>
                <w:sz w:val="24"/>
                <w:szCs w:val="24"/>
              </w:rPr>
              <w:t xml:space="preserve">Part XI specifies the Narrative Graph system — the directed acyclic graph representation that bridges the machine-readable Fact Graph and human-readable natural language output. The Narrative Graph organizes selected Fact Units by temporal, causal, and rhetorical relations to enable structured, coherent, grounded text generation by the Multilingual Regeneration Engine. This Part is the primary reference for patent Cluster G claims and is closely related to the MRE specification in Part XV.</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 Narrative Graph System</w:t>
      </w:r>
    </w:p>
    <w:p>
      <w:pPr>
        <w:pStyle w:val="Heading1"/>
        <w:spacing w:after="120" w:before="240" w:line="288" w:lineRule="auto"/>
      </w:pPr>
      <w:r>
        <w:rPr>
          <w:rFonts w:ascii="Calibri" w:cs="Calibri" w:eastAsia="Calibri" w:hAnsi="Calibri"/>
          <w:color w:val="000000"/>
          <w:sz w:val="48"/>
          <w:szCs w:val="48"/>
        </w:rPr>
        <w:t xml:space="preserve">Chapter 12: Narrative Graph — Complete Specification</w:t>
      </w:r>
    </w:p>
    <w:p>
      <w:pPr>
        <w:pStyle w:val="Heading2"/>
        <w:spacing w:after="120" w:before="240" w:line="288" w:lineRule="auto"/>
      </w:pPr>
      <w:r>
        <w:rPr>
          <w:rFonts w:ascii="Calibri" w:cs="Calibri" w:eastAsia="Calibri" w:hAnsi="Calibri"/>
          <w:color w:val="000000"/>
          <w:sz w:val="36"/>
          <w:szCs w:val="36"/>
        </w:rPr>
        <w:t xml:space="preserve">12.1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Narrative Graph (NG) is a directed acyclic graph (DAG) over a selected, ordered subset of Fact Units from the Fact Graph, organized by the temporal, causal, and rhetorical relations among them, for the purpose of producing human-readable knowledge output through the Multilingual Regeneration Engine. The Narrative Graph is the semantic plan for a piece of regenerated text: it determines what facts to include, in what conceptual order, with what inter-fact relations emphasized, for what audience, in what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is a first-class QueryBook system object. It can be constructed automatically by the MRE in response to a QB-Query with REGENERATE AS clause, or manually authored via the Narrative Graph API for editorial control over regenerated knowledge products (reports, summaries, explanations, briefings).</w:t>
      </w:r>
    </w:p>
    <w:p>
      <w:pPr>
        <w:pStyle w:val="Heading2"/>
        <w:spacing w:after="120" w:before="240" w:line="288" w:lineRule="auto"/>
      </w:pPr>
      <w:r>
        <w:rPr>
          <w:rFonts w:ascii="Calibri" w:cs="Calibri" w:eastAsia="Calibri" w:hAnsi="Calibri"/>
          <w:color w:val="000000"/>
          <w:sz w:val="36"/>
          <w:szCs w:val="36"/>
        </w:rPr>
        <w:t xml:space="preserve">12.2 Narrative Graph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NarrativeGraphID</w:t>
            </w:r>
          </w:p>
        </w:tc>
        <w:tc>
          <w:tcPr>
            <w:tcW w:type="pct" w:w="37%"/>
          </w:tcPr>
          <w:p>
            <w:r>
              <w:rPr>
                <w:rFonts w:ascii="Calibri" w:cs="Calibri" w:eastAsia="Calibri" w:hAnsi="Calibri"/>
                <w:b w:val="false"/>
                <w:bCs w:val="false"/>
                <w:i w:val="false"/>
                <w:iCs w:val="false"/>
                <w:strike w:val="false"/>
                <w:color w:val="000000"/>
                <w:sz w:val="20"/>
                <w:szCs w:val="20"/>
              </w:rPr>
              <w:t xml:space="preserve">UUID v7</w:t>
            </w:r>
          </w:p>
        </w:tc>
        <w:tc>
          <w:tcPr>
            <w:tcW w:type="pct" w:w="51%"/>
          </w:tcPr>
          <w:p>
            <w:r>
              <w:rPr>
                <w:rFonts w:ascii="Calibri" w:cs="Calibri" w:eastAsia="Calibri" w:hAnsi="Calibri"/>
                <w:b w:val="false"/>
                <w:bCs w:val="false"/>
                <w:i w:val="false"/>
                <w:iCs w:val="false"/>
                <w:strike w:val="false"/>
                <w:color w:val="000000"/>
                <w:sz w:val="20"/>
                <w:szCs w:val="20"/>
              </w:rPr>
              <w:t xml:space="preserve">Globally unique identifier for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Title</w:t>
            </w:r>
          </w:p>
        </w:tc>
        <w:tc>
          <w:tcPr>
            <w:tcW w:type="pct" w:w="37%"/>
          </w:tcPr>
          <w:p>
            <w:r>
              <w:rPr>
                <w:rFonts w:ascii="Calibri" w:cs="Calibri" w:eastAsia="Calibri" w:hAnsi="Calibri"/>
                <w:b w:val="false"/>
                <w:bCs w:val="false"/>
                <w:i w:val="false"/>
                <w:iCs w:val="false"/>
                <w:strike w:val="false"/>
                <w:color w:val="000000"/>
                <w:sz w:val="20"/>
                <w:szCs w:val="20"/>
              </w:rPr>
              <w:t xml:space="preserve">FUID (FactType = ASSERTION or DEFINITION)</w:t>
            </w:r>
          </w:p>
        </w:tc>
        <w:tc>
          <w:tcPr>
            <w:tcW w:type="pct" w:w="51%"/>
          </w:tcPr>
          <w:p>
            <w:r>
              <w:rPr>
                <w:rFonts w:ascii="Calibri" w:cs="Calibri" w:eastAsia="Calibri" w:hAnsi="Calibri"/>
                <w:b w:val="false"/>
                <w:bCs w:val="false"/>
                <w:i w:val="false"/>
                <w:iCs w:val="false"/>
                <w:strike w:val="false"/>
                <w:color w:val="000000"/>
                <w:sz w:val="20"/>
                <w:szCs w:val="20"/>
              </w:rPr>
              <w:t xml:space="preserve">Reference to the Fact Unit that serves as the title/topic anchor of this narrative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Summary</w:t>
            </w:r>
          </w:p>
        </w:tc>
        <w:tc>
          <w:tcPr>
            <w:tcW w:type="pct" w:w="37%"/>
          </w:tcPr>
          <w:p>
            <w:r>
              <w:rPr>
                <w:rFonts w:ascii="Calibri" w:cs="Calibri" w:eastAsia="Calibri" w:hAnsi="Calibri"/>
                <w:b w:val="false"/>
                <w:bCs w:val="false"/>
                <w:i w:val="false"/>
                <w:iCs w:val="false"/>
                <w:strike w:val="false"/>
                <w:color w:val="000000"/>
                <w:sz w:val="20"/>
                <w:szCs w:val="20"/>
              </w:rPr>
              <w:t xml:space="preserve">FUID | null</w:t>
            </w:r>
          </w:p>
        </w:tc>
        <w:tc>
          <w:tcPr>
            <w:tcW w:type="pct" w:w="51%"/>
          </w:tcPr>
          <w:p>
            <w:r>
              <w:rPr>
                <w:rFonts w:ascii="Calibri" w:cs="Calibri" w:eastAsia="Calibri" w:hAnsi="Calibri"/>
                <w:b w:val="false"/>
                <w:bCs w:val="false"/>
                <w:i w:val="false"/>
                <w:iCs w:val="false"/>
                <w:strike w:val="false"/>
                <w:color w:val="000000"/>
                <w:sz w:val="20"/>
                <w:szCs w:val="20"/>
              </w:rPr>
              <w:t xml:space="preserve">Optional reference to a Fact Unit that summarizes the entire narrative; placed first in linearization if present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NodeSet</w:t>
            </w:r>
          </w:p>
        </w:tc>
        <w:tc>
          <w:tcPr>
            <w:tcW w:type="pct" w:w="37%"/>
          </w:tcPr>
          <w:p>
            <w:r>
              <w:rPr>
                <w:rFonts w:ascii="Calibri" w:cs="Calibri" w:eastAsia="Calibri" w:hAnsi="Calibri"/>
                <w:b w:val="false"/>
                <w:bCs w:val="false"/>
                <w:i w:val="false"/>
                <w:iCs w:val="false"/>
                <w:strike w:val="false"/>
                <w:color w:val="000000"/>
                <w:sz w:val="20"/>
                <w:szCs w:val="20"/>
              </w:rPr>
              <w:t xml:space="preserve">Ordered Set of FUID</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Fact Units included in this Narrative Graph, in the initial proposed reading order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EdgeSet</w:t>
            </w:r>
          </w:p>
        </w:tc>
        <w:tc>
          <w:tcPr>
            <w:tcW w:type="pct" w:w="37%"/>
          </w:tcPr>
          <w:p>
            <w:r>
              <w:rPr>
                <w:rFonts w:ascii="Calibri" w:cs="Calibri" w:eastAsia="Calibri" w:hAnsi="Calibri"/>
                <w:b w:val="false"/>
                <w:bCs w:val="false"/>
                <w:i w:val="false"/>
                <w:iCs w:val="false"/>
                <w:strike w:val="false"/>
                <w:color w:val="000000"/>
                <w:sz w:val="20"/>
                <w:szCs w:val="20"/>
              </w:rPr>
              <w:t xml:space="preserve">Set of NarrativeEdge {SourceFUID, EdgeType, TargetFUID, Weight: float32}</w:t>
            </w:r>
          </w:p>
        </w:tc>
        <w:tc>
          <w:tcPr>
            <w:tcW w:type="pct" w:w="51%"/>
          </w:tcPr>
          <w:p>
            <w:r>
              <w:rPr>
                <w:rFonts w:ascii="Calibri" w:cs="Calibri" w:eastAsia="Calibri" w:hAnsi="Calibri"/>
                <w:b w:val="false"/>
                <w:bCs w:val="false"/>
                <w:i w:val="false"/>
                <w:iCs w:val="false"/>
                <w:strike w:val="false"/>
                <w:color w:val="000000"/>
                <w:sz w:val="20"/>
                <w:szCs w:val="20"/>
              </w:rPr>
              <w:t xml:space="preserve">The set of narrative relation edges between Fact Unit nodes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EdgeTypes</w:t>
            </w:r>
          </w:p>
        </w:tc>
        <w:tc>
          <w:tcPr>
            <w:tcW w:type="pct" w:w="37%"/>
          </w:tcPr>
          <w:p>
            <w:r>
              <w:rPr>
                <w:rFonts w:ascii="Calibri" w:cs="Calibri" w:eastAsia="Calibri" w:hAnsi="Calibri"/>
                <w:b w:val="false"/>
                <w:bCs w:val="false"/>
                <w:i w:val="false"/>
                <w:iCs w:val="false"/>
                <w:strike w:val="false"/>
                <w:color w:val="000000"/>
                <w:sz w:val="20"/>
                <w:szCs w:val="20"/>
              </w:rPr>
              <w:t xml:space="preserve">Enum set (see below)</w:t>
            </w:r>
          </w:p>
        </w:tc>
        <w:tc>
          <w:tcPr>
            <w:tcW w:type="pct" w:w="51%"/>
          </w:tcPr>
          <w:p>
            <w:r>
              <w:rPr>
                <w:rFonts w:ascii="Calibri" w:cs="Calibri" w:eastAsia="Calibri" w:hAnsi="Calibri"/>
                <w:b w:val="false"/>
                <w:bCs w:val="false"/>
                <w:i w:val="false"/>
                <w:iCs w:val="false"/>
                <w:strike w:val="false"/>
                <w:color w:val="000000"/>
                <w:sz w:val="20"/>
                <w:szCs w:val="20"/>
              </w:rPr>
              <w:t xml:space="preserve">The complete set of valid narrative edge types used in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ReadingOrder</w:t>
            </w:r>
          </w:p>
        </w:tc>
        <w:tc>
          <w:tcPr>
            <w:tcW w:type="pct" w:w="37%"/>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51%"/>
          </w:tcPr>
          <w:p>
            <w:r>
              <w:rPr>
                <w:rFonts w:ascii="Calibri" w:cs="Calibri" w:eastAsia="Calibri" w:hAnsi="Calibri"/>
                <w:b w:val="false"/>
                <w:bCs w:val="false"/>
                <w:i w:val="false"/>
                <w:iCs w:val="false"/>
                <w:strike w:val="false"/>
                <w:color w:val="000000"/>
                <w:sz w:val="20"/>
                <w:szCs w:val="20"/>
              </w:rPr>
              <w:t xml:space="preserve">The finalized topological sort of the DAG representing the canonical reading order; computed by the linearization algorithm</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IntendedAudience</w:t>
            </w:r>
          </w:p>
        </w:tc>
        <w:tc>
          <w:tcPr>
            <w:tcW w:type="pct" w:w="37%"/>
          </w:tcPr>
          <w:p>
            <w:r>
              <w:rPr>
                <w:rFonts w:ascii="Calibri" w:cs="Calibri" w:eastAsia="Calibri" w:hAnsi="Calibri"/>
                <w:b w:val="false"/>
                <w:bCs w:val="false"/>
                <w:i w:val="false"/>
                <w:iCs w:val="false"/>
                <w:strike w:val="false"/>
                <w:color w:val="000000"/>
                <w:sz w:val="20"/>
                <w:szCs w:val="20"/>
              </w:rPr>
              <w:t xml:space="preserve">AudienceModelRef (UUID → Audience Model Registry)</w:t>
            </w:r>
          </w:p>
        </w:tc>
        <w:tc>
          <w:tcPr>
            <w:tcW w:type="pct" w:w="51%"/>
          </w:tcPr>
          <w:p>
            <w:r>
              <w:rPr>
                <w:rFonts w:ascii="Calibri" w:cs="Calibri" w:eastAsia="Calibri" w:hAnsi="Calibri"/>
                <w:b w:val="false"/>
                <w:bCs w:val="false"/>
                <w:i w:val="false"/>
                <w:iCs w:val="false"/>
                <w:strike w:val="false"/>
                <w:color w:val="000000"/>
                <w:sz w:val="20"/>
                <w:szCs w:val="20"/>
              </w:rPr>
              <w:t xml:space="preserve">Reference to an audience model specifying vocabulary level, domain expertise, detail level, and accessible concept set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OutputLanguage</w:t>
            </w:r>
          </w:p>
        </w:tc>
        <w:tc>
          <w:tcPr>
            <w:tcW w:type="pct" w:w="37%"/>
          </w:tcPr>
          <w:p>
            <w:r>
              <w:rPr>
                <w:rFonts w:ascii="Calibri" w:cs="Calibri" w:eastAsia="Calibri" w:hAnsi="Calibri"/>
                <w:b w:val="false"/>
                <w:bCs w:val="false"/>
                <w:i w:val="false"/>
                <w:iCs w:val="false"/>
                <w:strike w:val="false"/>
                <w:color w:val="000000"/>
                <w:sz w:val="20"/>
                <w:szCs w:val="20"/>
              </w:rPr>
              <w:t xml:space="preserve">BCP-47 language tag</w:t>
            </w:r>
          </w:p>
        </w:tc>
        <w:tc>
          <w:tcPr>
            <w:tcW w:type="pct" w:w="51%"/>
          </w:tcPr>
          <w:p>
            <w:r>
              <w:rPr>
                <w:rFonts w:ascii="Calibri" w:cs="Calibri" w:eastAsia="Calibri" w:hAnsi="Calibri"/>
                <w:b w:val="false"/>
                <w:bCs w:val="false"/>
                <w:i w:val="false"/>
                <w:iCs w:val="false"/>
                <w:strike w:val="false"/>
                <w:color w:val="000000"/>
                <w:sz w:val="20"/>
                <w:szCs w:val="20"/>
              </w:rPr>
              <w:t xml:space="preserve">The target language for MRE regeneration from this Narrative Graph</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NarrativeStyle</w:t>
            </w:r>
          </w:p>
        </w:tc>
        <w:tc>
          <w:tcPr>
            <w:tcW w:type="pct" w:w="37%"/>
          </w:tcPr>
          <w:p>
            <w:r>
              <w:rPr>
                <w:rFonts w:ascii="Calibri" w:cs="Calibri" w:eastAsia="Calibri" w:hAnsi="Calibri"/>
                <w:b w:val="false"/>
                <w:bCs w:val="false"/>
                <w:i w:val="false"/>
                <w:iCs w:val="false"/>
                <w:strike w:val="false"/>
                <w:color w:val="000000"/>
                <w:sz w:val="20"/>
                <w:szCs w:val="20"/>
              </w:rPr>
              <w:t xml:space="preserve">enum {EXPOSITORY, ARGUMENTATIVE, DESCRIPTIVE, ANALYTICAL, INSTRUCTIONAL, CONVERSATIONAL, EXECUTIVE_SUMMARY}</w:t>
            </w:r>
          </w:p>
        </w:tc>
        <w:tc>
          <w:tcPr>
            <w:tcW w:type="pct" w:w="51%"/>
          </w:tcPr>
          <w:p>
            <w:r>
              <w:rPr>
                <w:rFonts w:ascii="Calibri" w:cs="Calibri" w:eastAsia="Calibri" w:hAnsi="Calibri"/>
                <w:b w:val="false"/>
                <w:bCs w:val="false"/>
                <w:i w:val="false"/>
                <w:iCs w:val="false"/>
                <w:strike w:val="false"/>
                <w:color w:val="000000"/>
                <w:sz w:val="20"/>
                <w:szCs w:val="20"/>
              </w:rPr>
              <w:t xml:space="preserve">The rhetorical mode governing sentence structure, connective vocabulary, and discourse organization in the regenerated output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CoherenceScore</w:t>
            </w:r>
          </w:p>
        </w:tc>
        <w:tc>
          <w:tcPr>
            <w:tcW w:type="pct" w:w="37%"/>
          </w:tcPr>
          <w:p>
            <w:r>
              <w:rPr>
                <w:rFonts w:ascii="Calibri" w:cs="Calibri" w:eastAsia="Calibri" w:hAnsi="Calibri"/>
                <w:b w:val="false"/>
                <w:bCs w:val="false"/>
                <w:i w:val="false"/>
                <w:iCs w:val="false"/>
                <w:strike w:val="false"/>
                <w:color w:val="000000"/>
                <w:sz w:val="20"/>
                <w:szCs w:val="20"/>
              </w:rPr>
              <w:t xml:space="preserve">float32 | null</w:t>
            </w:r>
          </w:p>
        </w:tc>
        <w:tc>
          <w:tcPr>
            <w:tcW w:type="pct" w:w="51%"/>
          </w:tcPr>
          <w:p>
            <w:r>
              <w:rPr>
                <w:rFonts w:ascii="Calibri" w:cs="Calibri" w:eastAsia="Calibri" w:hAnsi="Calibri"/>
                <w:b w:val="false"/>
                <w:bCs w:val="false"/>
                <w:i w:val="false"/>
                <w:iCs w:val="false"/>
                <w:strike w:val="false"/>
                <w:color w:val="000000"/>
                <w:sz w:val="20"/>
                <w:szCs w:val="20"/>
              </w:rPr>
              <w:t xml:space="preserve">Computed by the MRE after linearization: a score in [0.0, 1.0] measuring narrative flow, topic continuity, and causal completeness; null if not yet computed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MaxOutputTokens</w:t>
            </w:r>
          </w:p>
        </w:tc>
        <w:tc>
          <w:tcPr>
            <w:tcW w:type="pct" w:w="37%"/>
          </w:tcPr>
          <w:p>
            <w:r>
              <w:rPr>
                <w:rFonts w:ascii="Calibri" w:cs="Calibri" w:eastAsia="Calibri" w:hAnsi="Calibri"/>
                <w:b w:val="false"/>
                <w:bCs w:val="false"/>
                <w:i w:val="false"/>
                <w:iCs w:val="false"/>
                <w:strike w:val="false"/>
                <w:color w:val="000000"/>
                <w:sz w:val="20"/>
                <w:szCs w:val="20"/>
              </w:rPr>
              <w:t xml:space="preserve">uint32 | null</w:t>
            </w:r>
          </w:p>
        </w:tc>
        <w:tc>
          <w:tcPr>
            <w:tcW w:type="pct" w:w="51%"/>
          </w:tcPr>
          <w:p>
            <w:r>
              <w:rPr>
                <w:rFonts w:ascii="Calibri" w:cs="Calibri" w:eastAsia="Calibri" w:hAnsi="Calibri"/>
                <w:b w:val="false"/>
                <w:bCs w:val="false"/>
                <w:i w:val="false"/>
                <w:iCs w:val="false"/>
                <w:strike w:val="false"/>
                <w:color w:val="000000"/>
                <w:sz w:val="20"/>
                <w:szCs w:val="20"/>
              </w:rPr>
              <w:t xml:space="preserve">Optional constraint on the maximum length of the regenerated output; MRE selects the most important Fact Units to fit within the constraint</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Narrative Edge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Edge Type</w:t>
            </w:r>
          </w:p>
        </w:tc>
        <w:tc>
          <w:tcPr>
            <w:tcW w:type="pct" w:w="51%"/>
            <w:shd w:fill="DCE6F0" w:color="auto" w:val="clear"/>
          </w:tcPr>
          <w:p>
            <w:r>
              <w:rPr>
                <w:rFonts w:ascii="Calibri" w:cs="Calibri" w:eastAsia="Calibri" w:hAnsi="Calibri"/>
                <w:b/>
                <w:bCs/>
                <w:i w:val="false"/>
                <w:iCs w:val="false"/>
                <w:strike w:val="false"/>
                <w:color w:val="0D2A5E"/>
                <w:sz w:val="20"/>
                <w:szCs w:val="20"/>
              </w:rPr>
              <w:t xml:space="preserve">Semantics</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Example Usage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TEMPORAL_FOLLOWS</w:t>
            </w:r>
          </w:p>
        </w:tc>
        <w:tc>
          <w:tcPr>
            <w:tcW w:type="pct" w:w="51%"/>
          </w:tcPr>
          <w:p>
            <w:r>
              <w:rPr>
                <w:rFonts w:ascii="Calibri" w:cs="Calibri" w:eastAsia="Calibri" w:hAnsi="Calibri"/>
                <w:b w:val="false"/>
                <w:bCs w:val="false"/>
                <w:i w:val="false"/>
                <w:iCs w:val="false"/>
                <w:strike w:val="false"/>
                <w:color w:val="000000"/>
                <w:sz w:val="20"/>
                <w:szCs w:val="20"/>
              </w:rPr>
              <w:t xml:space="preserve">TargetFUID describes an event or state that temporally follows SourceFUID</w:t>
            </w:r>
          </w:p>
        </w:tc>
        <w:tc>
          <w:tcPr>
            <w:tcW w:type="pct" w:w="33%"/>
          </w:tcPr>
          <w:p>
            <w:r>
              <w:rPr>
                <w:rFonts w:ascii="Calibri" w:cs="Calibri" w:eastAsia="Calibri" w:hAnsi="Calibri"/>
                <w:b w:val="false"/>
                <w:bCs w:val="false"/>
                <w:i w:val="false"/>
                <w:iCs w:val="false"/>
                <w:strike w:val="false"/>
                <w:color w:val="000000"/>
                <w:sz w:val="20"/>
                <w:szCs w:val="20"/>
              </w:rPr>
              <w:t xml:space="preserve">"First X happened, then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CAUSES</w:t>
            </w:r>
          </w:p>
        </w:tc>
        <w:tc>
          <w:tcPr>
            <w:tcW w:type="pct" w:w="51%"/>
          </w:tcPr>
          <w:p>
            <w:r>
              <w:rPr>
                <w:rFonts w:ascii="Calibri" w:cs="Calibri" w:eastAsia="Calibri" w:hAnsi="Calibri"/>
                <w:b w:val="false"/>
                <w:bCs w:val="false"/>
                <w:i w:val="false"/>
                <w:iCs w:val="false"/>
                <w:strike w:val="false"/>
                <w:color w:val="000000"/>
                <w:sz w:val="20"/>
                <w:szCs w:val="20"/>
              </w:rPr>
              <w:t xml:space="preserve">SourceFUID describes a causal factor for the state/event in TargetFUID</w:t>
            </w:r>
          </w:p>
        </w:tc>
        <w:tc>
          <w:tcPr>
            <w:tcW w:type="pct" w:w="33%"/>
          </w:tcPr>
          <w:p>
            <w:r>
              <w:rPr>
                <w:rFonts w:ascii="Calibri" w:cs="Calibri" w:eastAsia="Calibri" w:hAnsi="Calibri"/>
                <w:b w:val="false"/>
                <w:bCs w:val="false"/>
                <w:i w:val="false"/>
                <w:iCs w:val="false"/>
                <w:strike w:val="false"/>
                <w:color w:val="000000"/>
                <w:sz w:val="20"/>
                <w:szCs w:val="20"/>
              </w:rPr>
              <w:t xml:space="preserve">"X caused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CONTRASTS_WITH</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contrast or counterpoint to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contrasts with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ELABORATES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additional detail or elaboration on SourceFUID</w:t>
            </w:r>
          </w:p>
        </w:tc>
        <w:tc>
          <w:tcPr>
            <w:tcW w:type="pct" w:w="33%"/>
          </w:tcPr>
          <w:p>
            <w:r>
              <w:rPr>
                <w:rFonts w:ascii="Calibri" w:cs="Calibri" w:eastAsia="Calibri" w:hAnsi="Calibri"/>
                <w:b w:val="false"/>
                <w:bCs w:val="false"/>
                <w:i w:val="false"/>
                <w:iCs w:val="false"/>
                <w:strike w:val="false"/>
                <w:color w:val="000000"/>
                <w:sz w:val="20"/>
                <w:szCs w:val="20"/>
              </w:rPr>
              <w:t xml:space="preserve">"More specifically, Y elaborates on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EXEMPLIFIES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a concrete example of the general statement in SourceFUID</w:t>
            </w:r>
          </w:p>
        </w:tc>
        <w:tc>
          <w:tcPr>
            <w:tcW w:type="pct" w:w="33%"/>
          </w:tcPr>
          <w:p>
            <w:r>
              <w:rPr>
                <w:rFonts w:ascii="Calibri" w:cs="Calibri" w:eastAsia="Calibri" w:hAnsi="Calibri"/>
                <w:b w:val="false"/>
                <w:bCs w:val="false"/>
                <w:i w:val="false"/>
                <w:iCs w:val="false"/>
                <w:strike w:val="false"/>
                <w:color w:val="000000"/>
                <w:sz w:val="20"/>
                <w:szCs w:val="20"/>
              </w:rPr>
              <w:t xml:space="preserve">"For example, Y illustrates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SUMMARIZES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higher-level summary or abstraction of SourceFUID content</w:t>
            </w:r>
          </w:p>
        </w:tc>
        <w:tc>
          <w:tcPr>
            <w:tcW w:type="pct" w:w="33%"/>
          </w:tcPr>
          <w:p>
            <w:r>
              <w:rPr>
                <w:rFonts w:ascii="Calibri" w:cs="Calibri" w:eastAsia="Calibri" w:hAnsi="Calibri"/>
                <w:b w:val="false"/>
                <w:bCs w:val="false"/>
                <w:i w:val="false"/>
                <w:iCs w:val="false"/>
                <w:strike w:val="false"/>
                <w:color w:val="000000"/>
                <w:sz w:val="20"/>
                <w:szCs w:val="20"/>
              </w:rPr>
              <w:t xml:space="preserve">"In summary, Y captures X"</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QUOTES</w:t>
            </w:r>
          </w:p>
        </w:tc>
        <w:tc>
          <w:tcPr>
            <w:tcW w:type="pct" w:w="51%"/>
          </w:tcPr>
          <w:p>
            <w:r>
              <w:rPr>
                <w:rFonts w:ascii="Calibri" w:cs="Calibri" w:eastAsia="Calibri" w:hAnsi="Calibri"/>
                <w:b w:val="false"/>
                <w:bCs w:val="false"/>
                <w:i w:val="false"/>
                <w:iCs w:val="false"/>
                <w:strike w:val="false"/>
                <w:color w:val="000000"/>
                <w:sz w:val="20"/>
                <w:szCs w:val="20"/>
              </w:rPr>
              <w:t xml:space="preserve">TargetFUID is a direct quotation from the source or agent that produced SourceFUID</w:t>
            </w:r>
          </w:p>
        </w:tc>
        <w:tc>
          <w:tcPr>
            <w:tcW w:type="pct" w:w="33%"/>
          </w:tcPr>
          <w:p>
            <w:r>
              <w:rPr>
                <w:rFonts w:ascii="Calibri" w:cs="Calibri" w:eastAsia="Calibri" w:hAnsi="Calibri"/>
                <w:b w:val="false"/>
                <w:bCs w:val="false"/>
                <w:i w:val="false"/>
                <w:iCs w:val="false"/>
                <w:strike w:val="false"/>
                <w:color w:val="000000"/>
                <w:sz w:val="20"/>
                <w:szCs w:val="20"/>
              </w:rPr>
              <w:t xml:space="preserve">Direct attribution in text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SUPPORTS</w:t>
            </w:r>
          </w:p>
        </w:tc>
        <w:tc>
          <w:tcPr>
            <w:tcW w:type="pct" w:w="51%"/>
          </w:tcPr>
          <w:p>
            <w:r>
              <w:rPr>
                <w:rFonts w:ascii="Calibri" w:cs="Calibri" w:eastAsia="Calibri" w:hAnsi="Calibri"/>
                <w:b w:val="false"/>
                <w:bCs w:val="false"/>
                <w:i w:val="false"/>
                <w:iCs w:val="false"/>
                <w:strike w:val="false"/>
                <w:color w:val="000000"/>
                <w:sz w:val="20"/>
                <w:szCs w:val="20"/>
              </w:rPr>
              <w:t xml:space="preserve">TargetFUID provides supporting evidence for the claim in SourceFUID</w:t>
            </w:r>
          </w:p>
        </w:tc>
        <w:tc>
          <w:tcPr>
            <w:tcW w:type="pct" w:w="33%"/>
          </w:tcPr>
          <w:p>
            <w:r>
              <w:rPr>
                <w:rFonts w:ascii="Calibri" w:cs="Calibri" w:eastAsia="Calibri" w:hAnsi="Calibri"/>
                <w:b w:val="false"/>
                <w:bCs w:val="false"/>
                <w:i w:val="false"/>
                <w:iCs w:val="false"/>
                <w:strike w:val="false"/>
                <w:color w:val="000000"/>
                <w:sz w:val="20"/>
                <w:szCs w:val="20"/>
              </w:rPr>
              <w:t xml:space="preserve">"This is supported by Y"</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QUALIFIES</w:t>
            </w:r>
          </w:p>
        </w:tc>
        <w:tc>
          <w:tcPr>
            <w:tcW w:type="pct" w:w="51%"/>
          </w:tcPr>
          <w:p>
            <w:r>
              <w:rPr>
                <w:rFonts w:ascii="Calibri" w:cs="Calibri" w:eastAsia="Calibri" w:hAnsi="Calibri"/>
                <w:b w:val="false"/>
                <w:bCs w:val="false"/>
                <w:i w:val="false"/>
                <w:iCs w:val="false"/>
                <w:strike w:val="false"/>
                <w:color w:val="000000"/>
                <w:sz w:val="20"/>
                <w:szCs w:val="20"/>
              </w:rPr>
              <w:t xml:space="preserve">TargetFUID introduces a qualification, exception, or boundary condition for SourceFUID</w:t>
            </w:r>
          </w:p>
        </w:tc>
        <w:tc>
          <w:tcPr>
            <w:tcW w:type="pct" w:w="33%"/>
          </w:tcPr>
          <w:p>
            <w:r>
              <w:rPr>
                <w:rFonts w:ascii="Calibri" w:cs="Calibri" w:eastAsia="Calibri" w:hAnsi="Calibri"/>
                <w:b w:val="false"/>
                <w:bCs w:val="false"/>
                <w:i w:val="false"/>
                <w:iCs w:val="false"/>
                <w:strike w:val="false"/>
                <w:color w:val="000000"/>
                <w:sz w:val="20"/>
                <w:szCs w:val="20"/>
              </w:rPr>
              <w:t xml:space="preserve">"However, Y qualifies X under certain conditions"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12.3 Narrative Graph Construction</w:t>
      </w:r>
    </w:p>
    <w:p>
      <w:pPr>
        <w:pStyle w:val="Heading3"/>
        <w:spacing w:after="120" w:before="240" w:line="288" w:lineRule="auto"/>
      </w:pPr>
      <w:r>
        <w:rPr>
          <w:rFonts w:ascii="Calibri" w:cs="Calibri" w:eastAsia="Calibri" w:hAnsi="Calibri"/>
          <w:color w:val="000000"/>
          <w:sz w:val="30"/>
          <w:szCs w:val="30"/>
        </w:rPr>
        <w:t xml:space="preserve">12.3.1 Automatic Construction by the MRE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the MRE receives a query result set (ranked list of Fact Units) and a REGENERATE AS specification, it automatically constructs a Narrative Graph through the following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Topic anchoring:</w:t>
      </w:r>
      <w:r>
        <w:rPr>
          <w:rFonts w:ascii="Calibri" w:cs="Calibri" w:eastAsia="Calibri" w:hAnsi="Calibri"/>
          <w:b w:val="false"/>
          <w:bCs w:val="false"/>
          <w:i w:val="false"/>
          <w:iCs w:val="false"/>
          <w:strike w:val="false"/>
          <w:color w:val="000000"/>
          <w:sz w:val="22"/>
          <w:szCs w:val="22"/>
        </w:rPr>
        <w:t xml:space="preserve"> Identify the highest-confidence, most query-relevant Fact Unit as the Title anchor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Edge inference:</w:t>
      </w:r>
      <w:r>
        <w:rPr>
          <w:rFonts w:ascii="Calibri" w:cs="Calibri" w:eastAsia="Calibri" w:hAnsi="Calibri"/>
          <w:b w:val="false"/>
          <w:bCs w:val="false"/>
          <w:i w:val="false"/>
          <w:iCs w:val="false"/>
          <w:strike w:val="false"/>
          <w:color w:val="000000"/>
          <w:sz w:val="22"/>
          <w:szCs w:val="22"/>
        </w:rPr>
        <w:t xml:space="preserve"> For each pair of Fact Units in the result set, examine their RelationSet edges in the Fact Graph to determine applicable Narrative Edge Types (CAUSAL_RELATION edges map to CAUSES; temporal ordering from TemporalAnchors maps to TEMPORAL_FOLLOWS; SUPPORTS_CLAIM edges map to SUPPORTS, etc.)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DAG construction:</w:t>
      </w:r>
      <w:r>
        <w:rPr>
          <w:rFonts w:ascii="Calibri" w:cs="Calibri" w:eastAsia="Calibri" w:hAnsi="Calibri"/>
          <w:b w:val="false"/>
          <w:bCs w:val="false"/>
          <w:i w:val="false"/>
          <w:iCs w:val="false"/>
          <w:strike w:val="false"/>
          <w:color w:val="000000"/>
          <w:sz w:val="22"/>
          <w:szCs w:val="22"/>
        </w:rPr>
        <w:t xml:space="preserve"> Build the DAG from inferred edges; if cycles would be introduced (e.g., circular causal claims), break cycles by selecting the edge with the lowest relation weight for removal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Gap detection:</w:t>
      </w:r>
      <w:r>
        <w:rPr>
          <w:rFonts w:ascii="Calibri" w:cs="Calibri" w:eastAsia="Calibri" w:hAnsi="Calibri"/>
          <w:b w:val="false"/>
          <w:bCs w:val="false"/>
          <w:i w:val="false"/>
          <w:iCs w:val="false"/>
          <w:strike w:val="false"/>
          <w:color w:val="000000"/>
          <w:sz w:val="22"/>
          <w:szCs w:val="22"/>
        </w:rPr>
        <w:t xml:space="preserve"> Identify missing causal links (a CAUSES chain with intermediate steps not in the result set) and missing temporal context (temporal jumps exceeding the audience model's expected context window); flag gaps for potential gap-filling or explicit acknowledgment in the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Coherence scoring:</w:t>
      </w:r>
      <w:r>
        <w:rPr>
          <w:rFonts w:ascii="Calibri" w:cs="Calibri" w:eastAsia="Calibri" w:hAnsi="Calibri"/>
          <w:b w:val="false"/>
          <w:bCs w:val="false"/>
          <w:i w:val="false"/>
          <w:iCs w:val="false"/>
          <w:strike w:val="false"/>
          <w:color w:val="000000"/>
          <w:sz w:val="22"/>
          <w:szCs w:val="22"/>
        </w:rPr>
        <w:t xml:space="preserve"> Compute CoherenceScore as a weighted combination of: topic continuity score (fraction of adjacent Fact Units in ReadingOrder that share at least one entity reference), causal completeness score (fraction of CAUSES edges with complete intermediate chains), and audience compatibility score (fraction of Fact Units within the audience model's expertise level)</w:t>
      </w:r>
    </w:p>
    <w:p>
      <w:pPr>
        <w:pStyle w:val="Heading3"/>
        <w:spacing w:after="120" w:before="240" w:line="288" w:lineRule="auto"/>
      </w:pPr>
      <w:r>
        <w:rPr>
          <w:rFonts w:ascii="Calibri" w:cs="Calibri" w:eastAsia="Calibri" w:hAnsi="Calibri"/>
          <w:color w:val="000000"/>
          <w:sz w:val="30"/>
          <w:szCs w:val="30"/>
        </w:rPr>
        <w:t xml:space="preserve">12.3.2 Manual Curation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Narrative Graph API provides operations for editorial control: add/remove NodeSet members, add/remove/modify EdgeSet entries, override ReadingOrder, set NarrativeStyle, constrain MaxOutputTokens. All manual curation operations are versioned and logged in the Provenance Ledger under the Narrative Graph's ProvRef.</w:t>
      </w:r>
    </w:p>
    <w:p>
      <w:pPr>
        <w:pStyle w:val="Heading2"/>
        <w:spacing w:after="120" w:before="240" w:line="288" w:lineRule="auto"/>
      </w:pPr>
      <w:r>
        <w:rPr>
          <w:rFonts w:ascii="Calibri" w:cs="Calibri" w:eastAsia="Calibri" w:hAnsi="Calibri"/>
          <w:color w:val="000000"/>
          <w:sz w:val="36"/>
          <w:szCs w:val="36"/>
        </w:rPr>
        <w:t xml:space="preserve">12.4 Narrative Graph Execution</w:t>
      </w:r>
    </w:p>
    <w:p>
      <w:pPr>
        <w:pStyle w:val="Heading3"/>
        <w:spacing w:after="120" w:before="240" w:line="288" w:lineRule="auto"/>
      </w:pPr>
      <w:r>
        <w:rPr>
          <w:rFonts w:ascii="Calibri" w:cs="Calibri" w:eastAsia="Calibri" w:hAnsi="Calibri"/>
          <w:color w:val="000000"/>
          <w:sz w:val="30"/>
          <w:szCs w:val="30"/>
        </w:rPr>
        <w:t xml:space="preserve">12.4.1 Linearization Algorithm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linearization algorithm converts the Narrative Graph DAG into a linear ReadingOrder using a modified Kahn's topological sort with the following priority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Nodes with SUMMARIZES edges pointing to them from later nodes are promoted to the front (executive summary first)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Among nodes with equal topological depth, prefer nodes with higher CoherenceScore contribution (nodes that maximize topic continuity with the previously emitted node)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TEMPORAL_FOLLOWS edges enforce a hard ordering constraint: the SourceFUID must appear before the TargetFUID in the ReadingOrder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CONTRASTS_WITH edges create soft adjacency preferences: contrasting Fact Units are placed consecutively for rhetorical effect</w:t>
      </w:r>
    </w:p>
    <w:p>
      <w:pPr>
        <w:pStyle w:val="Heading3"/>
        <w:spacing w:after="120" w:before="240" w:line="288" w:lineRule="auto"/>
      </w:pPr>
      <w:r>
        <w:rPr>
          <w:rFonts w:ascii="Calibri" w:cs="Calibri" w:eastAsia="Calibri" w:hAnsi="Calibri"/>
          <w:color w:val="000000"/>
          <w:sz w:val="30"/>
          <w:szCs w:val="30"/>
        </w:rPr>
        <w:t xml:space="preserve">12.4.2 Gap Detection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linearization, the MRE analyzes the ReadingOrder for the following gap types: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 gap:</w:t>
      </w:r>
      <w:r>
        <w:rPr>
          <w:rFonts w:ascii="Calibri" w:cs="Calibri" w:eastAsia="Calibri" w:hAnsi="Calibri"/>
          <w:b w:val="false"/>
          <w:bCs w:val="false"/>
          <w:i w:val="false"/>
          <w:iCs w:val="false"/>
          <w:strike w:val="false"/>
          <w:color w:val="000000"/>
          <w:sz w:val="22"/>
          <w:szCs w:val="22"/>
        </w:rPr>
        <w:t xml:space="preserve"> Adjacent Fact Units in ReadingOrder whose TemporalAnchors are separated by more than the audience model's expected narrative time grain (e.g., jumping from 1850 to 1950 without acknowledging the 100-year gap)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Causal gap:</w:t>
      </w:r>
      <w:r>
        <w:rPr>
          <w:rFonts w:ascii="Calibri" w:cs="Calibri" w:eastAsia="Calibri" w:hAnsi="Calibri"/>
          <w:b w:val="false"/>
          <w:bCs w:val="false"/>
          <w:i w:val="false"/>
          <w:iCs w:val="false"/>
          <w:strike w:val="false"/>
          <w:color w:val="000000"/>
          <w:sz w:val="22"/>
          <w:szCs w:val="22"/>
        </w:rPr>
        <w:t xml:space="preserve"> A CAUSES chain where the intermediate steps are not in the NodeSet, leaving the reader with an unexplained causal jump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Entity introduction gap:</w:t>
      </w:r>
      <w:r>
        <w:rPr>
          <w:rFonts w:ascii="Calibri" w:cs="Calibri" w:eastAsia="Calibri" w:hAnsi="Calibri"/>
          <w:b w:val="false"/>
          <w:bCs w:val="false"/>
          <w:i w:val="false"/>
          <w:iCs w:val="false"/>
          <w:strike w:val="false"/>
          <w:color w:val="000000"/>
          <w:sz w:val="22"/>
          <w:szCs w:val="22"/>
        </w:rPr>
        <w:t xml:space="preserve"> A Fact Unit references an entity that has not been introduced in any prior NodeSet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Detected gaps are either (a) automatically filled by querying the Fact Graph for gap-filling Fact Units that bridge the gap with high confidence, (b) explicitly acknowledged in the generated text with phrases indicating the gap ("</w:t>
      </w:r>
      <w:r>
        <w:rPr>
          <w:rFonts w:ascii="Calibri" w:cs="Calibri" w:eastAsia="Calibri" w:hAnsi="Calibri"/>
          <w:b w:val="false"/>
          <w:bCs w:val="false"/>
          <w:i/>
          <w:iCs/>
          <w:strike w:val="false"/>
          <w:color w:val="000000"/>
          <w:sz w:val="22"/>
          <w:szCs w:val="22"/>
        </w:rPr>
        <w:t xml:space="preserve">over the following century...</w:t>
      </w:r>
      <w:r>
        <w:rPr>
          <w:rFonts w:ascii="Calibri" w:cs="Calibri" w:eastAsia="Calibri" w:hAnsi="Calibri"/>
          <w:b w:val="false"/>
          <w:bCs w:val="false"/>
          <w:i w:val="false"/>
          <w:iCs w:val="false"/>
          <w:strike w:val="false"/>
          <w:color w:val="000000"/>
          <w:sz w:val="22"/>
          <w:szCs w:val="22"/>
        </w:rPr>
        <w:t xml:space="preserve">"), or (c) flagged in the Narrative Graph metadata as known limitations.</w:t>
      </w:r>
    </w:p>
    <w:p>
      <w:pPr>
        <w:pStyle w:val="Heading3"/>
        <w:spacing w:after="120" w:before="240" w:line="288" w:lineRule="auto"/>
      </w:pPr>
      <w:r>
        <w:rPr>
          <w:rFonts w:ascii="Calibri" w:cs="Calibri" w:eastAsia="Calibri" w:hAnsi="Calibri"/>
          <w:color w:val="000000"/>
          <w:sz w:val="30"/>
          <w:szCs w:val="30"/>
        </w:rPr>
        <w:t xml:space="preserve">12.4.3 Style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enforces NarrativeStyle constraints during lexical selection and syntactic realization. Style-specific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EXPOSITORY:</w:t>
      </w:r>
      <w:r>
        <w:rPr>
          <w:rFonts w:ascii="Calibri" w:cs="Calibri" w:eastAsia="Calibri" w:hAnsi="Calibri"/>
          <w:b w:val="false"/>
          <w:bCs w:val="false"/>
          <w:i w:val="false"/>
          <w:iCs w:val="false"/>
          <w:strike w:val="false"/>
          <w:color w:val="000000"/>
          <w:sz w:val="22"/>
          <w:szCs w:val="22"/>
        </w:rPr>
        <w:t xml:space="preserve"> Present tense where applicable; declarative sentence structures; minimal hedging language; transition phrases (furthermore, additionally, in contrast)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ARGUMENTATIVE:</w:t>
      </w:r>
      <w:r>
        <w:rPr>
          <w:rFonts w:ascii="Calibri" w:cs="Calibri" w:eastAsia="Calibri" w:hAnsi="Calibri"/>
          <w:b w:val="false"/>
          <w:bCs w:val="false"/>
          <w:i w:val="false"/>
          <w:iCs w:val="false"/>
          <w:strike w:val="false"/>
          <w:color w:val="000000"/>
          <w:sz w:val="22"/>
          <w:szCs w:val="22"/>
        </w:rPr>
        <w:t xml:space="preserve"> Explicit claim-evidence-warrant structure; hedging language for contested facts; acknowledgment of counterarguments via CONTRASTS_WITH edges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ANALYTICAL:</w:t>
      </w:r>
      <w:r>
        <w:rPr>
          <w:rFonts w:ascii="Calibri" w:cs="Calibri" w:eastAsia="Calibri" w:hAnsi="Calibri"/>
          <w:b w:val="false"/>
          <w:bCs w:val="false"/>
          <w:i w:val="false"/>
          <w:iCs w:val="false"/>
          <w:strike w:val="false"/>
          <w:color w:val="000000"/>
          <w:sz w:val="22"/>
          <w:szCs w:val="22"/>
        </w:rPr>
        <w:t xml:space="preserve"> Causal language emphasized; quantitative precision where ConfidenceScore is high; conditional language for lower-confidence assertions; explicit uncertainty acknowledgment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INSTRUCTIONAL:</w:t>
      </w:r>
      <w:r>
        <w:rPr>
          <w:rFonts w:ascii="Calibri" w:cs="Calibri" w:eastAsia="Calibri" w:hAnsi="Calibri"/>
          <w:b w:val="false"/>
          <w:bCs w:val="false"/>
          <w:i w:val="false"/>
          <w:iCs w:val="false"/>
          <w:strike w:val="false"/>
          <w:color w:val="000000"/>
          <w:sz w:val="22"/>
          <w:szCs w:val="22"/>
        </w:rPr>
        <w:t xml:space="preserve"> Sequential imperative structure; numbered steps for TEMPORAL_FOLLOWS chains; definition of technical terms on first use based on audience model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EXECUTIVE_SUMMARY:</w:t>
      </w:r>
      <w:r>
        <w:rPr>
          <w:rFonts w:ascii="Calibri" w:cs="Calibri" w:eastAsia="Calibri" w:hAnsi="Calibri"/>
          <w:b w:val="false"/>
          <w:bCs w:val="false"/>
          <w:i w:val="false"/>
          <w:iCs w:val="false"/>
          <w:strike w:val="false"/>
          <w:color w:val="000000"/>
          <w:sz w:val="22"/>
          <w:szCs w:val="22"/>
        </w:rPr>
        <w:t xml:space="preserve"> Summary Fact Units prioritized; 3-sentence-per-topic maximum; quantitative highlights; ELABORATE edges suppressed to stay within token budget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 — QUERYBOOK FORMAT (QBF)</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 Executive Summary</w:t>
            </w:r>
            <w:r>
              <w:rPr>
                <w:rFonts w:ascii="Calibri" w:cs="Calibri" w:eastAsia="Calibri" w:hAnsi="Calibri"/>
                <w:b/>
                <w:bCs/>
                <w:i w:val="false"/>
                <w:iCs w:val="false"/>
                <w:strike w:val="false"/>
                <w:color w:val="333333"/>
                <w:sz w:val="24"/>
                <w:szCs w:val="24"/>
              </w:rPr>
              <w:t xml:space="preserve">Part XII specifies the QueryBook Format (QBF) — the proprietary binary serialization format for all Fact Units, Fact Bundles, and associated metadata in QueryBook. QBF is designed to be compact, self-describing, streamable, and backward-compatible. This Part provides the complete byte-level specification of the QBF file structure, field encoding rules, streaming mode framing, and versioning policies. This Part is the primary reference for patent Cluster D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 QueryBook Format (QBF)</w:t>
      </w:r>
    </w:p>
    <w:p>
      <w:pPr>
        <w:pStyle w:val="Heading1"/>
        <w:spacing w:after="120" w:before="240" w:line="288" w:lineRule="auto"/>
      </w:pPr>
      <w:r>
        <w:rPr>
          <w:rFonts w:ascii="Calibri" w:cs="Calibri" w:eastAsia="Calibri" w:hAnsi="Calibri"/>
          <w:color w:val="000000"/>
          <w:sz w:val="48"/>
          <w:szCs w:val="48"/>
        </w:rPr>
        <w:t xml:space="preserve">Chapter 13: QueryBook Format (QBF) — Complete Binary Specification</w:t>
      </w:r>
    </w:p>
    <w:p>
      <w:pPr>
        <w:pStyle w:val="Heading2"/>
        <w:spacing w:after="120" w:before="240" w:line="288" w:lineRule="auto"/>
      </w:pPr>
      <w:r>
        <w:rPr>
          <w:rFonts w:ascii="Calibri" w:cs="Calibri" w:eastAsia="Calibri" w:hAnsi="Calibri"/>
          <w:color w:val="000000"/>
          <w:sz w:val="36"/>
          <w:szCs w:val="36"/>
        </w:rPr>
        <w:t xml:space="preserve">13.1 Design Goals</w:t>
      </w:r>
    </w:p>
    <w:p>
      <w:pPr>
        <w:spacing w:after="120" w:line="360" w:lineRule="auto"/>
      </w:pPr>
      <w:r>
        <w:rPr>
          <w:rFonts w:ascii="Calibri" w:cs="Calibri" w:eastAsia="Calibri" w:hAnsi="Calibri"/>
          <w:b w:val="false"/>
          <w:bCs w:val="false"/>
          <w:i w:val="false"/>
          <w:iCs w:val="false"/>
          <w:strike w:val="false"/>
          <w:color w:val="000000"/>
          <w:sz w:val="22"/>
          <w:szCs w:val="22"/>
        </w:rPr>
        <w:t xml:space="preserve">QBF is designed to satisfy the following requirements simultaneously, without trade-offs: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Compact:</w:t>
      </w:r>
      <w:r>
        <w:rPr>
          <w:rFonts w:ascii="Calibri" w:cs="Calibri" w:eastAsia="Calibri" w:hAnsi="Calibri"/>
          <w:b w:val="false"/>
          <w:bCs w:val="false"/>
          <w:i w:val="false"/>
          <w:iCs w:val="false"/>
          <w:strike w:val="false"/>
          <w:color w:val="000000"/>
          <w:sz w:val="22"/>
          <w:szCs w:val="22"/>
        </w:rPr>
        <w:t xml:space="preserve"> A typical Fact Unit (excluding EmbeddingVector) serializes to approximately 512–2,048 bytes in QBF; the EmbeddingVector adds 16,384 bytes (4096 float32 values) and may be stored separately with a pointer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Self-describing:</w:t>
      </w:r>
      <w:r>
        <w:rPr>
          <w:rFonts w:ascii="Calibri" w:cs="Calibri" w:eastAsia="Calibri" w:hAnsi="Calibri"/>
          <w:b w:val="false"/>
          <w:bCs w:val="false"/>
          <w:i w:val="false"/>
          <w:iCs w:val="false"/>
          <w:strike w:val="false"/>
          <w:color w:val="000000"/>
          <w:sz w:val="22"/>
          <w:szCs w:val="22"/>
        </w:rPr>
        <w:t xml:space="preserve"> Every QBF payload carries its schema version, enabling parsing without external schema lookup</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Streamable:</w:t>
      </w:r>
      <w:r>
        <w:rPr>
          <w:rFonts w:ascii="Calibri" w:cs="Calibri" w:eastAsia="Calibri" w:hAnsi="Calibri"/>
          <w:b w:val="false"/>
          <w:bCs w:val="false"/>
          <w:i w:val="false"/>
          <w:iCs w:val="false"/>
          <w:strike w:val="false"/>
          <w:color w:val="000000"/>
          <w:sz w:val="22"/>
          <w:szCs w:val="22"/>
        </w:rPr>
        <w:t xml:space="preserve"> Valid QBF can be parsed as a stream without random access to the full file; each record is independently decodable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Backward-compatible:</w:t>
      </w:r>
      <w:r>
        <w:rPr>
          <w:rFonts w:ascii="Calibri" w:cs="Calibri" w:eastAsia="Calibri" w:hAnsi="Calibri"/>
          <w:b w:val="false"/>
          <w:bCs w:val="false"/>
          <w:i w:val="false"/>
          <w:iCs w:val="false"/>
          <w:strike w:val="false"/>
          <w:color w:val="000000"/>
          <w:sz w:val="22"/>
          <w:szCs w:val="22"/>
        </w:rPr>
        <w:t xml:space="preserve"> New fields are always optional and additive; older parsers skip unknown fields using the length-prefix on each field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Integrity-verifiable:</w:t>
      </w:r>
      <w:r>
        <w:rPr>
          <w:rFonts w:ascii="Calibri" w:cs="Calibri" w:eastAsia="Calibri" w:hAnsi="Calibri"/>
          <w:b w:val="false"/>
          <w:bCs w:val="false"/>
          <w:i w:val="false"/>
          <w:iCs w:val="false"/>
          <w:strike w:val="false"/>
          <w:color w:val="000000"/>
          <w:sz w:val="22"/>
          <w:szCs w:val="22"/>
        </w:rPr>
        <w:t xml:space="preserve"> The trailer contains a CRC-32C checksum and an optional ECDSA signature enabling tamper detection</w:t>
      </w:r>
    </w:p>
    <w:p>
      <w:pPr>
        <w:pStyle w:val="Heading3"/>
        <w:spacing w:after="120" w:before="200" w:line="288" w:lineRule="auto"/>
      </w:pPr>
      <w:r>
        <w:rPr>
          <w:rFonts w:ascii="Calibri" w:cs="Calibri" w:eastAsia="Calibri" w:hAnsi="Calibri"/>
          <w:color w:val="000000"/>
          <w:sz w:val="28"/>
          <w:szCs w:val="28"/>
        </w:rPr>
        <w:t xml:space="preserve">Encoding Layer Version Skew — Redesign Note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VERSIONING RISK</w:t>
            </w:r>
            <w:r>
              <w:rPr>
                <w:rFonts w:ascii="Calibri" w:cs="Calibri" w:eastAsia="Calibri" w:hAnsi="Calibri"/>
                <w:b/>
                <w:bCs/>
                <w:i w:val="false"/>
                <w:iCs w:val="false"/>
                <w:strike w:val="false"/>
                <w:color w:val="333333"/>
                <w:sz w:val="24"/>
                <w:szCs w:val="24"/>
              </w:rPr>
              <w:t xml:space="preserve">QBF uses Protocol Buffers varint encoding for its internal integer fields, while its overall frame structure (type, length, flags, payload, CRC-32C trailer) is a custom format, not itself a protobuf message. This creates two independently versioned encoding surfaces — a future change to either the varint field encoding rules or the custom frame layout could be made without the other being updated in lockstep, and this Bible's existing versioning compatibility guidance does not yet call this out as a coupled pair.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add an explicit rule to this chapter's version compatibility table stating that the frame-format version and the payload field-encoding version are tracked and negotiated together as a single compatibility unit, not independently — a reader implementing a QBF parser or writer should not be able to mix a newer frame format with an older field-encoding scheme (or vice versa) without an explicit compatibility check failing loudly. This is a low-cost documentation fix relative to the parsing-ambiguity or silent-corruption cost of not having it.</w:t>
      </w:r>
    </w:p>
    <w:p>
      <w:pPr>
        <w:pStyle w:val="Heading2"/>
        <w:spacing w:after="120" w:before="240" w:line="288" w:lineRule="auto"/>
      </w:pPr>
      <w:r>
        <w:rPr>
          <w:rFonts w:ascii="Calibri" w:cs="Calibri" w:eastAsia="Calibri" w:hAnsi="Calibri"/>
          <w:color w:val="000000"/>
          <w:sz w:val="36"/>
          <w:szCs w:val="36"/>
        </w:rPr>
        <w:t xml:space="preserve">13.2 QBF File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FILE LAYOUT (CANONICAL FORMAT)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[MAGIC BYTES] 4 bytes 0x51 0x42 0x46 0x00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[MAJOR VERSION] 1 byte Currently: 0x01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[MINOR VERSION] 1 byte Currently: 0x00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[HEADER BLOCK] 256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Total payload size 8 bytes uint64,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8 bytes uint64 (Ontology Mesh version as MAJOR&lt;&lt;32|MINOR&lt;&lt;16|PATCH) data-id="2502"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Compression algo 1 byte 0x00=NONE, 0x01=LZ4, 0x02=ZSTANDARD, 0x03=GZIP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flag 1 byte 0x00=PLAINTEXT, 0x01=AES-256-GCM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algo 1 byte 0x00=CRC32C, 0x01=SHA256, 0x02=SHA3-256</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 0x03=MIXED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Creation timestamp 8 bytes int64, Unix nanoseconds UTC, little-endian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count 8 bytes uint64, number of Fact Units in this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Index offset 8 bytes uint64, byte offset of Index Block (0 if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IV 12 bytes AES-GCM initialization vector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Encryption tag 16 bytes AES-GCM authentication tag (0 if unencrypted)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Reserved 180 bytes Must be 0x00; reserved for future header fields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[SCHEMA BLOCK] Variable length (if non-standard schema)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Block length 4 bytes uint32, length of schema descriptor in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descriptor N bytes Compact schema descriptor (Protocol Buffers v3 encoding)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[PAYLOAD BLOCK]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(Serialized Fact Units or Fact Bundles; see Section 13.3)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[INDEX BLOCK] Optional, variable 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Entry count 4 bytes uint32, number of index entries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Per entry: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FUID 16 bytes UUID (16-byte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Byte offset 8 bytes uint64, offset of this record in Payload Block</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[TRAILER BLOCK] 64 bytes (fixed-length)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checksum 4 bytes CRC-32C of entire file excluding trailer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Checksum type 1 byte Same encoding as header checksum algo field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Extended hash 32 bytes SHA-256 or SHA-3/256 of payload block (if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 length 2 bytes uint16, length of ECDSA signature (0 if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ECDSA signature N bytes ECDSA P-384 signature over CRC-32C + extended hash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EOF marker 4 bytes 0x51 0x42 0x45 0x4F ("QBEO" = QueryBook End Of file)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Pad to 64 bytes Remaining Reserved 0x00 bytes</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13.3 QBF Field Encoding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0" w:color="auto" w:val="clear"/>
          </w:tcPr>
          <w:p>
            <w:r>
              <w:rPr>
                <w:rFonts w:ascii="Calibri" w:cs="Calibri" w:eastAsia="Calibri" w:hAnsi="Calibri"/>
                <w:b/>
                <w:bCs/>
                <w:i w:val="false"/>
                <w:iCs w:val="false"/>
                <w:strike w:val="false"/>
                <w:color w:val="0D2A5E"/>
                <w:sz w:val="20"/>
                <w:szCs w:val="20"/>
              </w:rPr>
              <w:t xml:space="preserve">Field Type</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Encoding</w:t>
            </w:r>
          </w:p>
        </w:tc>
        <w:tc>
          <w:tcPr>
            <w:tcW w:type="pct" w:w="68%"/>
            <w:shd w:fill="DCE6F0" w:color="auto" w:val="clear"/>
          </w:tcPr>
          <w:p>
            <w:r>
              <w:rPr>
                <w:rFonts w:ascii="Calibri" w:cs="Calibri" w:eastAsia="Calibri" w:hAnsi="Calibri"/>
                <w:b/>
                <w:bCs/>
                <w:i w:val="false"/>
                <w:iCs w:val="false"/>
                <w:strike w:val="false"/>
                <w:color w:val="0D2A5E"/>
                <w:sz w:val="20"/>
                <w:szCs w:val="20"/>
              </w:rPr>
              <w:t xml:space="preserve">Details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Integer fields (int32, int64)</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Variable-length ZigZag encoding for signed integers; standard varint for unsigned integers; max 10 bytes for 64-bit values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Float fields (float32, float64)</w:t>
            </w:r>
          </w:p>
        </w:tc>
        <w:tc>
          <w:tcPr>
            <w:tcW w:type="pct" w:w="16%"/>
          </w:tcPr>
          <w:p>
            <w:r>
              <w:rPr>
                <w:rFonts w:ascii="Calibri" w:cs="Calibri" w:eastAsia="Calibri" w:hAnsi="Calibri"/>
                <w:b w:val="false"/>
                <w:bCs w:val="false"/>
                <w:i w:val="false"/>
                <w:iCs w:val="false"/>
                <w:strike w:val="false"/>
                <w:color w:val="000000"/>
                <w:sz w:val="20"/>
                <w:szCs w:val="20"/>
              </w:rPr>
              <w:t xml:space="preserve">IEEE 754</w:t>
            </w:r>
          </w:p>
        </w:tc>
        <w:tc>
          <w:tcPr>
            <w:tcW w:type="pct" w:w="68%"/>
          </w:tcPr>
          <w:p>
            <w:r>
              <w:rPr>
                <w:rFonts w:ascii="Calibri" w:cs="Calibri" w:eastAsia="Calibri" w:hAnsi="Calibri"/>
                <w:b w:val="false"/>
                <w:bCs w:val="false"/>
                <w:i w:val="false"/>
                <w:iCs w:val="false"/>
                <w:strike w:val="false"/>
                <w:color w:val="000000"/>
                <w:sz w:val="20"/>
                <w:szCs w:val="20"/>
              </w:rPr>
              <w:t xml:space="preserve">float32: 4-byte little-endian IEEE 754 single-precision; float64: 8-byte little-endian IEEE 754 double-precision; NaN and Infinity are forbidden in ConfidenceScore fields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String fields (UTF-8)</w:t>
            </w:r>
          </w:p>
        </w:tc>
        <w:tc>
          <w:tcPr>
            <w:tcW w:type="pct" w:w="16%"/>
          </w:tcPr>
          <w:p>
            <w:r>
              <w:rPr>
                <w:rFonts w:ascii="Calibri" w:cs="Calibri" w:eastAsia="Calibri" w:hAnsi="Calibri"/>
                <w:b w:val="false"/>
                <w:bCs w:val="false"/>
                <w:i w:val="false"/>
                <w:iCs w:val="false"/>
                <w:strike w:val="false"/>
                <w:color w:val="000000"/>
                <w:sz w:val="20"/>
                <w:szCs w:val="20"/>
              </w:rPr>
              <w:t xml:space="preserve">Length-prefixed UTF-8</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UTF-8 encoded bytes; must be valid UTF-8; null strings encoded as length=0</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Binary fields (bytes)</w:t>
            </w:r>
          </w:p>
        </w:tc>
        <w:tc>
          <w:tcPr>
            <w:tcW w:type="pct" w:w="16%"/>
          </w:tcPr>
          <w:p>
            <w:r>
              <w:rPr>
                <w:rFonts w:ascii="Calibri" w:cs="Calibri" w:eastAsia="Calibri" w:hAnsi="Calibri"/>
                <w:b w:val="false"/>
                <w:bCs w:val="false"/>
                <w:i w:val="false"/>
                <w:iCs w:val="false"/>
                <w:strike w:val="false"/>
                <w:color w:val="000000"/>
                <w:sz w:val="20"/>
                <w:szCs w:val="20"/>
              </w:rPr>
              <w:t xml:space="preserve">Length-prefixed bytes</w:t>
            </w:r>
          </w:p>
        </w:tc>
        <w:tc>
          <w:tcPr>
            <w:tcW w:type="pct" w:w="68%"/>
          </w:tcPr>
          <w:p>
            <w:r>
              <w:rPr>
                <w:rFonts w:ascii="Calibri" w:cs="Calibri" w:eastAsia="Calibri" w:hAnsi="Calibri"/>
                <w:b w:val="false"/>
                <w:bCs w:val="false"/>
                <w:i w:val="false"/>
                <w:iCs w:val="false"/>
                <w:strike w:val="false"/>
                <w:color w:val="000000"/>
                <w:sz w:val="20"/>
                <w:szCs w:val="20"/>
              </w:rPr>
              <w:t xml:space="preserve">4-byte uint32 length prefix followed by raw bytes; no encoding applied</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Vector fields (float32[])</w:t>
            </w:r>
          </w:p>
        </w:tc>
        <w:tc>
          <w:tcPr>
            <w:tcW w:type="pct" w:w="16%"/>
          </w:tcPr>
          <w:p>
            <w:r>
              <w:rPr>
                <w:rFonts w:ascii="Calibri" w:cs="Calibri" w:eastAsia="Calibri" w:hAnsi="Calibri"/>
                <w:b w:val="false"/>
                <w:bCs w:val="false"/>
                <w:i w:val="false"/>
                <w:iCs w:val="false"/>
                <w:strike w:val="false"/>
                <w:color w:val="000000"/>
                <w:sz w:val="20"/>
                <w:szCs w:val="20"/>
              </w:rPr>
              <w:t xml:space="preserve">Dimensioned float32 array</w:t>
            </w:r>
          </w:p>
        </w:tc>
        <w:tc>
          <w:tcPr>
            <w:tcW w:type="pct" w:w="68%"/>
          </w:tcPr>
          <w:p>
            <w:r>
              <w:rPr>
                <w:rFonts w:ascii="Calibri" w:cs="Calibri" w:eastAsia="Calibri" w:hAnsi="Calibri"/>
                <w:b w:val="false"/>
                <w:bCs w:val="false"/>
                <w:i w:val="false"/>
                <w:iCs w:val="false"/>
                <w:strike w:val="false"/>
                <w:color w:val="000000"/>
                <w:sz w:val="20"/>
                <w:szCs w:val="20"/>
              </w:rPr>
              <w:t xml:space="preserve">4-byte uint32 dimension prefix followed by dimension × 4-byte IEEE 754 float32 values, little-endian; EmbeddingVector dimensions may be stored in a separate sidecar file referenced by content-addressed pointer to avoid inflating the primary record size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Timestamp fields</w:t>
            </w:r>
          </w:p>
        </w:tc>
        <w:tc>
          <w:tcPr>
            <w:tcW w:type="pct" w:w="16%"/>
          </w:tcPr>
          <w:p>
            <w:r>
              <w:rPr>
                <w:rFonts w:ascii="Calibri" w:cs="Calibri" w:eastAsia="Calibri" w:hAnsi="Calibri"/>
                <w:b w:val="false"/>
                <w:bCs w:val="false"/>
                <w:i w:val="false"/>
                <w:iCs w:val="false"/>
                <w:strike w:val="false"/>
                <w:color w:val="000000"/>
                <w:sz w:val="20"/>
                <w:szCs w:val="20"/>
              </w:rPr>
              <w:t xml:space="preserve">64-bit Unix nanoseconds</w:t>
            </w:r>
          </w:p>
        </w:tc>
        <w:tc>
          <w:tcPr>
            <w:tcW w:type="pct" w:w="68%"/>
          </w:tcPr>
          <w:p>
            <w:r>
              <w:rPr>
                <w:rFonts w:ascii="Calibri" w:cs="Calibri" w:eastAsia="Calibri" w:hAnsi="Calibri"/>
                <w:b w:val="false"/>
                <w:bCs w:val="false"/>
                <w:i w:val="false"/>
                <w:iCs w:val="false"/>
                <w:strike w:val="false"/>
                <w:color w:val="000000"/>
                <w:sz w:val="20"/>
                <w:szCs w:val="20"/>
              </w:rPr>
              <w:t xml:space="preserve">int64 little-endian; nanoseconds since Unix epoch (January 1, 1970, 00:00:00 UTC); negative values represent pre-epoch timestamps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UUID fields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w:t>
            </w:r>
          </w:p>
        </w:tc>
        <w:tc>
          <w:tcPr>
            <w:tcW w:type="pct" w:w="68%"/>
          </w:tcPr>
          <w:p>
            <w:r>
              <w:rPr>
                <w:rFonts w:ascii="Calibri" w:cs="Calibri" w:eastAsia="Calibri" w:hAnsi="Calibri"/>
                <w:b w:val="false"/>
                <w:bCs w:val="false"/>
                <w:i w:val="false"/>
                <w:iCs w:val="false"/>
                <w:strike w:val="false"/>
                <w:color w:val="000000"/>
                <w:sz w:val="20"/>
                <w:szCs w:val="20"/>
              </w:rPr>
              <w:t xml:space="preserve">128-bit UUID stored as 16 raw bytes in network byte order (big-endian); no hyphens or formatting</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Set fields (repeated elements)</w:t>
            </w:r>
          </w:p>
        </w:tc>
        <w:tc>
          <w:tcPr>
            <w:tcW w:type="pct" w:w="16%"/>
          </w:tcPr>
          <w:p>
            <w:r>
              <w:rPr>
                <w:rFonts w:ascii="Calibri" w:cs="Calibri" w:eastAsia="Calibri" w:hAnsi="Calibri"/>
                <w:b w:val="false"/>
                <w:bCs w:val="false"/>
                <w:i w:val="false"/>
                <w:iCs w:val="false"/>
                <w:strike w:val="false"/>
                <w:color w:val="000000"/>
                <w:sz w:val="20"/>
                <w:szCs w:val="20"/>
              </w:rPr>
              <w:t xml:space="preserve">Length-prefixed repeated elements</w:t>
            </w:r>
          </w:p>
        </w:tc>
        <w:tc>
          <w:tcPr>
            <w:tcW w:type="pct" w:w="68%"/>
          </w:tcPr>
          <w:p>
            <w:r>
              <w:rPr>
                <w:rFonts w:ascii="Calibri" w:cs="Calibri" w:eastAsia="Calibri" w:hAnsi="Calibri"/>
                <w:b w:val="false"/>
                <w:bCs w:val="false"/>
                <w:i w:val="false"/>
                <w:iCs w:val="false"/>
                <w:strike w:val="false"/>
                <w:color w:val="000000"/>
                <w:sz w:val="20"/>
                <w:szCs w:val="20"/>
              </w:rPr>
              <w:t xml:space="preserve">4-byte uint32 element count followed by sequentially encoded elements; each element is self-describing using the same type encoding as its scalar equivalent</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Map fields (key-value)</w:t>
            </w:r>
          </w:p>
        </w:tc>
        <w:tc>
          <w:tcPr>
            <w:tcW w:type="pct" w:w="16%"/>
          </w:tcPr>
          <w:p>
            <w:r>
              <w:rPr>
                <w:rFonts w:ascii="Calibri" w:cs="Calibri" w:eastAsia="Calibri" w:hAnsi="Calibri"/>
                <w:b w:val="false"/>
                <w:bCs w:val="false"/>
                <w:i w:val="false"/>
                <w:iCs w:val="false"/>
                <w:strike w:val="false"/>
                <w:color w:val="000000"/>
                <w:sz w:val="20"/>
                <w:szCs w:val="20"/>
              </w:rPr>
              <w:t xml:space="preserve">Length-prefixed key-value pairs</w:t>
            </w:r>
          </w:p>
        </w:tc>
        <w:tc>
          <w:tcPr>
            <w:tcW w:type="pct" w:w="68%"/>
          </w:tcPr>
          <w:p>
            <w:r>
              <w:rPr>
                <w:rFonts w:ascii="Calibri" w:cs="Calibri" w:eastAsia="Calibri" w:hAnsi="Calibri"/>
                <w:b w:val="false"/>
                <w:bCs w:val="false"/>
                <w:i w:val="false"/>
                <w:iCs w:val="false"/>
                <w:strike w:val="false"/>
                <w:color w:val="000000"/>
                <w:sz w:val="20"/>
                <w:szCs w:val="20"/>
              </w:rPr>
              <w:t xml:space="preserve">4-byte uint32 pair count followed by sequentially encoded (key, value) pairs; key is always a length-prefixed UTF-8 string; value encoding depends on declared value type</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Reference fields (FUID pointers)</w:t>
            </w:r>
          </w:p>
        </w:tc>
        <w:tc>
          <w:tcPr>
            <w:tcW w:type="pct" w:w="16%"/>
          </w:tcPr>
          <w:p>
            <w:r>
              <w:rPr>
                <w:rFonts w:ascii="Calibri" w:cs="Calibri" w:eastAsia="Calibri" w:hAnsi="Calibri"/>
                <w:b w:val="false"/>
                <w:bCs w:val="false"/>
                <w:i w:val="false"/>
                <w:iCs w:val="false"/>
                <w:strike w:val="false"/>
                <w:color w:val="000000"/>
                <w:sz w:val="20"/>
                <w:szCs w:val="20"/>
              </w:rPr>
              <w:t xml:space="preserve">16-byte big-endian UUID</w:t>
            </w:r>
          </w:p>
        </w:tc>
        <w:tc>
          <w:tcPr>
            <w:tcW w:type="pct" w:w="68%"/>
          </w:tcPr>
          <w:p>
            <w:r>
              <w:rPr>
                <w:rFonts w:ascii="Calibri" w:cs="Calibri" w:eastAsia="Calibri" w:hAnsi="Calibri"/>
                <w:b w:val="false"/>
                <w:bCs w:val="false"/>
                <w:i w:val="false"/>
                <w:iCs w:val="false"/>
                <w:strike w:val="false"/>
                <w:color w:val="000000"/>
                <w:sz w:val="20"/>
                <w:szCs w:val="20"/>
              </w:rPr>
              <w:t xml:space="preserve">References to other Fact Units are encoded as the raw 16-byte UUID of the target FUID; the parsing system is responsible for resolving references against the active Fact Graph</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Enum fields</w:t>
            </w:r>
          </w:p>
        </w:tc>
        <w:tc>
          <w:tcPr>
            <w:tcW w:type="pct" w:w="16%"/>
          </w:tcPr>
          <w:p>
            <w:r>
              <w:rPr>
                <w:rFonts w:ascii="Calibri" w:cs="Calibri" w:eastAsia="Calibri" w:hAnsi="Calibri"/>
                <w:b w:val="false"/>
                <w:bCs w:val="false"/>
                <w:i w:val="false"/>
                <w:iCs w:val="false"/>
                <w:strike w:val="false"/>
                <w:color w:val="000000"/>
                <w:sz w:val="20"/>
                <w:szCs w:val="20"/>
              </w:rPr>
              <w:t xml:space="preserve">Protocol Buffers varint</w:t>
            </w:r>
          </w:p>
        </w:tc>
        <w:tc>
          <w:tcPr>
            <w:tcW w:type="pct" w:w="68%"/>
          </w:tcPr>
          <w:p>
            <w:r>
              <w:rPr>
                <w:rFonts w:ascii="Calibri" w:cs="Calibri" w:eastAsia="Calibri" w:hAnsi="Calibri"/>
                <w:b w:val="false"/>
                <w:bCs w:val="false"/>
                <w:i w:val="false"/>
                <w:iCs w:val="false"/>
                <w:strike w:val="false"/>
                <w:color w:val="000000"/>
                <w:sz w:val="20"/>
                <w:szCs w:val="20"/>
              </w:rPr>
              <w:t xml:space="preserve">Enum values encoded as their uint32 ordinal using varint encoding; unknown enum values from newer schema versions must be preserved as their raw ordinal and not discarded by older parsers</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Boolean fields</w:t>
            </w:r>
          </w:p>
        </w:tc>
        <w:tc>
          <w:tcPr>
            <w:tcW w:type="pct" w:w="16%"/>
          </w:tcPr>
          <w:p>
            <w:r>
              <w:rPr>
                <w:rFonts w:ascii="Calibri" w:cs="Calibri" w:eastAsia="Calibri" w:hAnsi="Calibri"/>
                <w:b w:val="false"/>
                <w:bCs w:val="false"/>
                <w:i w:val="false"/>
                <w:iCs w:val="false"/>
                <w:strike w:val="false"/>
                <w:color w:val="000000"/>
                <w:sz w:val="20"/>
                <w:szCs w:val="20"/>
              </w:rPr>
              <w:t xml:space="preserve">1-byte uint8</w:t>
            </w:r>
          </w:p>
        </w:tc>
        <w:tc>
          <w:tcPr>
            <w:tcW w:type="pct" w:w="68%"/>
          </w:tcPr>
          <w:p>
            <w:r>
              <w:rPr>
                <w:rFonts w:ascii="Calibri" w:cs="Calibri" w:eastAsia="Calibri" w:hAnsi="Calibri"/>
                <w:b w:val="false"/>
                <w:bCs w:val="false"/>
                <w:i w:val="false"/>
                <w:iCs w:val="false"/>
                <w:strike w:val="false"/>
                <w:color w:val="000000"/>
                <w:sz w:val="20"/>
                <w:szCs w:val="20"/>
              </w:rPr>
              <w:t xml:space="preserve">0x00 = false; 0x01 = true; any other value is an encoding error</w:t>
            </w:r>
          </w:p>
        </w:tc>
      </w:tr>
      <w:tr>
        <w:trPr>
          <w:tblHeader w:val="false"/>
        </w:trPr>
        <w:tc>
          <w:tcPr>
            <w:tcW w:type="pct" w:w="16%"/>
          </w:tcPr>
          <w:p>
            <w:r>
              <w:rPr>
                <w:rFonts w:ascii="Calibri" w:cs="Calibri" w:eastAsia="Calibri" w:hAnsi="Calibri"/>
                <w:b/>
                <w:bCs/>
                <w:i w:val="false"/>
                <w:iCs w:val="false"/>
                <w:strike w:val="false"/>
                <w:color w:val="000000"/>
                <w:sz w:val="22"/>
                <w:szCs w:val="22"/>
              </w:rPr>
              <w:t xml:space="preserve">Null fields</w:t>
            </w:r>
          </w:p>
        </w:tc>
        <w:tc>
          <w:tcPr>
            <w:tcW w:type="pct" w:w="16%"/>
          </w:tcPr>
          <w:p>
            <w:r>
              <w:rPr>
                <w:rFonts w:ascii="Calibri" w:cs="Calibri" w:eastAsia="Calibri" w:hAnsi="Calibri"/>
                <w:b w:val="false"/>
                <w:bCs w:val="false"/>
                <w:i w:val="false"/>
                <w:iCs w:val="false"/>
                <w:strike w:val="false"/>
                <w:color w:val="000000"/>
                <w:sz w:val="20"/>
                <w:szCs w:val="20"/>
              </w:rPr>
              <w:t xml:space="preserve">Presence bit in field header</w:t>
            </w:r>
          </w:p>
        </w:tc>
        <w:tc>
          <w:tcPr>
            <w:tcW w:type="pct" w:w="68%"/>
          </w:tcPr>
          <w:p>
            <w:r>
              <w:rPr>
                <w:rFonts w:ascii="Calibri" w:cs="Calibri" w:eastAsia="Calibri" w:hAnsi="Calibri"/>
                <w:b w:val="false"/>
                <w:bCs w:val="false"/>
                <w:i w:val="false"/>
                <w:iCs w:val="false"/>
                <w:strike w:val="false"/>
                <w:color w:val="000000"/>
                <w:sz w:val="20"/>
                <w:szCs w:val="20"/>
              </w:rPr>
              <w:t xml:space="preserve">Each optional field is preceded by a 1-bit presence indicator in the record's field presence bitmask; if the bit is 0, the field is absent (null) and no bytes follow for that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13.4 QBF Streaming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Fact Streams (real-time Fact Unit delivery over the STL), QBF Streaming Mode is used instead of the full file structure. In Streaming Mode, each record is independently framed and can be parsed without knowledge of subsequent records: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STREAMING MODE RECORD FRAME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HEADER] 10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Length prefix 4 bytes uint32, little-endian: byte length of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Record type 1 byte 0x01=FACT_UNIT, 0x02=FACT_BUNDLE,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0x03=CONTROL, 0x04=HEARTBEAT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Sequence number 4 bytes uint32, monotonically increasing per session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Flags 1 byte bit 0=compressed, bit 1=encrypted, bits 2-7=reserved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[RECORD BODY] Variable (length indicated by Length prefix)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Schema version 4 bytes uint32, Ontology Mesh minor version of this record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Payload N bytes QBF-encoded Fact Unit, Fact Bundle, or control message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[FRAME TRAILER] 5 bytes (fixed)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CRC-32C 4 bytes CRC-32C of Frame Header + Record Body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End marker 1 byte 0xFE (record end sentinel for stream synchronization)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Header.Flags.compressed=1: Record Body is LZ4-compressed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Frame Header.Flags.encrypted=1: Record Body is AES-256-GCM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If any Record Body byte is corrupted (CRC mismatch), the parser scans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forward for the next 0xFE sentinel byte to re-synchronize the stream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HEARTBEAT record type carries a 64-bit UTC nanosecond timestamp;</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receiver must respond within 5 seconds or the session is considered dead</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13.5 QBF Versioning and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shd w:fill="DCE6F0" w:color="auto" w:val="clear"/>
          </w:tcPr>
          <w:p>
            <w:r>
              <w:rPr>
                <w:rFonts w:ascii="Calibri" w:cs="Calibri" w:eastAsia="Calibri" w:hAnsi="Calibri"/>
                <w:b/>
                <w:bCs/>
                <w:i w:val="false"/>
                <w:iCs w:val="false"/>
                <w:strike w:val="false"/>
                <w:color w:val="0D2A5E"/>
                <w:sz w:val="20"/>
                <w:szCs w:val="20"/>
              </w:rPr>
              <w:t xml:space="preserve">Change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Version Bump</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Backward Compatible?</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Migration Required?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field</w:t>
            </w:r>
          </w:p>
        </w:tc>
        <w:tc>
          <w:tcPr>
            <w:tcW w:type="pct" w:w="15%"/>
          </w:tcPr>
          <w:p>
            <w:r>
              <w:rPr>
                <w:rFonts w:ascii="Calibri" w:cs="Calibri" w:eastAsia="Calibri" w:hAnsi="Calibri"/>
                <w:b w:val="false"/>
                <w:bCs w:val="false"/>
                <w:i w:val="false"/>
                <w:iCs w:val="false"/>
                <w:strike w:val="false"/>
                <w:color w:val="000000"/>
                <w:sz w:val="20"/>
                <w:szCs w:val="20"/>
              </w:rPr>
              <w:t xml:space="preserve">Minor (0.x → 0.x+1)</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skip unknown fields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optional enum value</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older parsers preserve unknown enum values as raw ordinals</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Add new required field</w:t>
            </w:r>
          </w:p>
        </w:tc>
        <w:tc>
          <w:tcPr>
            <w:tcW w:type="pct" w:w="15%"/>
          </w:tcPr>
          <w:p>
            <w:r>
              <w:rPr>
                <w:rFonts w:ascii="Calibri" w:cs="Calibri" w:eastAsia="Calibri" w:hAnsi="Calibri"/>
                <w:b w:val="false"/>
                <w:bCs w:val="false"/>
                <w:i w:val="false"/>
                <w:iCs w:val="false"/>
                <w:strike w:val="false"/>
                <w:color w:val="000000"/>
                <w:sz w:val="20"/>
                <w:szCs w:val="20"/>
              </w:rPr>
              <w:t xml:space="preserve">Major (x → x+1)</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reject records missing required fields</w:t>
            </w:r>
          </w:p>
        </w:tc>
        <w:tc>
          <w:tcPr>
            <w:tcW w:type="pct" w:w="28%"/>
          </w:tcPr>
          <w:p>
            <w:r>
              <w:rPr>
                <w:rFonts w:ascii="Calibri" w:cs="Calibri" w:eastAsia="Calibri" w:hAnsi="Calibri"/>
                <w:b w:val="false"/>
                <w:bCs w:val="false"/>
                <w:i w:val="false"/>
                <w:iCs w:val="false"/>
                <w:strike w:val="false"/>
                <w:color w:val="000000"/>
                <w:sz w:val="20"/>
                <w:szCs w:val="20"/>
              </w:rPr>
              <w:t xml:space="preserve">Yes — all existing Fact Units must be re-serialized</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Remove existing field</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 — older parsers expect the field</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field type</w:t>
            </w:r>
          </w:p>
        </w:tc>
        <w:tc>
          <w:tcPr>
            <w:tcW w:type="pct" w:w="15%"/>
          </w:tcPr>
          <w:p>
            <w:r>
              <w:rPr>
                <w:rFonts w:ascii="Calibri" w:cs="Calibri" w:eastAsia="Calibri" w:hAnsi="Calibri"/>
                <w:b w:val="false"/>
                <w:bCs w:val="false"/>
                <w:i w:val="false"/>
                <w:iCs w:val="false"/>
                <w:strike w:val="false"/>
                <w:color w:val="000000"/>
                <w:sz w:val="20"/>
                <w:szCs w:val="20"/>
              </w:rPr>
              <w:t xml:space="preserve">Major</w:t>
            </w:r>
          </w:p>
        </w:tc>
        <w:tc>
          <w:tcPr>
            <w:tcW w:type="pct" w:w="32%"/>
          </w:tcPr>
          <w:p>
            <w:r>
              <w:rPr>
                <w:rFonts w:ascii="Calibri" w:cs="Calibri" w:eastAsia="Calibri" w:hAnsi="Calibri"/>
                <w:b w:val="false"/>
                <w:bCs w:val="false"/>
                <w:i w:val="false"/>
                <w:iCs w:val="false"/>
                <w:strike w:val="false"/>
                <w:color w:val="000000"/>
                <w:sz w:val="20"/>
                <w:szCs w:val="20"/>
              </w:rPr>
              <w:t xml:space="preserve">No</w:t>
            </w:r>
          </w:p>
        </w:tc>
        <w:tc>
          <w:tcPr>
            <w:tcW w:type="pct" w:w="28%"/>
          </w:tcPr>
          <w:p>
            <w:r>
              <w:rPr>
                <w:rFonts w:ascii="Calibri" w:cs="Calibri" w:eastAsia="Calibri" w:hAnsi="Calibri"/>
                <w:b w:val="false"/>
                <w:bCs w:val="false"/>
                <w:i w:val="false"/>
                <w:iCs w:val="false"/>
                <w:strike w:val="false"/>
                <w:color w:val="000000"/>
                <w:sz w:val="20"/>
                <w:szCs w:val="20"/>
              </w:rPr>
              <w:t xml:space="preserve">Yes</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Change compression or encryption defaults</w:t>
            </w:r>
          </w:p>
        </w:tc>
        <w:tc>
          <w:tcPr>
            <w:tcW w:type="pct" w:w="15%"/>
          </w:tcPr>
          <w:p>
            <w:r>
              <w:rPr>
                <w:rFonts w:ascii="Calibri" w:cs="Calibri" w:eastAsia="Calibri" w:hAnsi="Calibri"/>
                <w:b w:val="false"/>
                <w:bCs w:val="false"/>
                <w:i w:val="false"/>
                <w:iCs w:val="false"/>
                <w:strike w:val="false"/>
                <w:color w:val="000000"/>
                <w:sz w:val="20"/>
                <w:szCs w:val="20"/>
              </w:rPr>
              <w:t xml:space="preserve">Minor</w:t>
            </w:r>
          </w:p>
        </w:tc>
        <w:tc>
          <w:tcPr>
            <w:tcW w:type="pct" w:w="32%"/>
          </w:tcPr>
          <w:p>
            <w:r>
              <w:rPr>
                <w:rFonts w:ascii="Calibri" w:cs="Calibri" w:eastAsia="Calibri" w:hAnsi="Calibri"/>
                <w:b w:val="false"/>
                <w:bCs w:val="false"/>
                <w:i w:val="false"/>
                <w:iCs w:val="false"/>
                <w:strike w:val="false"/>
                <w:color w:val="000000"/>
                <w:sz w:val="20"/>
                <w:szCs w:val="20"/>
              </w:rPr>
              <w:t xml:space="preserve">Yes — both old and new formats declared in Header Block</w:t>
            </w:r>
          </w:p>
        </w:tc>
        <w:tc>
          <w:tcPr>
            <w:tcW w:type="pct" w:w="28%"/>
          </w:tcPr>
          <w:p>
            <w:r>
              <w:rPr>
                <w:rFonts w:ascii="Calibri" w:cs="Calibri" w:eastAsia="Calibri" w:hAnsi="Calibri"/>
                <w:b w:val="false"/>
                <w:bCs w:val="false"/>
                <w:i w:val="false"/>
                <w:iCs w:val="false"/>
                <w:strike w:val="false"/>
                <w:color w:val="000000"/>
                <w:sz w:val="20"/>
                <w:szCs w:val="20"/>
              </w:rPr>
              <w:t xml:space="preserve">No</w:t>
            </w:r>
          </w:p>
        </w:tc>
      </w:tr>
      <w:tr>
        <w:trPr>
          <w:tblHeader w:val="false"/>
        </w:trPr>
        <w:tc>
          <w:tcPr>
            <w:tcW w:type="pct" w:w="25%"/>
          </w:tcPr>
          <w:p>
            <w:r>
              <w:rPr>
                <w:rFonts w:ascii="Calibri" w:cs="Calibri" w:eastAsia="Calibri" w:hAnsi="Calibri"/>
                <w:b w:val="false"/>
                <w:bCs w:val="false"/>
                <w:i w:val="false"/>
                <w:iCs w:val="false"/>
                <w:strike w:val="false"/>
                <w:color w:val="000000"/>
                <w:sz w:val="20"/>
                <w:szCs w:val="20"/>
              </w:rPr>
              <w:t xml:space="preserve">Bug fix in field encoding (no semantic change)</w:t>
            </w:r>
          </w:p>
        </w:tc>
        <w:tc>
          <w:tcPr>
            <w:tcW w:type="pct" w:w="15%"/>
          </w:tcPr>
          <w:p>
            <w:r>
              <w:rPr>
                <w:rFonts w:ascii="Calibri" w:cs="Calibri" w:eastAsia="Calibri" w:hAnsi="Calibri"/>
                <w:b w:val="false"/>
                <w:bCs w:val="false"/>
                <w:i w:val="false"/>
                <w:iCs w:val="false"/>
                <w:strike w:val="false"/>
                <w:color w:val="000000"/>
                <w:sz w:val="20"/>
                <w:szCs w:val="20"/>
              </w:rPr>
              <w:t xml:space="preserve">Patch (x.y → x.y+1)</w:t>
            </w:r>
          </w:p>
        </w:tc>
        <w:tc>
          <w:tcPr>
            <w:tcW w:type="pct" w:w="32%"/>
          </w:tcPr>
          <w:p>
            <w:r>
              <w:rPr>
                <w:rFonts w:ascii="Calibri" w:cs="Calibri" w:eastAsia="Calibri" w:hAnsi="Calibri"/>
                <w:b w:val="false"/>
                <w:bCs w:val="false"/>
                <w:i w:val="false"/>
                <w:iCs w:val="false"/>
                <w:strike w:val="false"/>
                <w:color w:val="000000"/>
                <w:sz w:val="20"/>
                <w:szCs w:val="20"/>
              </w:rPr>
              <w:t xml:space="preserve">Yes</w:t>
            </w:r>
          </w:p>
        </w:tc>
        <w:tc>
          <w:tcPr>
            <w:tcW w:type="pct" w:w="28%"/>
          </w:tcPr>
          <w:p>
            <w:r>
              <w:rPr>
                <w:rFonts w:ascii="Calibri" w:cs="Calibri" w:eastAsia="Calibri" w:hAnsi="Calibri"/>
                <w:b w:val="false"/>
                <w:bCs w:val="false"/>
                <w:i w:val="false"/>
                <w:iCs w:val="false"/>
                <w:strike w:val="false"/>
                <w:color w:val="000000"/>
                <w:sz w:val="20"/>
                <w:szCs w:val="20"/>
              </w:rPr>
              <w:t xml:space="preserve">Optional (recommended for affected records)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minimum supported parser version policy requires all production QueryBook deployments to support QBF versions within 2 major versions of the current release. Deployment operators receive 18 months advance notice before any major version is deprecated.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XIII — STORAGE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XIII Executive Summary</w:t>
            </w:r>
            <w:r>
              <w:rPr>
                <w:rFonts w:ascii="Calibri" w:cs="Calibri" w:eastAsia="Calibri" w:hAnsi="Calibri"/>
                <w:b/>
                <w:bCs/>
                <w:i w:val="false"/>
                <w:iCs w:val="false"/>
                <w:strike w:val="false"/>
                <w:color w:val="333333"/>
                <w:sz w:val="24"/>
                <w:szCs w:val="24"/>
              </w:rPr>
              <w:t xml:space="preserve">Part XIII specifies the five-tier storage architecture that persists all QueryBook Fact Units, the Fact Graph, vector indexes, and the Provenance Ledger across the full data temperature spectrum from nanosecond in-memory access to long-term cold archive. It covers HNSW vector index architecture for semantic search at 10B+ Fact Unit scale, sharding and replication strategy, and backup and disaster recovery specifications. This Part is the primary reference for patent Cluster N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XIII: Storage Architecture</w:t>
      </w:r>
    </w:p>
    <w:p>
      <w:pPr>
        <w:pStyle w:val="Heading1"/>
        <w:spacing w:after="120" w:before="240" w:line="288" w:lineRule="auto"/>
      </w:pPr>
      <w:r>
        <w:rPr>
          <w:rFonts w:ascii="Calibri" w:cs="Calibri" w:eastAsia="Calibri" w:hAnsi="Calibri"/>
          <w:color w:val="000000"/>
          <w:sz w:val="48"/>
          <w:szCs w:val="48"/>
        </w:rPr>
        <w:t xml:space="preserve">Chapter 14: QueryBook Storage Architecture — Complete Specification</w:t>
      </w:r>
    </w:p>
    <w:p>
      <w:pPr>
        <w:pStyle w:val="Heading2"/>
        <w:spacing w:after="120" w:before="240" w:line="288" w:lineRule="auto"/>
      </w:pPr>
      <w:r>
        <w:rPr>
          <w:rFonts w:ascii="Calibri" w:cs="Calibri" w:eastAsia="Calibri" w:hAnsi="Calibri"/>
          <w:color w:val="000000"/>
          <w:sz w:val="36"/>
          <w:szCs w:val="36"/>
        </w:rPr>
        <w:t xml:space="preserve">14.1 Storage Layer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Tier</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31%"/>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Fact Unit States Stored</w:t>
            </w:r>
          </w:p>
        </w:tc>
        <w:tc>
          <w:tcPr>
            <w:tcW w:type="pct" w:w="9%"/>
            <w:shd w:fill="DCE6F0" w:color="auto" w:val="clear"/>
          </w:tcPr>
          <w:p>
            <w:r>
              <w:rPr>
                <w:rFonts w:ascii="Calibri" w:cs="Calibri" w:eastAsia="Calibri" w:hAnsi="Calibri"/>
                <w:b/>
                <w:bCs/>
                <w:i w:val="false"/>
                <w:iCs w:val="false"/>
                <w:strike w:val="false"/>
                <w:color w:val="0D2A5E"/>
                <w:sz w:val="20"/>
                <w:szCs w:val="20"/>
              </w:rPr>
              <w:t xml:space="preserve">Target Latency</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Retention Policy</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0</w:t>
            </w:r>
          </w:p>
        </w:tc>
        <w:tc>
          <w:tcPr>
            <w:tcW w:type="pct" w:w="10%"/>
          </w:tcPr>
          <w:p>
            <w:r>
              <w:rPr>
                <w:rFonts w:ascii="Calibri" w:cs="Calibri" w:eastAsia="Calibri" w:hAnsi="Calibri"/>
                <w:b w:val="false"/>
                <w:bCs w:val="false"/>
                <w:i w:val="false"/>
                <w:iCs w:val="false"/>
                <w:strike w:val="false"/>
                <w:color w:val="000000"/>
                <w:sz w:val="20"/>
                <w:szCs w:val="20"/>
              </w:rPr>
              <w:t xml:space="preserve">Hot Cache</w:t>
            </w:r>
          </w:p>
        </w:tc>
        <w:tc>
          <w:tcPr>
            <w:tcW w:type="pct" w:w="31%"/>
          </w:tcPr>
          <w:p>
            <w:r>
              <w:rPr>
                <w:rFonts w:ascii="Calibri" w:cs="Calibri" w:eastAsia="Calibri" w:hAnsi="Calibri"/>
                <w:b w:val="false"/>
                <w:bCs w:val="false"/>
                <w:i w:val="false"/>
                <w:iCs w:val="false"/>
                <w:strike w:val="false"/>
                <w:color w:val="000000"/>
                <w:sz w:val="20"/>
                <w:szCs w:val="20"/>
              </w:rPr>
              <w:t xml:space="preserve">In-memorydistributed cache (Redis-compatible API); implemented with custom QB-aware eviction policies</w:t>
            </w:r>
          </w:p>
        </w:tc>
        <w:tc>
          <w:tcPr>
            <w:tcW w:type="pct" w:w="18%"/>
          </w:tcPr>
          <w:p>
            <w:r>
              <w:rPr>
                <w:rFonts w:ascii="Calibri" w:cs="Calibri" w:eastAsia="Calibri" w:hAnsi="Calibri"/>
                <w:b w:val="false"/>
                <w:bCs w:val="false"/>
                <w:i w:val="false"/>
                <w:iCs w:val="false"/>
                <w:strike w:val="false"/>
                <w:color w:val="000000"/>
                <w:sz w:val="20"/>
                <w:szCs w:val="20"/>
              </w:rPr>
              <w:t xml:space="preserve">ACTIVE (frequently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1ms</w:t>
            </w:r>
          </w:p>
        </w:tc>
        <w:tc>
          <w:tcPr>
            <w:tcW w:type="pct" w:w="23%"/>
          </w:tcPr>
          <w:p>
            <w:r>
              <w:rPr>
                <w:rFonts w:ascii="Calibri" w:cs="Calibri" w:eastAsia="Calibri" w:hAnsi="Calibri"/>
                <w:b w:val="false"/>
                <w:bCs w:val="false"/>
                <w:i w:val="false"/>
                <w:iCs w:val="false"/>
                <w:strike w:val="false"/>
                <w:color w:val="000000"/>
                <w:sz w:val="20"/>
                <w:szCs w:val="20"/>
              </w:rPr>
              <w:t xml:space="preserve">LRU eviction; maximum configurable memory allocation (default: 512GB per cluster)</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1</w:t>
            </w:r>
          </w:p>
        </w:tc>
        <w:tc>
          <w:tcPr>
            <w:tcW w:type="pct" w:w="10%"/>
          </w:tcPr>
          <w:p>
            <w:r>
              <w:rPr>
                <w:rFonts w:ascii="Calibri" w:cs="Calibri" w:eastAsia="Calibri" w:hAnsi="Calibri"/>
                <w:b w:val="false"/>
                <w:bCs w:val="false"/>
                <w:i w:val="false"/>
                <w:iCs w:val="false"/>
                <w:strike w:val="false"/>
                <w:color w:val="000000"/>
                <w:sz w:val="20"/>
                <w:szCs w:val="20"/>
              </w:rPr>
              <w:t xml:space="preserve">Active Store</w:t>
            </w:r>
          </w:p>
        </w:tc>
        <w:tc>
          <w:tcPr>
            <w:tcW w:type="pct" w:w="31%"/>
          </w:tcPr>
          <w:p>
            <w:r>
              <w:rPr>
                <w:rFonts w:ascii="Calibri" w:cs="Calibri" w:eastAsia="Calibri" w:hAnsi="Calibri"/>
                <w:b w:val="false"/>
                <w:bCs w:val="false"/>
                <w:i w:val="false"/>
                <w:iCs w:val="false"/>
                <w:strike w:val="false"/>
                <w:color w:val="000000"/>
                <w:sz w:val="20"/>
                <w:szCs w:val="20"/>
              </w:rPr>
              <w:t xml:space="preserve">SSD-backed distributed key-value store (RocksDB-compatible API); optimized for random read/write of Fact Unit records by FUID</w:t>
            </w:r>
          </w:p>
        </w:tc>
        <w:tc>
          <w:tcPr>
            <w:tcW w:type="pct" w:w="18%"/>
          </w:tcPr>
          <w:p>
            <w:r>
              <w:rPr>
                <w:rFonts w:ascii="Calibri" w:cs="Calibri" w:eastAsia="Calibri" w:hAnsi="Calibri"/>
                <w:b w:val="false"/>
                <w:bCs w:val="false"/>
                <w:i w:val="false"/>
                <w:iCs w:val="false"/>
                <w:strike w:val="false"/>
                <w:color w:val="000000"/>
                <w:sz w:val="20"/>
                <w:szCs w:val="20"/>
              </w:rPr>
              <w:t xml:space="preserve">ACTIVE, VALIDATED</w:t>
            </w:r>
          </w:p>
        </w:tc>
        <w:tc>
          <w:tcPr>
            <w:tcW w:type="pct" w:w="9%"/>
          </w:tcPr>
          <w:p>
            <w:r>
              <w:rPr>
                <w:rFonts w:ascii="Calibri" w:cs="Calibri" w:eastAsia="Calibri" w:hAnsi="Calibri"/>
                <w:b w:val="false"/>
                <w:bCs w:val="false"/>
                <w:i w:val="false"/>
                <w:iCs w:val="false"/>
                <w:strike w:val="false"/>
                <w:color w:val="000000"/>
                <w:sz w:val="20"/>
                <w:szCs w:val="20"/>
              </w:rPr>
              <w:t xml:space="preserve">&lt; 10ms</w:t>
            </w:r>
          </w:p>
        </w:tc>
        <w:tc>
          <w:tcPr>
            <w:tcW w:type="pct" w:w="23%"/>
          </w:tcPr>
          <w:p>
            <w:r>
              <w:rPr>
                <w:rFonts w:ascii="Calibri" w:cs="Calibri" w:eastAsia="Calibri" w:hAnsi="Calibri"/>
                <w:b w:val="false"/>
                <w:bCs w:val="false"/>
                <w:i w:val="false"/>
                <w:iCs w:val="false"/>
                <w:strike w:val="false"/>
                <w:color w:val="000000"/>
                <w:sz w:val="20"/>
                <w:szCs w:val="20"/>
              </w:rPr>
              <w:t xml:space="preserve">All Active Fact Units retained indefinitely until lifecycle state transition</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2</w:t>
            </w:r>
          </w:p>
        </w:tc>
        <w:tc>
          <w:tcPr>
            <w:tcW w:type="pct" w:w="10%"/>
          </w:tcPr>
          <w:p>
            <w:r>
              <w:rPr>
                <w:rFonts w:ascii="Calibri" w:cs="Calibri" w:eastAsia="Calibri" w:hAnsi="Calibri"/>
                <w:b w:val="false"/>
                <w:bCs w:val="false"/>
                <w:i w:val="false"/>
                <w:iCs w:val="false"/>
                <w:strike w:val="false"/>
                <w:color w:val="000000"/>
                <w:sz w:val="20"/>
                <w:szCs w:val="20"/>
              </w:rPr>
              <w:t xml:space="preserve">Warm Store</w:t>
            </w:r>
          </w:p>
        </w:tc>
        <w:tc>
          <w:tcPr>
            <w:tcW w:type="pct" w:w="31%"/>
          </w:tcPr>
          <w:p>
            <w:r>
              <w:rPr>
                <w:rFonts w:ascii="Calibri" w:cs="Calibri" w:eastAsia="Calibri" w:hAnsi="Calibri"/>
                <w:b w:val="false"/>
                <w:bCs w:val="false"/>
                <w:i w:val="false"/>
                <w:iCs w:val="false"/>
                <w:strike w:val="false"/>
                <w:color w:val="000000"/>
                <w:sz w:val="20"/>
                <w:szCs w:val="20"/>
              </w:rPr>
              <w:t xml:space="preserve">NVMe-backed columnar store (Apache Parquet-format internal layout); optimized for scan-heavy analytics queries and batch operations</w:t>
            </w:r>
          </w:p>
        </w:tc>
        <w:tc>
          <w:tcPr>
            <w:tcW w:type="pct" w:w="18%"/>
          </w:tcPr>
          <w:p>
            <w:r>
              <w:rPr>
                <w:rFonts w:ascii="Calibri" w:cs="Calibri" w:eastAsia="Calibri" w:hAnsi="Calibri"/>
                <w:b w:val="false"/>
                <w:bCs w:val="false"/>
                <w:i w:val="false"/>
                <w:iCs w:val="false"/>
                <w:strike w:val="false"/>
                <w:color w:val="000000"/>
                <w:sz w:val="20"/>
                <w:szCs w:val="20"/>
              </w:rPr>
              <w:t xml:space="preserve">SUPERSEDED (recent); ACTIVE (infrequently accessed)</w:t>
            </w:r>
          </w:p>
        </w:tc>
        <w:tc>
          <w:tcPr>
            <w:tcW w:type="pct" w:w="9%"/>
          </w:tcPr>
          <w:p>
            <w:r>
              <w:rPr>
                <w:rFonts w:ascii="Calibri" w:cs="Calibri" w:eastAsia="Calibri" w:hAnsi="Calibri"/>
                <w:b w:val="false"/>
                <w:bCs w:val="false"/>
                <w:i w:val="false"/>
                <w:iCs w:val="false"/>
                <w:strike w:val="false"/>
                <w:color w:val="000000"/>
                <w:sz w:val="20"/>
                <w:szCs w:val="20"/>
              </w:rPr>
              <w:t xml:space="preserve">&lt; 100ms</w:t>
            </w:r>
          </w:p>
        </w:tc>
        <w:tc>
          <w:tcPr>
            <w:tcW w:type="pct" w:w="23%"/>
          </w:tcPr>
          <w:p>
            <w:r>
              <w:rPr>
                <w:rFonts w:ascii="Calibri" w:cs="Calibri" w:eastAsia="Calibri" w:hAnsi="Calibri"/>
                <w:b w:val="false"/>
                <w:bCs w:val="false"/>
                <w:i w:val="false"/>
                <w:iCs w:val="false"/>
                <w:strike w:val="false"/>
                <w:color w:val="000000"/>
                <w:sz w:val="20"/>
                <w:szCs w:val="20"/>
              </w:rPr>
              <w:t xml:space="preserve">Fact Units accessed within past 90 days; auto-promoted to Tier 1 on access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3</w:t>
            </w:r>
          </w:p>
        </w:tc>
        <w:tc>
          <w:tcPr>
            <w:tcW w:type="pct" w:w="10%"/>
          </w:tcPr>
          <w:p>
            <w:r>
              <w:rPr>
                <w:rFonts w:ascii="Calibri" w:cs="Calibri" w:eastAsia="Calibri" w:hAnsi="Calibri"/>
                <w:b w:val="false"/>
                <w:bCs w:val="false"/>
                <w:i w:val="false"/>
                <w:iCs w:val="false"/>
                <w:strike w:val="false"/>
                <w:color w:val="000000"/>
                <w:sz w:val="20"/>
                <w:szCs w:val="20"/>
              </w:rPr>
              <w:t xml:space="preserve">Cold Archive</w:t>
            </w:r>
          </w:p>
        </w:tc>
        <w:tc>
          <w:tcPr>
            <w:tcW w:type="pct" w:w="31%"/>
          </w:tcPr>
          <w:p>
            <w:r>
              <w:rPr>
                <w:rFonts w:ascii="Calibri" w:cs="Calibri" w:eastAsia="Calibri" w:hAnsi="Calibri"/>
                <w:b w:val="false"/>
                <w:bCs w:val="false"/>
                <w:i w:val="false"/>
                <w:iCs w:val="false"/>
                <w:strike w:val="false"/>
                <w:color w:val="000000"/>
                <w:sz w:val="20"/>
                <w:szCs w:val="20"/>
              </w:rPr>
              <w:t xml:space="preserve">S3-compatible object storage; Fact Units stored as QBF Bundles of 10,000 records per object; content-addressed</w:t>
            </w:r>
          </w:p>
        </w:tc>
        <w:tc>
          <w:tcPr>
            <w:tcW w:type="pct" w:w="18%"/>
          </w:tcPr>
          <w:p>
            <w:r>
              <w:rPr>
                <w:rFonts w:ascii="Calibri" w:cs="Calibri" w:eastAsia="Calibri" w:hAnsi="Calibri"/>
                <w:b w:val="false"/>
                <w:bCs w:val="false"/>
                <w:i w:val="false"/>
                <w:iCs w:val="false"/>
                <w:strike w:val="false"/>
                <w:color w:val="000000"/>
                <w:sz w:val="20"/>
                <w:szCs w:val="20"/>
              </w:rPr>
              <w:t xml:space="preserve">ARCHIVED, SUPERSEDED (older than 90 days)</w:t>
            </w:r>
          </w:p>
        </w:tc>
        <w:tc>
          <w:tcPr>
            <w:tcW w:type="pct" w:w="9%"/>
          </w:tcPr>
          <w:p>
            <w:r>
              <w:rPr>
                <w:rFonts w:ascii="Calibri" w:cs="Calibri" w:eastAsia="Calibri" w:hAnsi="Calibri"/>
                <w:b w:val="false"/>
                <w:bCs w:val="false"/>
                <w:i w:val="false"/>
                <w:iCs w:val="false"/>
                <w:strike w:val="false"/>
                <w:color w:val="000000"/>
                <w:sz w:val="20"/>
                <w:szCs w:val="20"/>
              </w:rPr>
              <w:t xml:space="preserve">&lt; 1s</w:t>
            </w:r>
          </w:p>
        </w:tc>
        <w:tc>
          <w:tcPr>
            <w:tcW w:type="pct" w:w="23%"/>
          </w:tcPr>
          <w:p>
            <w:r>
              <w:rPr>
                <w:rFonts w:ascii="Calibri" w:cs="Calibri" w:eastAsia="Calibri" w:hAnsi="Calibri"/>
                <w:b w:val="false"/>
                <w:bCs w:val="false"/>
                <w:i w:val="false"/>
                <w:iCs w:val="false"/>
                <w:strike w:val="false"/>
                <w:color w:val="000000"/>
                <w:sz w:val="20"/>
                <w:szCs w:val="20"/>
              </w:rPr>
              <w:t xml:space="preserve">Retained per regulatory retention policy; minimum 7 years default</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Tier 4</w:t>
            </w:r>
          </w:p>
        </w:tc>
        <w:tc>
          <w:tcPr>
            <w:tcW w:type="pct" w:w="10%"/>
          </w:tcPr>
          <w:p>
            <w:r>
              <w:rPr>
                <w:rFonts w:ascii="Calibri" w:cs="Calibri" w:eastAsia="Calibri" w:hAnsi="Calibri"/>
                <w:b w:val="false"/>
                <w:bCs w:val="false"/>
                <w:i w:val="false"/>
                <w:iCs w:val="false"/>
                <w:strike w:val="false"/>
                <w:color w:val="000000"/>
                <w:sz w:val="20"/>
                <w:szCs w:val="20"/>
              </w:rPr>
              <w:t xml:space="preserve">Deep Archive</w:t>
            </w:r>
          </w:p>
        </w:tc>
        <w:tc>
          <w:tcPr>
            <w:tcW w:type="pct" w:w="31%"/>
          </w:tcPr>
          <w:p>
            <w:r>
              <w:rPr>
                <w:rFonts w:ascii="Calibri" w:cs="Calibri" w:eastAsia="Calibri" w:hAnsi="Calibri"/>
                <w:b w:val="false"/>
                <w:bCs w:val="false"/>
                <w:i w:val="false"/>
                <w:iCs w:val="false"/>
                <w:strike w:val="false"/>
                <w:color w:val="000000"/>
                <w:sz w:val="20"/>
                <w:szCs w:val="20"/>
              </w:rPr>
              <w:t xml:space="preserve">Cold object storage or tape archive (Glacier-compatible API); accessed only for compliance audits or forensic retrieval</w:t>
            </w:r>
          </w:p>
        </w:tc>
        <w:tc>
          <w:tcPr>
            <w:tcW w:type="pct" w:w="18%"/>
          </w:tcPr>
          <w:p>
            <w:r>
              <w:rPr>
                <w:rFonts w:ascii="Calibri" w:cs="Calibri" w:eastAsia="Calibri" w:hAnsi="Calibri"/>
                <w:b w:val="false"/>
                <w:bCs w:val="false"/>
                <w:i w:val="false"/>
                <w:iCs w:val="false"/>
                <w:strike w:val="false"/>
                <w:color w:val="000000"/>
                <w:sz w:val="20"/>
                <w:szCs w:val="20"/>
              </w:rPr>
              <w:t xml:space="preserve">ARCHIVED (compliance-retained); PURGED tombstone records</w:t>
            </w:r>
          </w:p>
        </w:tc>
        <w:tc>
          <w:tcPr>
            <w:tcW w:type="pct" w:w="9%"/>
          </w:tcPr>
          <w:p>
            <w:r>
              <w:rPr>
                <w:rFonts w:ascii="Calibri" w:cs="Calibri" w:eastAsia="Calibri" w:hAnsi="Calibri"/>
                <w:b w:val="false"/>
                <w:bCs w:val="false"/>
                <w:i w:val="false"/>
                <w:iCs w:val="false"/>
                <w:strike w:val="false"/>
                <w:color w:val="000000"/>
                <w:sz w:val="20"/>
                <w:szCs w:val="20"/>
              </w:rPr>
              <w:t xml:space="preserve">&lt; 1 hour</w:t>
            </w:r>
          </w:p>
        </w:tc>
        <w:tc>
          <w:tcPr>
            <w:tcW w:type="pct" w:w="23%"/>
          </w:tcPr>
          <w:p>
            <w:r>
              <w:rPr>
                <w:rFonts w:ascii="Calibri" w:cs="Calibri" w:eastAsia="Calibri" w:hAnsi="Calibri"/>
                <w:b w:val="false"/>
                <w:bCs w:val="false"/>
                <w:i w:val="false"/>
                <w:iCs w:val="false"/>
                <w:strike w:val="false"/>
                <w:color w:val="000000"/>
                <w:sz w:val="20"/>
                <w:szCs w:val="20"/>
              </w:rPr>
              <w:t xml:space="preserve">Per regulatory mandate; cryptographic tombstones retained indefinitely</w:t>
            </w:r>
          </w:p>
        </w:tc>
      </w:tr>
    </w:tbl>
    <w:p>
      <w:pPr>
        <w:spacing w:after="200" w:before="0"/>
      </w:pPr>
    </w:p>
    <w:p>
      <w:pPr>
        <w:pStyle w:val="Heading3"/>
        <w:spacing w:after="120" w:before="240" w:line="288" w:lineRule="auto"/>
      </w:pPr>
      <w:r>
        <w:rPr>
          <w:rFonts w:ascii="Calibri" w:cs="Calibri" w:eastAsia="Calibri" w:hAnsi="Calibri"/>
          <w:color w:val="000000"/>
          <w:sz w:val="30"/>
          <w:szCs w:val="30"/>
        </w:rPr>
        <w:t xml:space="preserve">14.1.1 Tier Promotion and Demotion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move between storage tiers based on access frequency and lifecycle state: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Promotion (cold → hot):</w:t>
      </w:r>
      <w:r>
        <w:rPr>
          <w:rFonts w:ascii="Calibri" w:cs="Calibri" w:eastAsia="Calibri" w:hAnsi="Calibri"/>
          <w:b w:val="false"/>
          <w:bCs w:val="false"/>
          <w:i w:val="false"/>
          <w:iCs w:val="false"/>
          <w:strike w:val="false"/>
          <w:color w:val="000000"/>
          <w:sz w:val="22"/>
          <w:szCs w:val="22"/>
        </w:rPr>
        <w:t xml:space="preserve"> Any Fact Unit retrieval from Tier 2 or below triggers an async promotion to Tier 1 and Tier 0 caching, with TTL proportional to the access recency score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Demotion (hot → cold):</w:t>
      </w:r>
      <w:r>
        <w:rPr>
          <w:rFonts w:ascii="Calibri" w:cs="Calibri" w:eastAsia="Calibri" w:hAnsi="Calibri"/>
          <w:b w:val="false"/>
          <w:bCs w:val="false"/>
          <w:i w:val="false"/>
          <w:iCs w:val="false"/>
          <w:strike w:val="false"/>
          <w:color w:val="000000"/>
          <w:sz w:val="22"/>
          <w:szCs w:val="22"/>
        </w:rPr>
        <w:t xml:space="preserve"> Tier 0 LRU eviction pushes to Tier 1; Tier 1 access-frequency analysis (computed nightly) demotes infrequently accessed ACTIVE Fact Units to Tier 2; lifecycle state transitions to SUPERSEDED or ARCHIVED trigger migration to Tier 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4 migration:</w:t>
      </w:r>
      <w:r>
        <w:rPr>
          <w:rFonts w:ascii="Calibri" w:cs="Calibri" w:eastAsia="Calibri" w:hAnsi="Calibri"/>
          <w:b w:val="false"/>
          <w:bCs w:val="false"/>
          <w:i w:val="false"/>
          <w:iCs w:val="false"/>
          <w:strike w:val="false"/>
          <w:color w:val="000000"/>
          <w:sz w:val="22"/>
          <w:szCs w:val="22"/>
        </w:rPr>
        <w:t xml:space="preserve"> Triggered only by explicit policy rules (compliance mandate, deep retention requirement) and requires dual-approval workflow</w:t>
      </w:r>
    </w:p>
    <w:p>
      <w:pPr>
        <w:pStyle w:val="Heading2"/>
        <w:spacing w:after="120" w:before="240" w:line="288" w:lineRule="auto"/>
      </w:pPr>
      <w:r>
        <w:rPr>
          <w:rFonts w:ascii="Calibri" w:cs="Calibri" w:eastAsia="Calibri" w:hAnsi="Calibri"/>
          <w:color w:val="000000"/>
          <w:sz w:val="36"/>
          <w:szCs w:val="36"/>
        </w:rPr>
        <w:t xml:space="preserve">14.2 Fact Graph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Fact Graph is stored as a persistent property hypergraph. The underlying storage representation uses a hybrid adjacency list and inverted index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0" w:color="auto" w:val="clear"/>
          </w:tcPr>
          <w:p>
            <w:r>
              <w:rPr>
                <w:rFonts w:ascii="Calibri" w:cs="Calibri" w:eastAsia="Calibri" w:hAnsi="Calibri"/>
                <w:b/>
                <w:bCs/>
                <w:i w:val="false"/>
                <w:iCs w:val="false"/>
                <w:strike w:val="false"/>
                <w:color w:val="0D2A5E"/>
                <w:sz w:val="20"/>
                <w:szCs w:val="20"/>
              </w:rPr>
              <w:t xml:space="preserve">Structure</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Storage Format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Index Type</w:t>
            </w:r>
          </w:p>
        </w:tc>
        <w:tc>
          <w:tcPr>
            <w:tcW w:type="pct" w:w="38%"/>
            <w:shd w:fill="DCE6F0" w:color="auto" w:val="cle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Vertex records (Fact Units)</w:t>
            </w:r>
          </w:p>
        </w:tc>
        <w:tc>
          <w:tcPr>
            <w:tcW w:type="pct" w:w="27%"/>
          </w:tcPr>
          <w:p>
            <w:r>
              <w:rPr>
                <w:rFonts w:ascii="Calibri" w:cs="Calibri" w:eastAsia="Calibri" w:hAnsi="Calibri"/>
                <w:b w:val="false"/>
                <w:bCs w:val="false"/>
                <w:i w:val="false"/>
                <w:iCs w:val="false"/>
                <w:strike w:val="false"/>
                <w:color w:val="000000"/>
                <w:sz w:val="20"/>
                <w:szCs w:val="20"/>
              </w:rPr>
              <w:t xml:space="preserve">QBF-encoded records in Tier 1 Active Store keyed by FUID</w:t>
            </w:r>
          </w:p>
        </w:tc>
        <w:tc>
          <w:tcPr>
            <w:tcW w:type="pct" w:w="16%"/>
          </w:tcPr>
          <w:p>
            <w:r>
              <w:rPr>
                <w:rFonts w:ascii="Calibri" w:cs="Calibri" w:eastAsia="Calibri" w:hAnsi="Calibri"/>
                <w:b w:val="false"/>
                <w:bCs w:val="false"/>
                <w:i w:val="false"/>
                <w:iCs w:val="false"/>
                <w:strike w:val="false"/>
                <w:color w:val="000000"/>
                <w:sz w:val="20"/>
                <w:szCs w:val="20"/>
              </w:rPr>
              <w:t xml:space="preserve">B-tree on FUID (primary)</w:t>
            </w:r>
          </w:p>
        </w:tc>
        <w:tc>
          <w:tcPr>
            <w:tcW w:type="pct" w:w="38%"/>
          </w:tcPr>
          <w:p>
            <w:r>
              <w:rPr>
                <w:rFonts w:ascii="Calibri" w:cs="Calibri" w:eastAsia="Calibri" w:hAnsi="Calibri"/>
                <w:b w:val="false"/>
                <w:bCs w:val="false"/>
                <w:i w:val="false"/>
                <w:iCs w:val="false"/>
                <w:strike w:val="false"/>
                <w:color w:val="000000"/>
                <w:sz w:val="20"/>
                <w:szCs w:val="20"/>
              </w:rPr>
              <w:t xml:space="preserve">O(1) Fact Unit retrieval by FUID</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Outgoing edge lists (RelationSet)</w:t>
            </w:r>
          </w:p>
        </w:tc>
        <w:tc>
          <w:tcPr>
            <w:tcW w:type="pct" w:w="27%"/>
          </w:tcPr>
          <w:p>
            <w:r>
              <w:rPr>
                <w:rFonts w:ascii="Calibri" w:cs="Calibri" w:eastAsia="Calibri" w:hAnsi="Calibri"/>
                <w:b w:val="false"/>
                <w:bCs w:val="false"/>
                <w:i w:val="false"/>
                <w:iCs w:val="false"/>
                <w:strike w:val="false"/>
                <w:color w:val="000000"/>
                <w:sz w:val="20"/>
                <w:szCs w:val="20"/>
              </w:rPr>
              <w:t xml:space="preserve">Compressed adjacency list keyed by (FUID,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traversal from a vertex along a typed edge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Incoming edge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(TargetFUID, PredicateRef)</w:t>
            </w:r>
          </w:p>
        </w:tc>
        <w:tc>
          <w:tcPr>
            <w:tcW w:type="pct" w:w="16%"/>
          </w:tcPr>
          <w:p>
            <w:r>
              <w:rPr>
                <w:rFonts w:ascii="Calibri" w:cs="Calibri" w:eastAsia="Calibri" w:hAnsi="Calibri"/>
                <w:b w:val="false"/>
                <w:bCs w:val="false"/>
                <w:i w:val="false"/>
                <w:iCs w:val="false"/>
                <w:strike w:val="false"/>
                <w:color w:val="000000"/>
                <w:sz w:val="20"/>
                <w:szCs w:val="20"/>
              </w:rPr>
              <w:t xml:space="preserve">B-tree on composite key</w:t>
            </w:r>
          </w:p>
        </w:tc>
        <w:tc>
          <w:tcPr>
            <w:tcW w:type="pct" w:w="38%"/>
          </w:tcPr>
          <w:p>
            <w:r>
              <w:rPr>
                <w:rFonts w:ascii="Calibri" w:cs="Calibri" w:eastAsia="Calibri" w:hAnsi="Calibri"/>
                <w:b w:val="false"/>
                <w:bCs w:val="false"/>
                <w:i w:val="false"/>
                <w:iCs w:val="false"/>
                <w:strike w:val="false"/>
                <w:color w:val="000000"/>
                <w:sz w:val="20"/>
                <w:szCs w:val="20"/>
              </w:rPr>
              <w:t xml:space="preserve">O(log n) reverse traversal: "which Fact Units point to this one with this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Subject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SubjectRef EntityID</w:t>
            </w:r>
          </w:p>
        </w:tc>
        <w:tc>
          <w:tcPr>
            <w:tcW w:type="pct" w:w="16%"/>
          </w:tcPr>
          <w:p>
            <w:r>
              <w:rPr>
                <w:rFonts w:ascii="Calibri" w:cs="Calibri" w:eastAsia="Calibri" w:hAnsi="Calibri"/>
                <w:b w:val="false"/>
                <w:bCs w:val="false"/>
                <w:i w:val="false"/>
                <w:iCs w:val="false"/>
                <w:strike w:val="false"/>
                <w:color w:val="000000"/>
                <w:sz w:val="20"/>
                <w:szCs w:val="20"/>
              </w:rPr>
              <w:t xml:space="preserve">B-tree on EntityID</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about a given entity</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Predicate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PredicateRef UUID</w:t>
            </w:r>
          </w:p>
        </w:tc>
        <w:tc>
          <w:tcPr>
            <w:tcW w:type="pct" w:w="16%"/>
          </w:tcPr>
          <w:p>
            <w:r>
              <w:rPr>
                <w:rFonts w:ascii="Calibri" w:cs="Calibri" w:eastAsia="Calibri" w:hAnsi="Calibri"/>
                <w:b w:val="false"/>
                <w:bCs w:val="false"/>
                <w:i w:val="false"/>
                <w:iCs w:val="false"/>
                <w:strike w:val="false"/>
                <w:color w:val="000000"/>
                <w:sz w:val="20"/>
                <w:szCs w:val="20"/>
              </w:rPr>
              <w:t xml:space="preserve">B-tree on PredicateRef</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using a given predicate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Semantic Hash index</w:t>
            </w:r>
          </w:p>
        </w:tc>
        <w:tc>
          <w:tcPr>
            <w:tcW w:type="pct" w:w="27%"/>
          </w:tcPr>
          <w:p>
            <w:r>
              <w:rPr>
                <w:rFonts w:ascii="Calibri" w:cs="Calibri" w:eastAsia="Calibri" w:hAnsi="Calibri"/>
                <w:b w:val="false"/>
                <w:bCs w:val="false"/>
                <w:i w:val="false"/>
                <w:iCs w:val="false"/>
                <w:strike w:val="false"/>
                <w:color w:val="000000"/>
                <w:sz w:val="20"/>
                <w:szCs w:val="20"/>
              </w:rPr>
              <w:t xml:space="preserve">Hash map keyed by SemanticHash</w:t>
            </w:r>
          </w:p>
        </w:tc>
        <w:tc>
          <w:tcPr>
            <w:tcW w:type="pct" w:w="16%"/>
          </w:tcPr>
          <w:p>
            <w:r>
              <w:rPr>
                <w:rFonts w:ascii="Calibri" w:cs="Calibri" w:eastAsia="Calibri" w:hAnsi="Calibri"/>
                <w:b w:val="false"/>
                <w:bCs w:val="false"/>
                <w:i w:val="false"/>
                <w:iCs w:val="false"/>
                <w:strike w:val="false"/>
                <w:color w:val="000000"/>
                <w:sz w:val="20"/>
                <w:szCs w:val="20"/>
              </w:rPr>
              <w:t xml:space="preserve">Hash table with chaining</w:t>
            </w:r>
          </w:p>
        </w:tc>
        <w:tc>
          <w:tcPr>
            <w:tcW w:type="pct" w:w="38%"/>
          </w:tcPr>
          <w:p>
            <w:r>
              <w:rPr>
                <w:rFonts w:ascii="Calibri" w:cs="Calibri" w:eastAsia="Calibri" w:hAnsi="Calibri"/>
                <w:b w:val="false"/>
                <w:bCs w:val="false"/>
                <w:i w:val="false"/>
                <w:iCs w:val="false"/>
                <w:strike w:val="false"/>
                <w:color w:val="000000"/>
                <w:sz w:val="20"/>
                <w:szCs w:val="20"/>
              </w:rPr>
              <w:t xml:space="preserve">O(1) average-case deduplication check on ingestion</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FactType index</w:t>
            </w:r>
          </w:p>
        </w:tc>
        <w:tc>
          <w:tcPr>
            <w:tcW w:type="pct" w:w="27%"/>
          </w:tcPr>
          <w:p>
            <w:r>
              <w:rPr>
                <w:rFonts w:ascii="Calibri" w:cs="Calibri" w:eastAsia="Calibri" w:hAnsi="Calibri"/>
                <w:b w:val="false"/>
                <w:bCs w:val="false"/>
                <w:i w:val="false"/>
                <w:iCs w:val="false"/>
                <w:strike w:val="false"/>
                <w:color w:val="000000"/>
                <w:sz w:val="20"/>
                <w:szCs w:val="20"/>
              </w:rPr>
              <w:t xml:space="preserve">Inverted index keyed by FactType OntologyID</w:t>
            </w:r>
          </w:p>
        </w:tc>
        <w:tc>
          <w:tcPr>
            <w:tcW w:type="pct" w:w="16%"/>
          </w:tcPr>
          <w:p>
            <w:r>
              <w:rPr>
                <w:rFonts w:ascii="Calibri" w:cs="Calibri" w:eastAsia="Calibri" w:hAnsi="Calibri"/>
                <w:b w:val="false"/>
                <w:bCs w:val="false"/>
                <w:i w:val="false"/>
                <w:iCs w:val="false"/>
                <w:strike w:val="false"/>
                <w:color w:val="000000"/>
                <w:sz w:val="20"/>
                <w:szCs w:val="20"/>
              </w:rPr>
              <w:t xml:space="preserve">B-tree on FactType</w:t>
            </w:r>
          </w:p>
        </w:tc>
        <w:tc>
          <w:tcPr>
            <w:tcW w:type="pct" w:w="38%"/>
          </w:tcPr>
          <w:p>
            <w:r>
              <w:rPr>
                <w:rFonts w:ascii="Calibri" w:cs="Calibri" w:eastAsia="Calibri" w:hAnsi="Calibri"/>
                <w:b w:val="false"/>
                <w:bCs w:val="false"/>
                <w:i w:val="false"/>
                <w:iCs w:val="false"/>
                <w:strike w:val="false"/>
                <w:color w:val="000000"/>
                <w:sz w:val="20"/>
                <w:szCs w:val="20"/>
              </w:rPr>
              <w:t xml:space="preserve">O(log n) retrieval of all Fact Units of a given type</w:t>
            </w:r>
          </w:p>
        </w:tc>
      </w:tr>
      <w:tr>
        <w:trPr>
          <w:tblHeader w:val="false"/>
        </w:trPr>
        <w:tc>
          <w:tcPr>
            <w:tcW w:type="pct" w:w="19%"/>
          </w:tcPr>
          <w:p>
            <w:r>
              <w:rPr>
                <w:rFonts w:ascii="Calibri" w:cs="Calibri" w:eastAsia="Calibri" w:hAnsi="Calibri"/>
                <w:b w:val="false"/>
                <w:bCs w:val="false"/>
                <w:i w:val="false"/>
                <w:iCs w:val="false"/>
                <w:strike w:val="false"/>
                <w:color w:val="000000"/>
                <w:sz w:val="20"/>
                <w:szCs w:val="20"/>
              </w:rPr>
              <w:t xml:space="preserve">Temporal index</w:t>
            </w:r>
          </w:p>
        </w:tc>
        <w:tc>
          <w:tcPr>
            <w:tcW w:type="pct" w:w="27%"/>
          </w:tcPr>
          <w:p>
            <w:r>
              <w:rPr>
                <w:rFonts w:ascii="Calibri" w:cs="Calibri" w:eastAsia="Calibri" w:hAnsi="Calibri"/>
                <w:b w:val="false"/>
                <w:bCs w:val="false"/>
                <w:i w:val="false"/>
                <w:iCs w:val="false"/>
                <w:strike w:val="false"/>
                <w:color w:val="000000"/>
                <w:sz w:val="20"/>
                <w:szCs w:val="20"/>
              </w:rPr>
              <w:t xml:space="preserve">Range-tree keyed by (T_start, T_end)</w:t>
            </w:r>
          </w:p>
        </w:tc>
        <w:tc>
          <w:tcPr>
            <w:tcW w:type="pct" w:w="16%"/>
          </w:tcPr>
          <w:p>
            <w:r>
              <w:rPr>
                <w:rFonts w:ascii="Calibri" w:cs="Calibri" w:eastAsia="Calibri" w:hAnsi="Calibri"/>
                <w:b w:val="false"/>
                <w:bCs w:val="false"/>
                <w:i w:val="false"/>
                <w:iCs w:val="false"/>
                <w:strike w:val="false"/>
                <w:color w:val="000000"/>
                <w:sz w:val="20"/>
                <w:szCs w:val="20"/>
              </w:rPr>
              <w:t xml:space="preserve">Interval tree</w:t>
            </w:r>
          </w:p>
        </w:tc>
        <w:tc>
          <w:tcPr>
            <w:tcW w:type="pct" w:w="38%"/>
          </w:tcPr>
          <w:p>
            <w:r>
              <w:rPr>
                <w:rFonts w:ascii="Calibri" w:cs="Calibri" w:eastAsia="Calibri" w:hAnsi="Calibri"/>
                <w:b w:val="false"/>
                <w:bCs w:val="false"/>
                <w:i w:val="false"/>
                <w:iCs w:val="false"/>
                <w:strike w:val="false"/>
                <w:color w:val="000000"/>
                <w:sz w:val="20"/>
                <w:szCs w:val="20"/>
              </w:rPr>
              <w:t xml:space="preserve">O(log n + k) temporal range queries where k is the result set size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consistency model for the Fact Graph is eventual consistency with causal ordering guarantees: all writes that causally follow a given write are guaranteed to be visible to any reader that has seen that write. Within a single FUID's history, reads always reflect the most recent causally ordered write, providing read-your-writes consistency for Fact Unit lifecycle operations.</w:t>
      </w:r>
    </w:p>
    <w:p>
      <w:pPr>
        <w:pStyle w:val="Heading2"/>
        <w:spacing w:after="120" w:before="240" w:line="288" w:lineRule="auto"/>
      </w:pPr>
      <w:r>
        <w:rPr>
          <w:rFonts w:ascii="Calibri" w:cs="Calibri" w:eastAsia="Calibri" w:hAnsi="Calibri"/>
          <w:color w:val="000000"/>
          <w:sz w:val="36"/>
          <w:szCs w:val="36"/>
        </w:rPr>
        <w:t xml:space="preserve">14.3 Vector Index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EmbeddingVectors for all Active Fact Units are indexed in a Hierarchical Navigable Small World (HNSW) graph index, enabling approximate nearest neighbor (ANN) search across the full 4096-dimensional semantic embedding space.</w:t>
      </w:r>
    </w:p>
    <w:p>
      <w:pPr>
        <w:pStyle w:val="Heading3"/>
        <w:spacing w:after="120" w:before="240" w:line="288" w:lineRule="auto"/>
      </w:pPr>
      <w:r>
        <w:rPr>
          <w:rFonts w:ascii="Calibri" w:cs="Calibri" w:eastAsia="Calibri" w:hAnsi="Calibri"/>
          <w:color w:val="000000"/>
          <w:sz w:val="30"/>
          <w:szCs w:val="30"/>
        </w:rPr>
        <w:t xml:space="preserve">14.3.1 HNSW Configuration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DCE6F0" w:color="auto" w:val="clear"/>
          </w:tcPr>
          <w:p>
            <w:r>
              <w:rPr>
                <w:rFonts w:ascii="Calibri" w:cs="Calibri" w:eastAsia="Calibri" w:hAnsi="Calibri"/>
                <w:b/>
                <w:bCs/>
                <w:i w:val="false"/>
                <w:iCs w:val="false"/>
                <w:strike w:val="false"/>
                <w:color w:val="0D2A5E"/>
                <w:sz w:val="20"/>
                <w:szCs w:val="20"/>
              </w:rPr>
              <w:t xml:space="preserve">Parameter</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Value</w:t>
            </w:r>
          </w:p>
        </w:tc>
        <w:tc>
          <w:tcPr>
            <w:tcW w:type="pct" w:w="47%"/>
            <w:shd w:fill="DCE6F0" w:color="auto" w:val="clear"/>
          </w:tcPr>
          <w:p>
            <w:r>
              <w:rPr>
                <w:rFonts w:ascii="Calibri" w:cs="Calibri" w:eastAsia="Calibri" w:hAnsi="Calibri"/>
                <w:b/>
                <w:bCs/>
                <w:i w:val="false"/>
                <w:iCs w:val="false"/>
                <w:strike w:val="false"/>
                <w:color w:val="0D2A5E"/>
                <w:sz w:val="20"/>
                <w:szCs w:val="20"/>
              </w:rPr>
              <w:t xml:space="preserve">Rationale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Embedding dimensionality (M_dim)</w:t>
            </w:r>
          </w:p>
        </w:tc>
        <w:tc>
          <w:tcPr>
            <w:tcW w:type="pct" w:w="32%"/>
          </w:tcPr>
          <w:p>
            <w:r>
              <w:rPr>
                <w:rFonts w:ascii="Calibri" w:cs="Calibri" w:eastAsia="Calibri" w:hAnsi="Calibri"/>
                <w:b w:val="false"/>
                <w:bCs w:val="false"/>
                <w:i w:val="false"/>
                <w:iCs w:val="false"/>
                <w:strike w:val="false"/>
                <w:color w:val="000000"/>
                <w:sz w:val="20"/>
                <w:szCs w:val="20"/>
              </w:rPr>
              <w:t xml:space="preserve">4096</w:t>
            </w:r>
          </w:p>
        </w:tc>
        <w:tc>
          <w:tcPr>
            <w:tcW w:type="pct" w:w="47%"/>
          </w:tcPr>
          <w:p>
            <w:r>
              <w:rPr>
                <w:rFonts w:ascii="Calibri" w:cs="Calibri" w:eastAsia="Calibri" w:hAnsi="Calibri"/>
                <w:b w:val="false"/>
                <w:bCs w:val="false"/>
                <w:i w:val="false"/>
                <w:iCs w:val="false"/>
                <w:strike w:val="false"/>
                <w:color w:val="000000"/>
                <w:sz w:val="20"/>
                <w:szCs w:val="20"/>
              </w:rPr>
              <w:t xml:space="preserve">Default EmbeddingVector dimensionality; configurable per deployment</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 (connections per node)</w:t>
            </w:r>
          </w:p>
        </w:tc>
        <w:tc>
          <w:tcPr>
            <w:tcW w:type="pct" w:w="32%"/>
          </w:tcPr>
          <w:p>
            <w:r>
              <w:rPr>
                <w:rFonts w:ascii="Calibri" w:cs="Calibri" w:eastAsia="Calibri" w:hAnsi="Calibri"/>
                <w:b w:val="false"/>
                <w:bCs w:val="false"/>
                <w:i w:val="false"/>
                <w:iCs w:val="false"/>
                <w:strike w:val="false"/>
                <w:color w:val="000000"/>
                <w:sz w:val="20"/>
                <w:szCs w:val="20"/>
              </w:rPr>
              <w:t xml:space="preserve">32</w:t>
            </w:r>
          </w:p>
        </w:tc>
        <w:tc>
          <w:tcPr>
            <w:tcW w:type="pct" w:w="47%"/>
          </w:tcPr>
          <w:p>
            <w:r>
              <w:rPr>
                <w:rFonts w:ascii="Calibri" w:cs="Calibri" w:eastAsia="Calibri" w:hAnsi="Calibri"/>
                <w:b w:val="false"/>
                <w:bCs w:val="false"/>
                <w:i w:val="false"/>
                <w:iCs w:val="false"/>
                <w:strike w:val="false"/>
                <w:color w:val="000000"/>
                <w:sz w:val="20"/>
                <w:szCs w:val="20"/>
              </w:rPr>
              <w:t xml:space="preserve">Balances recall (higher M = better recall) against index size and construction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ef_construction</w:t>
            </w:r>
          </w:p>
        </w:tc>
        <w:tc>
          <w:tcPr>
            <w:tcW w:type="pct" w:w="32%"/>
          </w:tcPr>
          <w:p>
            <w:r>
              <w:rPr>
                <w:rFonts w:ascii="Calibri" w:cs="Calibri" w:eastAsia="Calibri" w:hAnsi="Calibri"/>
                <w:b w:val="false"/>
                <w:bCs w:val="false"/>
                <w:i w:val="false"/>
                <w:iCs w:val="false"/>
                <w:strike w:val="false"/>
                <w:color w:val="000000"/>
                <w:sz w:val="20"/>
                <w:szCs w:val="20"/>
              </w:rPr>
              <w:t xml:space="preserve">400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index construction; higher value = better index quality at cost of build time</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ef_search</w:t>
            </w:r>
          </w:p>
        </w:tc>
        <w:tc>
          <w:tcPr>
            <w:tcW w:type="pct" w:w="32%"/>
          </w:tcPr>
          <w:p>
            <w:r>
              <w:rPr>
                <w:rFonts w:ascii="Calibri" w:cs="Calibri" w:eastAsia="Calibri" w:hAnsi="Calibri"/>
                <w:b w:val="false"/>
                <w:bCs w:val="false"/>
                <w:i w:val="false"/>
                <w:iCs w:val="false"/>
                <w:strike w:val="false"/>
                <w:color w:val="000000"/>
                <w:sz w:val="20"/>
                <w:szCs w:val="20"/>
              </w:rPr>
              <w:t xml:space="preserve">200</w:t>
            </w:r>
          </w:p>
        </w:tc>
        <w:tc>
          <w:tcPr>
            <w:tcW w:type="pct" w:w="47%"/>
          </w:tcPr>
          <w:p>
            <w:r>
              <w:rPr>
                <w:rFonts w:ascii="Calibri" w:cs="Calibri" w:eastAsia="Calibri" w:hAnsi="Calibri"/>
                <w:b w:val="false"/>
                <w:bCs w:val="false"/>
                <w:i w:val="false"/>
                <w:iCs w:val="false"/>
                <w:strike w:val="false"/>
                <w:color w:val="000000"/>
                <w:sz w:val="20"/>
                <w:szCs w:val="20"/>
              </w:rPr>
              <w:t xml:space="preserve">Search width during ANN query; tunable per query for recall/latency trade-off</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Distance metric</w:t>
            </w:r>
          </w:p>
        </w:tc>
        <w:tc>
          <w:tcPr>
            <w:tcW w:type="pct" w:w="32%"/>
          </w:tcPr>
          <w:p>
            <w:r>
              <w:rPr>
                <w:rFonts w:ascii="Calibri" w:cs="Calibri" w:eastAsia="Calibri" w:hAnsi="Calibri"/>
                <w:b w:val="false"/>
                <w:bCs w:val="false"/>
                <w:i w:val="false"/>
                <w:iCs w:val="false"/>
                <w:strike w:val="false"/>
                <w:color w:val="000000"/>
                <w:sz w:val="20"/>
                <w:szCs w:val="20"/>
              </w:rPr>
              <w:t xml:space="preserve">Cosine similarity (inner product on L2-normalized vectors)</w:t>
            </w:r>
          </w:p>
        </w:tc>
        <w:tc>
          <w:tcPr>
            <w:tcW w:type="pct" w:w="47%"/>
          </w:tcPr>
          <w:p>
            <w:r>
              <w:rPr>
                <w:rFonts w:ascii="Calibri" w:cs="Calibri" w:eastAsia="Calibri" w:hAnsi="Calibri"/>
                <w:b w:val="false"/>
                <w:bCs w:val="false"/>
                <w:i w:val="false"/>
                <w:iCs w:val="false"/>
                <w:strike w:val="false"/>
                <w:color w:val="000000"/>
                <w:sz w:val="20"/>
                <w:szCs w:val="20"/>
              </w:rPr>
              <w:t xml:space="preserve">All EmbeddingVectors are L2-normalized at ingestion; inner product equals cosine similarity</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Max elements per index shard</w:t>
            </w:r>
          </w:p>
        </w:tc>
        <w:tc>
          <w:tcPr>
            <w:tcW w:type="pct" w:w="32%"/>
          </w:tcPr>
          <w:p>
            <w:r>
              <w:rPr>
                <w:rFonts w:ascii="Calibri" w:cs="Calibri" w:eastAsia="Calibri" w:hAnsi="Calibri"/>
                <w:b w:val="false"/>
                <w:bCs w:val="false"/>
                <w:i w:val="false"/>
                <w:iCs w:val="false"/>
                <w:strike w:val="false"/>
                <w:color w:val="000000"/>
                <w:sz w:val="20"/>
                <w:szCs w:val="20"/>
              </w:rPr>
              <w:t xml:space="preserve">100 million Fact Units</w:t>
            </w:r>
          </w:p>
        </w:tc>
        <w:tc>
          <w:tcPr>
            <w:tcW w:type="pct" w:w="47%"/>
          </w:tcPr>
          <w:p>
            <w:r>
              <w:rPr>
                <w:rFonts w:ascii="Calibri" w:cs="Calibri" w:eastAsia="Calibri" w:hAnsi="Calibri"/>
                <w:b w:val="false"/>
                <w:bCs w:val="false"/>
                <w:i w:val="false"/>
                <w:iCs w:val="false"/>
                <w:strike w:val="false"/>
                <w:color w:val="000000"/>
                <w:sz w:val="20"/>
                <w:szCs w:val="20"/>
              </w:rPr>
              <w:t xml:space="preserve">Index shards are partitioned by FUID prefix; 4096 virtual shards support 400B+ total Fact Units</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Target ANN search latency</w:t>
            </w:r>
          </w:p>
        </w:tc>
        <w:tc>
          <w:tcPr>
            <w:tcW w:type="pct" w:w="32%"/>
          </w:tcPr>
          <w:p>
            <w:r>
              <w:rPr>
                <w:rFonts w:ascii="Calibri" w:cs="Calibri" w:eastAsia="Calibri" w:hAnsi="Calibri"/>
                <w:b w:val="false"/>
                <w:bCs w:val="false"/>
                <w:i w:val="false"/>
                <w:iCs w:val="false"/>
                <w:strike w:val="false"/>
                <w:color w:val="000000"/>
                <w:sz w:val="20"/>
                <w:szCs w:val="20"/>
              </w:rPr>
              <w:t xml:space="preserve">&lt; 50ms at p99 for 10B Fact Units</w:t>
            </w:r>
          </w:p>
        </w:tc>
        <w:tc>
          <w:tcPr>
            <w:tcW w:type="pct" w:w="47%"/>
          </w:tcPr>
          <w:p>
            <w:r>
              <w:rPr>
                <w:rFonts w:ascii="Calibri" w:cs="Calibri" w:eastAsia="Calibri" w:hAnsi="Calibri"/>
                <w:b w:val="false"/>
                <w:bCs w:val="false"/>
                <w:i w:val="false"/>
                <w:iCs w:val="false"/>
                <w:strike w:val="false"/>
                <w:color w:val="000000"/>
                <w:sz w:val="20"/>
                <w:szCs w:val="20"/>
              </w:rPr>
              <w:t xml:space="preserve">Achieved via distributed shard-parallel search with result merging</w:t>
            </w:r>
          </w:p>
        </w:tc>
      </w:tr>
      <w:tr>
        <w:trPr>
          <w:tblHeader w:val="false"/>
        </w:trPr>
        <w:tc>
          <w:tcPr>
            <w:tcW w:type="pct" w:w="21%"/>
          </w:tcPr>
          <w:p>
            <w:r>
              <w:rPr>
                <w:rFonts w:ascii="Calibri" w:cs="Calibri" w:eastAsia="Calibri" w:hAnsi="Calibri"/>
                <w:b w:val="false"/>
                <w:bCs w:val="false"/>
                <w:i w:val="false"/>
                <w:iCs w:val="false"/>
                <w:strike w:val="false"/>
                <w:color w:val="000000"/>
                <w:sz w:val="20"/>
                <w:szCs w:val="20"/>
              </w:rPr>
              <w:t xml:space="preserve">Recall target (@K=100)</w:t>
            </w:r>
          </w:p>
        </w:tc>
        <w:tc>
          <w:tcPr>
            <w:tcW w:type="pct" w:w="32%"/>
          </w:tcPr>
          <w:p>
            <w:r>
              <w:rPr>
                <w:rFonts w:ascii="Calibri" w:cs="Calibri" w:eastAsia="Calibri" w:hAnsi="Calibri"/>
                <w:b w:val="false"/>
                <w:bCs w:val="false"/>
                <w:i w:val="false"/>
                <w:iCs w:val="false"/>
                <w:strike w:val="false"/>
                <w:color w:val="000000"/>
                <w:sz w:val="20"/>
                <w:szCs w:val="20"/>
              </w:rPr>
              <w:t xml:space="preserve">&gt; 0.95</w:t>
            </w:r>
          </w:p>
        </w:tc>
        <w:tc>
          <w:tcPr>
            <w:tcW w:type="pct" w:w="47%"/>
          </w:tcPr>
          <w:p>
            <w:r>
              <w:rPr>
                <w:rFonts w:ascii="Calibri" w:cs="Calibri" w:eastAsia="Calibri" w:hAnsi="Calibri"/>
                <w:b w:val="false"/>
                <w:bCs w:val="false"/>
                <w:i w:val="false"/>
                <w:iCs w:val="false"/>
                <w:strike w:val="false"/>
                <w:color w:val="000000"/>
                <w:sz w:val="20"/>
                <w:szCs w:val="20"/>
              </w:rPr>
              <w:t xml:space="preserve">95% recall against exact brute-force search at K=100 nearest neighbors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14.3.1.1 Memory Footprint at Scale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A raw float32 HNSW index at 4096 dimensions and 10B+ Fact Unit scale (§14.3.1) carries a very large memory footprint: 10¹⁰ vectors × 4096 dimensions × 4 bytes ≡ on the order of 160+ TB for vector storage alone before graph-link overhead and the 3-replica minimum already specified for qb-vector-index (§19) are applied — realistically reaching into the petabyte range once replicated. This was not previously stated as an explicit constraint anywhere in this chapter, and the exact multiplier depends on implementation details (graph fan-out, per-shard overhead) this Bible does not yet specify.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apply product quantization (PQ) or scalar quantization (SQ) to the stored vectors, consistent with standard practice in production ANN systems (e.g., FAISS, Milvus) operating at comparable scale. PQ at a typical 8-bit-per-subvector compression ratio reduces memory footprint by roughly 4–32× relative to raw float32 storage, at a small, measurable recall cost that should be validated against this chapter's existing 95% recall target (§14.3.1) before being adopted as a default. This is a design recommendation, not yet a specification change — the exact quantization scheme and its recall impact should be benchmarked against a representative Fact Unit corpus before being written into §14.3.1 as a requirement.</w:t>
      </w:r>
    </w:p>
    <w:p>
      <w:pPr>
        <w:pStyle w:val="Heading3"/>
        <w:spacing w:after="120" w:before="240" w:line="288" w:lineRule="auto"/>
      </w:pPr>
      <w:r>
        <w:rPr>
          <w:rFonts w:ascii="Calibri" w:cs="Calibri" w:eastAsia="Calibri" w:hAnsi="Calibri"/>
          <w:color w:val="000000"/>
          <w:sz w:val="30"/>
          <w:szCs w:val="30"/>
        </w:rPr>
        <w:t xml:space="preserve">14.3.2 SDR Index</w:t>
      </w:r>
    </w:p>
    <w:p>
      <w:pPr>
        <w:spacing w:after="120" w:line="360" w:lineRule="auto"/>
      </w:pPr>
      <w:r>
        <w:rPr>
          <w:rFonts w:ascii="Calibri" w:cs="Calibri" w:eastAsia="Calibri" w:hAnsi="Calibri"/>
          <w:b w:val="false"/>
          <w:bCs w:val="false"/>
          <w:i w:val="false"/>
          <w:iCs w:val="false"/>
          <w:strike w:val="false"/>
          <w:color w:val="000000"/>
          <w:sz w:val="22"/>
          <w:szCs w:val="22"/>
        </w:rPr>
        <w:t xml:space="preserve">In addition to the HNSW float-vector index, a separate SDR index stores the 16,384-bit Sparse Distributed Representations for all Active Fact Units, enabling the NCL Associative Recall Engine's Hamming distance search. The SDR index is implemented as a bitarray sorted by FUID, with a SIMD-accelerated population count (popcount) engine that computes Hamming distances using AVX-512 instructions at a rate of approximately 10 billion bit comparisons per second per core.</w:t>
      </w:r>
    </w:p>
    <w:p>
      <w:pPr>
        <w:pStyle w:val="Heading2"/>
        <w:spacing w:after="120" w:before="240" w:line="288" w:lineRule="auto"/>
      </w:pPr>
      <w:r>
        <w:rPr>
          <w:rFonts w:ascii="Calibri" w:cs="Calibri" w:eastAsia="Calibri" w:hAnsi="Calibri"/>
          <w:color w:val="000000"/>
          <w:sz w:val="36"/>
          <w:szCs w:val="36"/>
        </w:rPr>
        <w:t xml:space="preserve">14.4 Provenance Ledger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Ledger's Merkle DAG is stored in a content-addressed immutable object store with the following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Property</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Specification</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size</w:t>
            </w:r>
          </w:p>
        </w:tc>
        <w:tc>
          <w:tcPr>
            <w:tcW w:type="pct" w:w="85%"/>
          </w:tcPr>
          <w:p>
            <w:r>
              <w:rPr>
                <w:rFonts w:ascii="Calibri" w:cs="Calibri" w:eastAsia="Calibri" w:hAnsi="Calibri"/>
                <w:b w:val="false"/>
                <w:bCs w:val="false"/>
                <w:i w:val="false"/>
                <w:iCs w:val="false"/>
                <w:strike w:val="false"/>
                <w:color w:val="000000"/>
                <w:sz w:val="20"/>
                <w:szCs w:val="20"/>
              </w:rPr>
              <w:t xml:space="preserve">1,000 Provenance Records per block (configurable: 100–10,000)</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Block content address</w:t>
            </w:r>
          </w:p>
        </w:tc>
        <w:tc>
          <w:tcPr>
            <w:tcW w:type="pct" w:w="85%"/>
          </w:tcPr>
          <w:p>
            <w:r>
              <w:rPr>
                <w:rFonts w:ascii="Calibri" w:cs="Calibri" w:eastAsia="Calibri" w:hAnsi="Calibri"/>
                <w:b w:val="false"/>
                <w:bCs w:val="false"/>
                <w:i w:val="false"/>
                <w:iCs w:val="false"/>
                <w:strike w:val="false"/>
                <w:color w:val="000000"/>
                <w:sz w:val="20"/>
                <w:szCs w:val="20"/>
              </w:rPr>
              <w:t xml:space="preserve">SHA-256 of the concatenation of all Provenance Record SHA-256 hashes in the block</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DAG branching factor</w:t>
            </w:r>
          </w:p>
        </w:tc>
        <w:tc>
          <w:tcPr>
            <w:tcW w:type="pct" w:w="85%"/>
          </w:tcPr>
          <w:p>
            <w:r>
              <w:rPr>
                <w:rFonts w:ascii="Calibri" w:cs="Calibri" w:eastAsia="Calibri" w:hAnsi="Calibri"/>
                <w:b w:val="false"/>
                <w:bCs w:val="false"/>
                <w:i w:val="false"/>
                <w:iCs w:val="false"/>
                <w:strike w:val="false"/>
                <w:color w:val="000000"/>
                <w:sz w:val="20"/>
                <w:szCs w:val="20"/>
              </w:rPr>
              <w:t xml:space="preserve">Each block has exactly one parent (the previous block in the chain); DAG branching occurs when multiple concurrent write streams merge — convergence is resolved by total ordering on block timestamp + writer ID hash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Chain tip pinning</w:t>
            </w:r>
          </w:p>
        </w:tc>
        <w:tc>
          <w:tcPr>
            <w:tcW w:type="pct" w:w="85%"/>
          </w:tcPr>
          <w:p>
            <w:r>
              <w:rPr>
                <w:rFonts w:ascii="Calibri" w:cs="Calibri" w:eastAsia="Calibri" w:hAnsi="Calibri"/>
                <w:b w:val="false"/>
                <w:bCs w:val="false"/>
                <w:i w:val="false"/>
                <w:iCs w:val="false"/>
                <w:strike w:val="false"/>
                <w:color w:val="000000"/>
                <w:sz w:val="20"/>
                <w:szCs w:val="20"/>
              </w:rPr>
              <w:t xml:space="preserve">The 10 most recent block hashes are pinned in memory (never evicted from Tier 0) for O(1) chain tip access during write operations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Garbage collection</w:t>
            </w:r>
          </w:p>
        </w:tc>
        <w:tc>
          <w:tcPr>
            <w:tcW w:type="pct" w:w="85%"/>
          </w:tcPr>
          <w:p>
            <w:r>
              <w:rPr>
                <w:rFonts w:ascii="Calibri" w:cs="Calibri" w:eastAsia="Calibri" w:hAnsi="Calibri"/>
                <w:b w:val="false"/>
                <w:bCs w:val="false"/>
                <w:i w:val="false"/>
                <w:iCs w:val="false"/>
                <w:strike w:val="false"/>
                <w:color w:val="000000"/>
                <w:sz w:val="20"/>
                <w:szCs w:val="20"/>
              </w:rPr>
              <w:t xml:space="preserve">Orphaned blocks (blocks that are not reachable from any pinned chain tip) are eligible for GC after a configurable grace period (default: 90 days); GC requires dual-approval and is logged in the Safety Audit Log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FUID lookup index</w:t>
            </w:r>
          </w:p>
        </w:tc>
        <w:tc>
          <w:tcPr>
            <w:tcW w:type="pct" w:w="85%"/>
          </w:tcPr>
          <w:p>
            <w:r>
              <w:rPr>
                <w:rFonts w:ascii="Calibri" w:cs="Calibri" w:eastAsia="Calibri" w:hAnsi="Calibri"/>
                <w:b w:val="false"/>
                <w:bCs w:val="false"/>
                <w:i w:val="false"/>
                <w:iCs w:val="false"/>
                <w:strike w:val="false"/>
                <w:color w:val="000000"/>
                <w:sz w:val="20"/>
                <w:szCs w:val="20"/>
              </w:rPr>
              <w:t xml:space="preserve">Separate B-tree index mapping each FUID to the list of Provenance Record block addresses containing records for that FUID; enables O(log n) per-FUID lineage lookup</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External notarization</w:t>
            </w:r>
          </w:p>
        </w:tc>
        <w:tc>
          <w:tcPr>
            <w:tcW w:type="pct" w:w="85%"/>
          </w:tcPr>
          <w:p>
            <w:r>
              <w:rPr>
                <w:rFonts w:ascii="Calibri" w:cs="Calibri" w:eastAsia="Calibri" w:hAnsi="Calibri"/>
                <w:b w:val="false"/>
                <w:bCs w:val="false"/>
                <w:i w:val="false"/>
                <w:iCs w:val="false"/>
                <w:strike w:val="false"/>
                <w:color w:val="000000"/>
                <w:sz w:val="20"/>
                <w:szCs w:val="20"/>
              </w:rPr>
              <w:t xml:space="preserve">Every 15 minutes (configurable), the current chain tip hash is submitted to an external notarization service (RFC 3161 timestamp authority); the notarization receipt is stored in the ledger as a special NOTARIZATION record type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14.5 Data Partitioning and Sharding</w:t>
      </w:r>
    </w:p>
    <w:p>
      <w:pPr>
        <w:pStyle w:val="Heading3"/>
        <w:spacing w:after="120" w:before="240" w:line="288" w:lineRule="auto"/>
      </w:pPr>
      <w:r>
        <w:rPr>
          <w:rFonts w:ascii="Calibri" w:cs="Calibri" w:eastAsia="Calibri" w:hAnsi="Calibri"/>
          <w:color w:val="000000"/>
          <w:sz w:val="30"/>
          <w:szCs w:val="30"/>
        </w:rPr>
        <w:t xml:space="preserve">14.5.1 FUID-Based Sharding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are sharded across storage nodes using consistent hashing on the FUID prefix. The ring maintains 4,096 virtual nodes, ensuring near-uniform distribution even as physical nodes are added or removed. The virtual node count of 4,096 was selected to support deployments of up to 400 billion Fact Units across up to 4,096 physical storage nodes while maintaining even distribution with minimal rebalancing overhead.</w:t>
      </w:r>
    </w:p>
    <w:p>
      <w:pPr>
        <w:pStyle w:val="Heading3"/>
        <w:spacing w:after="120" w:before="240" w:line="288" w:lineRule="auto"/>
      </w:pPr>
      <w:r>
        <w:rPr>
          <w:rFonts w:ascii="Calibri" w:cs="Calibri" w:eastAsia="Calibri" w:hAnsi="Calibri"/>
          <w:color w:val="000000"/>
          <w:sz w:val="30"/>
          <w:szCs w:val="30"/>
        </w:rPr>
        <w:t xml:space="preserve">14.5.2 Cross-Shard Query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Queries that require accessing Fact Units from multiple shards are handled by the Query Coordinator service using a scatter-gather pattern: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decomposes the query into per-shard sub-queries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Sub-queries are dispatched in parallel to all affected shards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Shard results are streamed back to the Query Coordinator as they become available (no head-of-line blocking)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Query Coordinator performs result merging, de-duplication, and final ranking before returning results to the caller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Query Coordinator maintains a result buffer per in-flight query; buffer is bounded at configurable size (default: 100,000 Fact Units) to prevent memory exhaustion from unbounded scatter results</w:t>
      </w:r>
    </w:p>
    <w:p>
      <w:pPr>
        <w:pStyle w:val="Heading3"/>
        <w:spacing w:after="120" w:before="240" w:line="288" w:lineRule="auto"/>
      </w:pPr>
      <w:r>
        <w:rPr>
          <w:rFonts w:ascii="Calibri" w:cs="Calibri" w:eastAsia="Calibri" w:hAnsi="Calibri"/>
          <w:color w:val="000000"/>
          <w:sz w:val="30"/>
          <w:szCs w:val="30"/>
        </w:rPr>
        <w:t xml:space="preserve">14.5.3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is replicated across a minimum of 3 replicas located in distinct failure domains (distinct physical racks, distinct availability zones, or distinct data centers depending on deployment configuration). Replication uses a Raft consensus protocol adapted for the Fact Unit workload, with the following modifications: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Leader leases are set to 5 seconds (shorter than typical Raft deployments) to minimize recovery time on leader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Followers are allowed to serve reads (with bounded staleness of at most 500ms) to distribute read load across replicas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 entries are batched at 64KB or 50ms (whichever comes first) before proposing to consensus to improve throughput</w:t>
      </w:r>
    </w:p>
    <w:p>
      <w:pPr>
        <w:pStyle w:val="Heading3"/>
        <w:spacing w:after="120" w:before="240" w:line="288" w:lineRule="auto"/>
      </w:pPr>
      <w:r>
        <w:rPr>
          <w:rFonts w:ascii="Calibri" w:cs="Calibri" w:eastAsia="Calibri" w:hAnsi="Calibri"/>
          <w:color w:val="000000"/>
          <w:sz w:val="30"/>
          <w:szCs w:val="30"/>
        </w:rPr>
        <w:t xml:space="preserve">14.5.4 Multi-Region Replication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globally distributed deployments, QueryBook supports active-active multi-region replication using Conflict-Free Replicated Data Types (CRDTs) for eventual consistency across regions: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Fact Unit ConfidenceScore updates use a max-register CRDT (the highest observed confidence score wins during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RelationSet edges use a grow-only set CRDT (edges are never removed, only added; the union of all region's edge sets is the canonical RelationSet)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SafetyFlags use a max-bitmask CRDT (the union of all flags across regions is the canonical SafetyFlags; flags can never be decremented in a multi-region merge)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Lifecycle state transitions use a state machine CRDT with a strict partial order (DRAFT &lt; VALIDATED &lt; ACTIVE; ACTIVE can transition to SUPERSEDED, ARCHIVED, or PURGED; each state is monotonically increasing in the partial order; during merge, the higher state wins)</w:t>
      </w:r>
    </w:p>
    <w:p>
      <w:pPr>
        <w:pStyle w:val="Heading2"/>
        <w:spacing w:after="120" w:before="240" w:line="288" w:lineRule="auto"/>
      </w:pPr>
      <w:r>
        <w:rPr>
          <w:rFonts w:ascii="Calibri" w:cs="Calibri" w:eastAsia="Calibri" w:hAnsi="Calibri"/>
          <w:color w:val="000000"/>
          <w:sz w:val="36"/>
          <w:szCs w:val="36"/>
        </w:rPr>
        <w:t xml:space="preserve">14.6 Backup and Disaster Recovery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Metric</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Target</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Implementation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Time Objective (RTO)</w:t>
            </w:r>
          </w:p>
        </w:tc>
        <w:tc>
          <w:tcPr>
            <w:tcW w:type="pct" w:w="18%"/>
          </w:tcPr>
          <w:p>
            <w:r>
              <w:rPr>
                <w:rFonts w:ascii="Calibri" w:cs="Calibri" w:eastAsia="Calibri" w:hAnsi="Calibri"/>
                <w:b w:val="false"/>
                <w:bCs w:val="false"/>
                <w:i w:val="false"/>
                <w:iCs w:val="false"/>
                <w:strike w:val="false"/>
                <w:color w:val="000000"/>
                <w:sz w:val="20"/>
                <w:szCs w:val="20"/>
              </w:rPr>
              <w:t xml:space="preserve">&lt; 4 hours</w:t>
            </w:r>
          </w:p>
        </w:tc>
        <w:tc>
          <w:tcPr>
            <w:tcW w:type="pct" w:w="64%"/>
          </w:tcPr>
          <w:p>
            <w:r>
              <w:rPr>
                <w:rFonts w:ascii="Calibri" w:cs="Calibri" w:eastAsia="Calibri" w:hAnsi="Calibri"/>
                <w:b w:val="false"/>
                <w:bCs w:val="false"/>
                <w:i w:val="false"/>
                <w:iCs w:val="false"/>
                <w:strike w:val="false"/>
                <w:color w:val="000000"/>
                <w:sz w:val="20"/>
                <w:szCs w:val="20"/>
              </w:rPr>
              <w:t xml:space="preserve">Warm standby in secondary region with continuous WAL replication; automated failover triggers within 10 minutes of primary region failure detection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Recovery Point Objective (RPO)</w:t>
            </w:r>
          </w:p>
        </w:tc>
        <w:tc>
          <w:tcPr>
            <w:tcW w:type="pct" w:w="18%"/>
          </w:tcPr>
          <w:p>
            <w:r>
              <w:rPr>
                <w:rFonts w:ascii="Calibri" w:cs="Calibri" w:eastAsia="Calibri" w:hAnsi="Calibri"/>
                <w:b w:val="false"/>
                <w:bCs w:val="false"/>
                <w:i w:val="false"/>
                <w:iCs w:val="false"/>
                <w:strike w:val="false"/>
                <w:color w:val="000000"/>
                <w:sz w:val="20"/>
                <w:szCs w:val="20"/>
              </w:rPr>
              <w:t xml:space="preserve">&lt; 15 minutes</w:t>
            </w:r>
          </w:p>
        </w:tc>
        <w:tc>
          <w:tcPr>
            <w:tcW w:type="pct" w:w="64%"/>
          </w:tcPr>
          <w:p>
            <w:r>
              <w:rPr>
                <w:rFonts w:ascii="Calibri" w:cs="Calibri" w:eastAsia="Calibri" w:hAnsi="Calibri"/>
                <w:b w:val="false"/>
                <w:bCs w:val="false"/>
                <w:i w:val="false"/>
                <w:iCs w:val="false"/>
                <w:strike w:val="false"/>
                <w:color w:val="000000"/>
                <w:sz w:val="20"/>
                <w:szCs w:val="20"/>
              </w:rPr>
              <w:t xml:space="preserve">WAL replication to secondary region with async replication lag SLA of &lt; 15 minutes; synchronous replication for Provenance Ledger and Safety Audit Log (RPO = 0 for audit data)</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Point-in-Time Recovery (PITR)</w:t>
            </w:r>
          </w:p>
        </w:tc>
        <w:tc>
          <w:tcPr>
            <w:tcW w:type="pct" w:w="18%"/>
          </w:tcPr>
          <w:p>
            <w:r>
              <w:rPr>
                <w:rFonts w:ascii="Calibri" w:cs="Calibri" w:eastAsia="Calibri" w:hAnsi="Calibri"/>
                <w:b w:val="false"/>
                <w:bCs w:val="false"/>
                <w:i w:val="false"/>
                <w:iCs w:val="false"/>
                <w:strike w:val="false"/>
                <w:color w:val="000000"/>
                <w:sz w:val="20"/>
                <w:szCs w:val="20"/>
              </w:rPr>
              <w:t xml:space="preserve">Any moment within 30-day window</w:t>
            </w:r>
          </w:p>
        </w:tc>
        <w:tc>
          <w:tcPr>
            <w:tcW w:type="pct" w:w="64%"/>
          </w:tcPr>
          <w:p>
            <w:r>
              <w:rPr>
                <w:rFonts w:ascii="Calibri" w:cs="Calibri" w:eastAsia="Calibri" w:hAnsi="Calibri"/>
                <w:b w:val="false"/>
                <w:bCs w:val="false"/>
                <w:i w:val="false"/>
                <w:iCs w:val="false"/>
                <w:strike w:val="false"/>
                <w:color w:val="000000"/>
                <w:sz w:val="20"/>
                <w:szCs w:val="20"/>
              </w:rPr>
              <w:t xml:space="preserve">Continuous WAL archival to Tier 3 object storage; PITR restoration replays WAL from the last full snapshot to the target timestamp</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Full snapshot frequency</w:t>
            </w:r>
          </w:p>
        </w:tc>
        <w:tc>
          <w:tcPr>
            <w:tcW w:type="pct" w:w="18%"/>
          </w:tcPr>
          <w:p>
            <w:r>
              <w:rPr>
                <w:rFonts w:ascii="Calibri" w:cs="Calibri" w:eastAsia="Calibri" w:hAnsi="Calibri"/>
                <w:b w:val="false"/>
                <w:bCs w:val="false"/>
                <w:i w:val="false"/>
                <w:iCs w:val="false"/>
                <w:strike w:val="false"/>
                <w:color w:val="000000"/>
                <w:sz w:val="20"/>
                <w:szCs w:val="20"/>
              </w:rPr>
              <w:t xml:space="preserve">Daily</w:t>
            </w:r>
          </w:p>
        </w:tc>
        <w:tc>
          <w:tcPr>
            <w:tcW w:type="pct" w:w="64%"/>
          </w:tcPr>
          <w:p>
            <w:r>
              <w:rPr>
                <w:rFonts w:ascii="Calibri" w:cs="Calibri" w:eastAsia="Calibri" w:hAnsi="Calibri"/>
                <w:b w:val="false"/>
                <w:bCs w:val="false"/>
                <w:i w:val="false"/>
                <w:iCs w:val="false"/>
                <w:strike w:val="false"/>
                <w:color w:val="000000"/>
                <w:sz w:val="20"/>
                <w:szCs w:val="20"/>
              </w:rPr>
              <w:t xml:space="preserve">Consistent snapshot of all Active Store content taken during low-traffic window; QBF-encoded and stored in Tier 3</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Snapshot retention</w:t>
            </w:r>
          </w:p>
        </w:tc>
        <w:tc>
          <w:tcPr>
            <w:tcW w:type="pct" w:w="18%"/>
          </w:tcPr>
          <w:p>
            <w:r>
              <w:rPr>
                <w:rFonts w:ascii="Calibri" w:cs="Calibri" w:eastAsia="Calibri" w:hAnsi="Calibri"/>
                <w:b w:val="false"/>
                <w:bCs w:val="false"/>
                <w:i w:val="false"/>
                <w:iCs w:val="false"/>
                <w:strike w:val="false"/>
                <w:color w:val="000000"/>
                <w:sz w:val="20"/>
                <w:szCs w:val="20"/>
              </w:rPr>
              <w:t xml:space="preserve">30 daily, 12 monthly, 7 yearly</w:t>
            </w:r>
          </w:p>
        </w:tc>
        <w:tc>
          <w:tcPr>
            <w:tcW w:type="pct" w:w="64%"/>
          </w:tcPr>
          <w:p>
            <w:r>
              <w:rPr>
                <w:rFonts w:ascii="Calibri" w:cs="Calibri" w:eastAsia="Calibri" w:hAnsi="Calibri"/>
                <w:b w:val="false"/>
                <w:bCs w:val="false"/>
                <w:i w:val="false"/>
                <w:iCs w:val="false"/>
                <w:strike w:val="false"/>
                <w:color w:val="000000"/>
                <w:sz w:val="20"/>
                <w:szCs w:val="20"/>
              </w:rPr>
              <w:t xml:space="preserve">Grandfather-Father-Son (GFS) rotation policy; yearly snapshots moved to Tier 4 Deep Archive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Restore test frequency</w:t>
            </w:r>
          </w:p>
        </w:tc>
        <w:tc>
          <w:tcPr>
            <w:tcW w:type="pct" w:w="18%"/>
          </w:tcPr>
          <w:p>
            <w:r>
              <w:rPr>
                <w:rFonts w:ascii="Calibri" w:cs="Calibri" w:eastAsia="Calibri" w:hAnsi="Calibri"/>
                <w:b w:val="false"/>
                <w:bCs w:val="false"/>
                <w:i w:val="false"/>
                <w:iCs w:val="false"/>
                <w:strike w:val="false"/>
                <w:color w:val="000000"/>
                <w:sz w:val="20"/>
                <w:szCs w:val="20"/>
              </w:rPr>
              <w:t xml:space="preserve">Monthly</w:t>
            </w:r>
          </w:p>
        </w:tc>
        <w:tc>
          <w:tcPr>
            <w:tcW w:type="pct" w:w="64%"/>
          </w:tcPr>
          <w:p>
            <w:r>
              <w:rPr>
                <w:rFonts w:ascii="Calibri" w:cs="Calibri" w:eastAsia="Calibri" w:hAnsi="Calibri"/>
                <w:b w:val="false"/>
                <w:bCs w:val="false"/>
                <w:i w:val="false"/>
                <w:iCs w:val="false"/>
                <w:strike w:val="false"/>
                <w:color w:val="000000"/>
                <w:sz w:val="20"/>
                <w:szCs w:val="20"/>
              </w:rPr>
              <w:t xml:space="preserve">Automated restore drill executed monthly into isolated test environment; restore success and data integrity verified by automated test suite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Cross-Region Replication Latency — Redesign Note (Performance and Economy)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PERFORMANCE</w:t>
            </w:r>
            <w:r>
              <w:rPr>
                <w:rFonts w:ascii="Calibri" w:cs="Calibri" w:eastAsia="Calibri" w:hAnsi="Calibri"/>
                <w:b/>
                <w:bCs/>
                <w:i w:val="false"/>
                <w:iCs w:val="false"/>
                <w:strike w:val="false"/>
                <w:color w:val="333333"/>
                <w:sz w:val="24"/>
                <w:szCs w:val="24"/>
              </w:rPr>
              <w:t xml:space="preserve">True synchronous cross-region replication with RPO = 0 for the Provenance Ledger and Safety Audit Log means every write to those stores must wait for acknowledgment from a geographically distant replica before it can be confirmed — adding real round-trip network latency (typically 60–150ms between distant regions) to every such write, and under a network partition, forcing a choice between blocking writes (consistency) or accepting the partition and risking the RPO=0 guarantee (availability), per the CAP theorem. This tradeoff was not previously stated explicitly alongside the RPO=0 target.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RPO = 0 is achievable and worth keeping as a target specifically because the Provenance Ledger and Safety Audit Log are lower-write-volume, correctness-critical stores where the added latency is an acceptable cost — this is a reasonable design choice, not an error, provided it is scoped explicitly to those two stores (as already written) and not generalized to the higher-volume Fact Graph writes, which correctly use the async WAL replication with a &lt;15-minute lag SLA specified in the same table. No change to the specified targets is recommended; this note exists so the latency and partition-behavior tradeoff being accepted is stated rather than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XIV — AGI EXTENSION MODULES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XIV Executive Summary</w:t>
            </w:r>
            <w:r>
              <w:rPr>
                <w:rFonts w:ascii="Calibri" w:cs="Calibri" w:eastAsia="Calibri" w:hAnsi="Calibri"/>
                <w:b/>
                <w:bCs/>
                <w:i w:val="false"/>
                <w:iCs w:val="false"/>
                <w:strike w:val="false"/>
                <w:color w:val="333333"/>
                <w:sz w:val="24"/>
                <w:szCs w:val="24"/>
              </w:rPr>
              <w:t xml:space="preserve">Part XIV specifies the six AGI Extension Modules (AEMs) that elevate QueryBook from a sophisticated knowledge retrieval system to a genuine knowledge synthesis and reasoning platform. Each AEM addresses a distinct higher-order cognitive operation: abductive reasoning, analogical reasoning, causal discovery, counterfactual reasoning, meta-cognitive monitoring, and goal-directed synthesis. All AEMs operate over the Fact Graph and NCL and produce first-class Fact Units as their outputs. This Part is the primary reference for patent Cluster I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XIV: AGI Extension Modules</w:t>
      </w:r>
    </w:p>
    <w:p>
      <w:pPr>
        <w:pStyle w:val="Heading1"/>
        <w:spacing w:after="120" w:before="240" w:line="288" w:lineRule="auto"/>
      </w:pPr>
      <w:r>
        <w:rPr>
          <w:rFonts w:ascii="Calibri" w:cs="Calibri" w:eastAsia="Calibri" w:hAnsi="Calibri"/>
          <w:color w:val="000000"/>
          <w:sz w:val="48"/>
          <w:szCs w:val="48"/>
        </w:rPr>
        <w:t xml:space="preserve">Chapter 15: AGI Extension Modules (AEM) — Complete Specification</w:t>
      </w:r>
    </w:p>
    <w:p>
      <w:pPr>
        <w:pStyle w:val="Heading2"/>
        <w:spacing w:after="120" w:before="240" w:line="288" w:lineRule="auto"/>
      </w:pPr>
      <w:r>
        <w:rPr>
          <w:rFonts w:ascii="Calibri" w:cs="Calibri" w:eastAsia="Calibri" w:hAnsi="Calibri"/>
          <w:color w:val="000000"/>
          <w:sz w:val="36"/>
          <w:szCs w:val="36"/>
        </w:rPr>
        <w:t xml:space="preserve">15.1 Philosophy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AGI Extension Modules represent the highest level of QueryBook's cognitive architecture. They are not simply more sophisticated retrieval algorithms; they implement fundamentally different modes of reasoning that operate over the Fact Graph and NCL to produce new knowledge rather than merely retrieving existing knowledge. Each AEM produces first-class Fact Unit outputs with appropriate FactTypes, full provenance, and confidence scores, ensuring that AEM-generated knowledge participates fully in the QueryBook ecosystem — it can be queried, cited in regenerated text, tracked for accuracy, and used as input to subsequent AEM operations.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AEMs operate under the following constraints: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are tagged with the AI_GENERATED SafetyFlag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AEM outputs carry InputFUIDs references to the Fact Units used as inputs, enabling full lineage tracing of synthesized knowledge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AEM ConfidenceScores are capped at 0.85 unless independently corroborated by subsequent ingestion of supporting real-world data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Safety Substrate applies standard enforcement to all AEM-produced Fact Units before Graph insertion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Redesign addition (Economy — risk reduction): an AEM-produced Fact Unit may be used as input to a subsequent AEM operation only if it is either independently corroborated (per the confidence-cap rule above) or if the resulting chain of AEM-derived inputs feeding a single downstream inference is disclosed in that output's InputFUIDs lineage and the compounded chain confidence — computed as the product of each link's ConfidenceScore, not the maximum — is surfaced to any consumer of the result. This closes a gap where uncorroborated AEM output could otherwise feed further AEM reasoning indefinitely with no visible signal that confidence is compounding downward across the chain.</w:t>
      </w:r>
    </w:p>
    <w:p>
      <w:pPr>
        <w:pStyle w:val="Heading2"/>
        <w:spacing w:after="120" w:before="240" w:line="288" w:lineRule="auto"/>
      </w:pPr>
      <w:r>
        <w:rPr>
          <w:rFonts w:ascii="Calibri" w:cs="Calibri" w:eastAsia="Calibri" w:hAnsi="Calibri"/>
          <w:color w:val="000000"/>
          <w:sz w:val="36"/>
          <w:szCs w:val="36"/>
        </w:rPr>
        <w:t xml:space="preserve">15.2 AEM-1: Abductive Reasoning Module</w:t>
      </w:r>
    </w:p>
    <w:p>
      <w:pPr>
        <w:pStyle w:val="Heading3"/>
        <w:spacing w:after="120" w:before="240" w:line="288" w:lineRule="auto"/>
      </w:pPr>
      <w:r>
        <w:rPr>
          <w:rFonts w:ascii="Calibri" w:cs="Calibri" w:eastAsia="Calibri" w:hAnsi="Calibri"/>
          <w:color w:val="000000"/>
          <w:sz w:val="30"/>
          <w:szCs w:val="30"/>
        </w:rPr>
        <w:t xml:space="preserve">15.2.1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Abductive reasoning is inference to the best explanation: given a set of observations (Fact Units of FactType OBSERVATION), generate the most plausible explanatory hypothesis. AEM-1 implements abduction over the Fact Graph using a combination of Bayesian model selection and causal graph traversal.</w:t>
      </w:r>
    </w:p>
    <w:p>
      <w:pPr>
        <w:pStyle w:val="Heading3"/>
        <w:spacing w:after="120" w:before="240" w:line="288" w:lineRule="auto"/>
      </w:pPr>
      <w:r>
        <w:rPr>
          <w:rFonts w:ascii="Calibri" w:cs="Calibri" w:eastAsia="Calibri" w:hAnsi="Calibri"/>
          <w:color w:val="000000"/>
          <w:sz w:val="30"/>
          <w:szCs w:val="30"/>
        </w:rPr>
        <w:t xml:space="preserve">15.2.2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Observation encoding:</w:t>
      </w:r>
      <w:r>
        <w:rPr>
          <w:rFonts w:ascii="Calibri" w:cs="Calibri" w:eastAsia="Calibri" w:hAnsi="Calibri"/>
          <w:b w:val="false"/>
          <w:bCs w:val="false"/>
          <w:i w:val="false"/>
          <w:iCs w:val="false"/>
          <w:strike w:val="false"/>
          <w:color w:val="000000"/>
          <w:sz w:val="22"/>
          <w:szCs w:val="22"/>
        </w:rPr>
        <w:t xml:space="preserve"> Input Observation Fact Units are encoded into the NCL SDR space and used to activate a candidate set of Fact Units via ARE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Hypothesis space generation:</w:t>
      </w:r>
      <w:r>
        <w:rPr>
          <w:rFonts w:ascii="Calibri" w:cs="Calibri" w:eastAsia="Calibri" w:hAnsi="Calibri"/>
          <w:b w:val="false"/>
          <w:bCs w:val="false"/>
          <w:i w:val="false"/>
          <w:iCs w:val="false"/>
          <w:strike w:val="false"/>
          <w:color w:val="000000"/>
          <w:sz w:val="22"/>
          <w:szCs w:val="22"/>
        </w:rPr>
        <w:t xml:space="preserve"> For each highly activated entity or event Fact Unit, AEM-1 generates candidate hypotheses by: (a) retrieving all CAUSAL_RELATION Fact Units that could produce the observed effects as outputs, and (b) constructing new HYPOTHESIS Fact Units representing potential explanatory states not yet in the Fact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Posterior probability ranking:</w:t>
      </w:r>
      <w:r>
        <w:rPr>
          <w:rFonts w:ascii="Calibri" w:cs="Calibri" w:eastAsia="Calibri" w:hAnsi="Calibri"/>
          <w:b w:val="false"/>
          <w:bCs w:val="false"/>
          <w:i w:val="false"/>
          <w:iCs w:val="false"/>
          <w:strike w:val="false"/>
          <w:color w:val="000000"/>
          <w:sz w:val="22"/>
          <w:szCs w:val="22"/>
        </w:rPr>
        <w:t xml:space="preserve"> Each hypothesis H is scored by its posterior probability P(H|Observations) using Bayes' theorem: P(H|O) ∝ P(O|H) × P(H), where P(O|H) is the likelihood of the observations given the hypothesis (computed using the causal structure of the Fact Graph) and P(H) is the prior probability (derived from the ConfidenceScore of precursor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Scenario Graph branch creation:</w:t>
      </w:r>
      <w:r>
        <w:rPr>
          <w:rFonts w:ascii="Calibri" w:cs="Calibri" w:eastAsia="Calibri" w:hAnsi="Calibri"/>
          <w:b w:val="false"/>
          <w:bCs w:val="false"/>
          <w:i w:val="false"/>
          <w:iCs w:val="false"/>
          <w:strike w:val="false"/>
          <w:color w:val="000000"/>
          <w:sz w:val="22"/>
          <w:szCs w:val="22"/>
        </w:rPr>
        <w:t xml:space="preserve"> The top-K hypotheses (default K=5) are instantiated as branches in a new WHAT_IF Scenario Graph, enabling downstream scenario analysis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 Fact Units:</w:t>
      </w:r>
      <w:r>
        <w:rPr>
          <w:rFonts w:ascii="Calibri" w:cs="Calibri" w:eastAsia="Calibri" w:hAnsi="Calibri"/>
          <w:b w:val="false"/>
          <w:bCs w:val="false"/>
          <w:i w:val="false"/>
          <w:iCs w:val="false"/>
          <w:strike w:val="false"/>
          <w:color w:val="000000"/>
          <w:sz w:val="22"/>
          <w:szCs w:val="22"/>
        </w:rPr>
        <w:t xml:space="preserve"> HYPOTHESIS Fact Units with FactType = ABDUCTIVE_HYPOTHESIS, ranked by posterior probability, referencing all InputFUIDs (observations and causal chain Fact Units used)</w:t>
      </w:r>
    </w:p>
    <w:p>
      <w:pPr>
        <w:pStyle w:val="Heading3"/>
        <w:spacing w:after="120" w:before="240" w:line="288" w:lineRule="auto"/>
      </w:pPr>
      <w:r>
        <w:rPr>
          <w:rFonts w:ascii="Calibri" w:cs="Calibri" w:eastAsia="Calibri" w:hAnsi="Calibri"/>
          <w:color w:val="000000"/>
          <w:sz w:val="30"/>
          <w:szCs w:val="30"/>
        </w:rPr>
        <w:t xml:space="preserve">15.2.3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Root cause analysis for system failures or anomalous sensor readings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Medical differential diagnosis from symptom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Scientific hypothesis generation from experimental observation Fact Units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Intelligence analysis: generating explanatory scenarios for observed geopolitical events</w:t>
      </w:r>
    </w:p>
    <w:p>
      <w:pPr>
        <w:pStyle w:val="Heading2"/>
        <w:spacing w:after="120" w:before="240" w:line="288" w:lineRule="auto"/>
      </w:pPr>
      <w:r>
        <w:rPr>
          <w:rFonts w:ascii="Calibri" w:cs="Calibri" w:eastAsia="Calibri" w:hAnsi="Calibri"/>
          <w:color w:val="000000"/>
          <w:sz w:val="36"/>
          <w:szCs w:val="36"/>
        </w:rPr>
        <w:t xml:space="preserve">15.3 AEM-2: Analogical Reasoning Module</w:t>
      </w:r>
    </w:p>
    <w:p>
      <w:pPr>
        <w:pStyle w:val="Heading3"/>
        <w:spacing w:after="120" w:before="240" w:line="288" w:lineRule="auto"/>
      </w:pPr>
      <w:r>
        <w:rPr>
          <w:rFonts w:ascii="Calibri" w:cs="Calibri" w:eastAsia="Calibri" w:hAnsi="Calibri"/>
          <w:color w:val="000000"/>
          <w:sz w:val="30"/>
          <w:szCs w:val="30"/>
        </w:rPr>
        <w:t xml:space="preserve">15.3.1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Analogical reasoning identifies structural isomorphisms between subgraphs of the Fact Graph in different domains, enabling cross-domain insight generation. AEM-2 implements structure-mapping theory (Gentner, 1983) at the Fact Graph level.</w:t>
      </w:r>
    </w:p>
    <w:p>
      <w:pPr>
        <w:pStyle w:val="Heading3"/>
        <w:spacing w:after="120" w:before="240" w:line="288" w:lineRule="auto"/>
      </w:pPr>
      <w:r>
        <w:rPr>
          <w:rFonts w:ascii="Calibri" w:cs="Calibri" w:eastAsia="Calibri" w:hAnsi="Calibri"/>
          <w:color w:val="000000"/>
          <w:sz w:val="30"/>
          <w:szCs w:val="30"/>
        </w:rPr>
        <w:t xml:space="preserve">15.3.2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Source domain selection:</w:t>
      </w:r>
      <w:r>
        <w:rPr>
          <w:rFonts w:ascii="Calibri" w:cs="Calibri" w:eastAsia="Calibri" w:hAnsi="Calibri"/>
          <w:b w:val="false"/>
          <w:bCs w:val="false"/>
          <w:i w:val="false"/>
          <w:iCs w:val="false"/>
          <w:strike w:val="false"/>
          <w:color w:val="000000"/>
          <w:sz w:val="22"/>
          <w:szCs w:val="22"/>
        </w:rPr>
        <w:t xml:space="preserve"> Given a source domain subgraph (a connected set of Fact Units in one domain, e.g., a predator-prey ecological relationship), AEM-2 extracts the relational structure: the pattern of predicate types and entity type constraints without the specific entity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Target domain search:</w:t>
      </w:r>
      <w:r>
        <w:rPr>
          <w:rFonts w:ascii="Calibri" w:cs="Calibri" w:eastAsia="Calibri" w:hAnsi="Calibri"/>
          <w:b w:val="false"/>
          <w:bCs w:val="false"/>
          <w:i w:val="false"/>
          <w:iCs w:val="false"/>
          <w:strike w:val="false"/>
          <w:color w:val="000000"/>
          <w:sz w:val="22"/>
          <w:szCs w:val="22"/>
        </w:rPr>
        <w:t xml:space="preserve"> The structural pattern is matched against all other domain subgraphs in the Fact Graph using a modified subgraph isomorphism algorithm optimized for the sparse, typed Fact Graph structure. Predicate type compatibility is governed by the Ontology Mesh's cross-domain predicate alignment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Analogy quality scoring:</w:t>
      </w:r>
      <w:r>
        <w:rPr>
          <w:rFonts w:ascii="Calibri" w:cs="Calibri" w:eastAsia="Calibri" w:hAnsi="Calibri"/>
          <w:b w:val="false"/>
          <w:bCs w:val="false"/>
          <w:i w:val="false"/>
          <w:iCs w:val="false"/>
          <w:strike w:val="false"/>
          <w:color w:val="000000"/>
          <w:sz w:val="22"/>
          <w:szCs w:val="22"/>
        </w:rPr>
        <w:t xml:space="preserve"> Each candidate analogy is scored on three dimensions: (a) Structural score: fraction of source relations that have structurally isomorphic counterparts in the target; (b) Semantic score: cosine similarity of EmbeddingVectors between mapped entity pairs; (c) Pragmatic score: utility of the cross-domain mapping for the query context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Insight generation:</w:t>
      </w:r>
      <w:r>
        <w:rPr>
          <w:rFonts w:ascii="Calibri" w:cs="Calibri" w:eastAsia="Calibri" w:hAnsi="Calibri"/>
          <w:b w:val="false"/>
          <w:bCs w:val="false"/>
          <w:i w:val="false"/>
          <w:iCs w:val="false"/>
          <w:strike w:val="false"/>
          <w:color w:val="000000"/>
          <w:sz w:val="22"/>
          <w:szCs w:val="22"/>
        </w:rPr>
        <w:t xml:space="preserve"> For each high-quality analogy, AEM-2 generates CROSS_DOMAIN_INSIGHT Fact Units by mapping source-domain predicates and their associated knowledge across to the target domain, creating new candidate Fact Units that assert the analogous relationship in the target domain</w:t>
      </w:r>
    </w:p>
    <w:p>
      <w:pPr>
        <w:pStyle w:val="Heading3"/>
        <w:spacing w:after="120" w:before="240" w:line="288" w:lineRule="auto"/>
      </w:pPr>
      <w:r>
        <w:rPr>
          <w:rFonts w:ascii="Calibri" w:cs="Calibri" w:eastAsia="Calibri" w:hAnsi="Calibri"/>
          <w:color w:val="000000"/>
          <w:sz w:val="30"/>
          <w:szCs w:val="30"/>
        </w:rPr>
        <w:t xml:space="preserve">15.3.3 Analogy Quality Threshold</w:t>
      </w:r>
    </w:p>
    <w:p>
      <w:pPr>
        <w:spacing w:after="120" w:line="360" w:lineRule="auto"/>
      </w:pPr>
      <w:r>
        <w:rPr>
          <w:rFonts w:ascii="Calibri" w:cs="Calibri" w:eastAsia="Calibri" w:hAnsi="Calibri"/>
          <w:b w:val="false"/>
          <w:bCs w:val="false"/>
          <w:i w:val="false"/>
          <w:iCs w:val="false"/>
          <w:strike w:val="false"/>
          <w:color w:val="000000"/>
          <w:sz w:val="22"/>
          <w:szCs w:val="22"/>
        </w:rPr>
        <w:t xml:space="preserve">Only analogies with a composite quality score (0.4 × Structural + 0.4 × Semantic + 0.2 × Pragmatic) above a configurable threshold (default: 0.65) produce CROSS_DOMAIN_INSIGHT Fact Units. Below-threshold analogies are retained as CANDIDATE_ANALOGY Fact Units for human review.</w:t>
      </w:r>
    </w:p>
    <w:p>
      <w:pPr>
        <w:pStyle w:val="Heading2"/>
        <w:spacing w:after="120" w:before="240" w:line="288" w:lineRule="auto"/>
      </w:pPr>
      <w:r>
        <w:rPr>
          <w:rFonts w:ascii="Calibri" w:cs="Calibri" w:eastAsia="Calibri" w:hAnsi="Calibri"/>
          <w:color w:val="000000"/>
          <w:sz w:val="36"/>
          <w:szCs w:val="36"/>
        </w:rPr>
        <w:t xml:space="preserve">15.4 AEM-3: Causal Discovery Module</w:t>
      </w:r>
    </w:p>
    <w:p>
      <w:pPr>
        <w:pStyle w:val="Heading3"/>
        <w:spacing w:after="120" w:before="240" w:line="288" w:lineRule="auto"/>
      </w:pPr>
      <w:r>
        <w:rPr>
          <w:rFonts w:ascii="Calibri" w:cs="Calibri" w:eastAsia="Calibri" w:hAnsi="Calibri"/>
          <w:color w:val="000000"/>
          <w:sz w:val="30"/>
          <w:szCs w:val="30"/>
        </w:rPr>
        <w:t xml:space="preserve">15.4.1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infers causal relationships between Fact Units from observational data, distinguishing mere correlation from causal direction using a combination of constraint-based, score-based, and neural causal discovery methods.</w:t>
      </w:r>
    </w:p>
    <w:p>
      <w:pPr>
        <w:pStyle w:val="Heading3"/>
        <w:spacing w:after="120" w:before="240" w:line="288" w:lineRule="auto"/>
      </w:pPr>
      <w:r>
        <w:rPr>
          <w:rFonts w:ascii="Calibri" w:cs="Calibri" w:eastAsia="Calibri" w:hAnsi="Calibri"/>
          <w:color w:val="000000"/>
          <w:sz w:val="30"/>
          <w:szCs w:val="30"/>
        </w:rPr>
        <w:t xml:space="preserve">15.4.2 Causal Discovery Methods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Method</w:t>
            </w:r>
          </w:p>
        </w:tc>
        <w:tc>
          <w:tcPr>
            <w:tcW w:type="pct" w:w="33%"/>
            <w:shd w:fill="DCE6F0" w:color="auto" w:val="clear"/>
          </w:tcPr>
          <w:p>
            <w:r>
              <w:rPr>
                <w:rFonts w:ascii="Calibri" w:cs="Calibri" w:eastAsia="Calibri" w:hAnsi="Calibri"/>
                <w:b/>
                <w:bCs/>
                <w:i w:val="false"/>
                <w:iCs w:val="false"/>
                <w:strike w:val="false"/>
                <w:color w:val="0D2A5E"/>
                <w:sz w:val="20"/>
                <w:szCs w:val="20"/>
              </w:rPr>
              <w:t xml:space="preserve">Algorithm</w:t>
            </w:r>
          </w:p>
        </w:tc>
        <w:tc>
          <w:tcPr>
            <w:tcW w:type="pct" w:w="28%"/>
            <w:shd w:fill="DCE6F0" w:color="auto" w:val="clear"/>
          </w:tcPr>
          <w:p>
            <w:r>
              <w:rPr>
                <w:rFonts w:ascii="Calibri" w:cs="Calibri" w:eastAsia="Calibri" w:hAnsi="Calibri"/>
                <w:b/>
                <w:bCs/>
                <w:i w:val="false"/>
                <w:iCs w:val="false"/>
                <w:strike w:val="false"/>
                <w:color w:val="0D2A5E"/>
                <w:sz w:val="20"/>
                <w:szCs w:val="20"/>
              </w:rPr>
              <w:t xml:space="preserve">Applicable When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w:t>
            </w:r>
          </w:p>
        </w:tc>
        <w:tc>
          <w:tcPr>
            <w:tcW w:type="pct" w:w="33%"/>
          </w:tcPr>
          <w:p>
            <w:r>
              <w:rPr>
                <w:rFonts w:ascii="Calibri" w:cs="Calibri" w:eastAsia="Calibri" w:hAnsi="Calibri"/>
                <w:b w:val="false"/>
                <w:bCs w:val="false"/>
                <w:i w:val="false"/>
                <w:iCs w:val="false"/>
                <w:strike w:val="false"/>
                <w:color w:val="000000"/>
                <w:sz w:val="20"/>
                <w:szCs w:val="20"/>
              </w:rPr>
              <w:t xml:space="preserve">PC Algorithm with Fisher-Z conditional independence tests</w:t>
            </w:r>
          </w:p>
        </w:tc>
        <w:tc>
          <w:tcPr>
            <w:tcW w:type="pct" w:w="28%"/>
          </w:tcPr>
          <w:p>
            <w:r>
              <w:rPr>
                <w:rFonts w:ascii="Calibri" w:cs="Calibri" w:eastAsia="Calibri" w:hAnsi="Calibri"/>
                <w:b w:val="false"/>
                <w:bCs w:val="false"/>
                <w:i w:val="false"/>
                <w:iCs w:val="false"/>
                <w:strike w:val="false"/>
                <w:color w:val="000000"/>
                <w:sz w:val="20"/>
                <w:szCs w:val="20"/>
              </w:rPr>
              <w:t xml:space="preserve">Large observational datasets with continuous variables (TIME_SERIES_POINT, MEASUREMENT Fact Units)</w:t>
            </w:r>
          </w:p>
        </w:tc>
        <w:tc>
          <w:tcPr>
            <w:tcW w:type="pct" w:w="27%"/>
          </w:tcPr>
          <w:p>
            <w:r>
              <w:rPr>
                <w:rFonts w:ascii="Calibri" w:cs="Calibri" w:eastAsia="Calibri" w:hAnsi="Calibri"/>
                <w:b w:val="false"/>
                <w:bCs w:val="false"/>
                <w:i w:val="false"/>
                <w:iCs w:val="false"/>
                <w:strike w:val="false"/>
                <w:color w:val="000000"/>
                <w:sz w:val="20"/>
                <w:szCs w:val="20"/>
              </w:rPr>
              <w:t xml:space="preserve">Completed Partially Directed Acyclic Graph (CPDAG) over Fact Unit variables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Constraint-based (latent)</w:t>
            </w:r>
          </w:p>
        </w:tc>
        <w:tc>
          <w:tcPr>
            <w:tcW w:type="pct" w:w="33%"/>
          </w:tcPr>
          <w:p>
            <w:r>
              <w:rPr>
                <w:rFonts w:ascii="Calibri" w:cs="Calibri" w:eastAsia="Calibri" w:hAnsi="Calibri"/>
                <w:b w:val="false"/>
                <w:bCs w:val="false"/>
                <w:i w:val="false"/>
                <w:iCs w:val="false"/>
                <w:strike w:val="false"/>
                <w:color w:val="000000"/>
                <w:sz w:val="20"/>
                <w:szCs w:val="20"/>
              </w:rPr>
              <w:t xml:space="preserve">FCI (Fast Causal Inference) Algorithm</w:t>
            </w:r>
          </w:p>
        </w:tc>
        <w:tc>
          <w:tcPr>
            <w:tcW w:type="pct" w:w="28%"/>
          </w:tcPr>
          <w:p>
            <w:r>
              <w:rPr>
                <w:rFonts w:ascii="Calibri" w:cs="Calibri" w:eastAsia="Calibri" w:hAnsi="Calibri"/>
                <w:b w:val="false"/>
                <w:bCs w:val="false"/>
                <w:i w:val="false"/>
                <w:iCs w:val="false"/>
                <w:strike w:val="false"/>
                <w:color w:val="000000"/>
                <w:sz w:val="20"/>
                <w:szCs w:val="20"/>
              </w:rPr>
              <w:t xml:space="preserve">Same as PC but when latent confounders are suspected (indicated by low source diversity for the relevant Fact Units)</w:t>
            </w:r>
          </w:p>
        </w:tc>
        <w:tc>
          <w:tcPr>
            <w:tcW w:type="pct" w:w="27%"/>
          </w:tcPr>
          <w:p>
            <w:r>
              <w:rPr>
                <w:rFonts w:ascii="Calibri" w:cs="Calibri" w:eastAsia="Calibri" w:hAnsi="Calibri"/>
                <w:b w:val="false"/>
                <w:bCs w:val="false"/>
                <w:i w:val="false"/>
                <w:iCs w:val="false"/>
                <w:strike w:val="false"/>
                <w:color w:val="000000"/>
                <w:sz w:val="20"/>
                <w:szCs w:val="20"/>
              </w:rPr>
              <w:t xml:space="preserve">Partial Ancestral Graph (PAG) capturing uncertainty about latent structure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Neural causal discovery</w:t>
            </w:r>
          </w:p>
        </w:tc>
        <w:tc>
          <w:tcPr>
            <w:tcW w:type="pct" w:w="33%"/>
          </w:tcPr>
          <w:p>
            <w:r>
              <w:rPr>
                <w:rFonts w:ascii="Calibri" w:cs="Calibri" w:eastAsia="Calibri" w:hAnsi="Calibri"/>
                <w:b w:val="false"/>
                <w:bCs w:val="false"/>
                <w:i w:val="false"/>
                <w:iCs w:val="false"/>
                <w:strike w:val="false"/>
                <w:color w:val="000000"/>
                <w:sz w:val="20"/>
                <w:szCs w:val="20"/>
              </w:rPr>
              <w:t xml:space="preserve">NOTEARS (Non-combinatorial Optimization via Trace Exponential and Augmented lagRangian for Structure learning) adapted to EmbeddingVector space</w:t>
            </w:r>
          </w:p>
        </w:tc>
        <w:tc>
          <w:tcPr>
            <w:tcW w:type="pct" w:w="28%"/>
          </w:tcPr>
          <w:p>
            <w:r>
              <w:rPr>
                <w:rFonts w:ascii="Calibri" w:cs="Calibri" w:eastAsia="Calibri" w:hAnsi="Calibri"/>
                <w:b w:val="false"/>
                <w:bCs w:val="false"/>
                <w:i w:val="false"/>
                <w:iCs w:val="false"/>
                <w:strike w:val="false"/>
                <w:color w:val="000000"/>
                <w:sz w:val="20"/>
                <w:szCs w:val="20"/>
              </w:rPr>
              <w:t xml:space="preserve">High-dimensional Fact Unit clusters where traditional independence tests are underpowered</w:t>
            </w:r>
          </w:p>
        </w:tc>
        <w:tc>
          <w:tcPr>
            <w:tcW w:type="pct" w:w="27%"/>
          </w:tcPr>
          <w:p>
            <w:r>
              <w:rPr>
                <w:rFonts w:ascii="Calibri" w:cs="Calibri" w:eastAsia="Calibri" w:hAnsi="Calibri"/>
                <w:b w:val="false"/>
                <w:bCs w:val="false"/>
                <w:i w:val="false"/>
                <w:iCs w:val="false"/>
                <w:strike w:val="false"/>
                <w:color w:val="000000"/>
                <w:sz w:val="20"/>
                <w:szCs w:val="20"/>
              </w:rPr>
              <w:t xml:space="preserve">Weighted directed adjacency matrix over Fact Unit EmbeddingVectors</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Interventional</w:t>
            </w:r>
          </w:p>
        </w:tc>
        <w:tc>
          <w:tcPr>
            <w:tcW w:type="pct" w:w="33%"/>
          </w:tcPr>
          <w:p>
            <w:r>
              <w:rPr>
                <w:rFonts w:ascii="Calibri" w:cs="Calibri" w:eastAsia="Calibri" w:hAnsi="Calibri"/>
                <w:b w:val="false"/>
                <w:bCs w:val="false"/>
                <w:i w:val="false"/>
                <w:iCs w:val="false"/>
                <w:strike w:val="false"/>
                <w:color w:val="000000"/>
                <w:sz w:val="20"/>
                <w:szCs w:val="20"/>
              </w:rPr>
              <w:t xml:space="preserve">Do-calculus over Scenario Graph interventions</w:t>
            </w:r>
          </w:p>
        </w:tc>
        <w:tc>
          <w:tcPr>
            <w:tcW w:type="pct" w:w="28%"/>
          </w:tcPr>
          <w:p>
            <w:r>
              <w:rPr>
                <w:rFonts w:ascii="Calibri" w:cs="Calibri" w:eastAsia="Calibri" w:hAnsi="Calibri"/>
                <w:b w:val="false"/>
                <w:bCs w:val="false"/>
                <w:i w:val="false"/>
                <w:iCs w:val="false"/>
                <w:strike w:val="false"/>
                <w:color w:val="000000"/>
                <w:sz w:val="20"/>
                <w:szCs w:val="20"/>
              </w:rPr>
              <w:t xml:space="preserve">When WHAT_IF Scenario Graphs with forced interventions are available as quasi-experimental data</w:t>
            </w:r>
          </w:p>
        </w:tc>
        <w:tc>
          <w:tcPr>
            <w:tcW w:type="pct" w:w="27%"/>
          </w:tcPr>
          <w:p>
            <w:r>
              <w:rPr>
                <w:rFonts w:ascii="Calibri" w:cs="Calibri" w:eastAsia="Calibri" w:hAnsi="Calibri"/>
                <w:b w:val="false"/>
                <w:bCs w:val="false"/>
                <w:i w:val="false"/>
                <w:iCs w:val="false"/>
                <w:strike w:val="false"/>
                <w:color w:val="000000"/>
                <w:sz w:val="20"/>
                <w:szCs w:val="20"/>
              </w:rPr>
              <w:t xml:space="preserve">Causal effect estimates with confidence intervals; distinguishes correlation from causation definitively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15.4.2.1 Scaling the PC Algorithm — Redesign Note (Efficiency)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EFFICIENCY</w:t>
            </w:r>
            <w:r>
              <w:rPr>
                <w:rFonts w:ascii="Calibri" w:cs="Calibri" w:eastAsia="Calibri" w:hAnsi="Calibri"/>
                <w:b/>
                <w:bCs/>
                <w:i w:val="false"/>
                <w:iCs w:val="false"/>
                <w:strike w:val="false"/>
                <w:color w:val="333333"/>
                <w:sz w:val="24"/>
                <w:szCs w:val="24"/>
              </w:rPr>
              <w:t xml:space="preserve">The PC Algorithm's conditional-independence testing has cubic time complexity, O(n³), in the number of variables for dense graphs. Applied directly to a Fact Graph domain with millions of related Fact Units, this is computationally intractable without a bound on the variable set the algorithm runs against.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mitigation: AEM-3 should require domain partitioning before invoking the PC Algorithm — bounding the candidate variable set to a single Ontology Mesh domain (Chapter 6) or a Scenario Graph-scoped subset (Chapter 11) rather than the full Fact Graph, and falling back to the score-based or neural causal discovery methods (per the method table above) for cross-domain causal questions that would otherwise require an unbounded conditional-independence search. This partitioning requirement should be added as a precondition in §15.4.1 before AEM-3 is treated as usable at production Fact Graph scale.</w:t>
      </w:r>
    </w:p>
    <w:p>
      <w:pPr>
        <w:pStyle w:val="Heading3"/>
        <w:spacing w:after="120" w:before="240" w:line="288" w:lineRule="auto"/>
      </w:pPr>
      <w:r>
        <w:rPr>
          <w:rFonts w:ascii="Calibri" w:cs="Calibri" w:eastAsia="Calibri" w:hAnsi="Calibri"/>
          <w:color w:val="000000"/>
          <w:sz w:val="30"/>
          <w:szCs w:val="30"/>
        </w:rPr>
        <w:t xml:space="preserve">15.4.3 Output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AEM-3 produces CAUSAL_RELATION Fact Units with FactType = CAUSAL_RELATION, containing: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SubjectRef: the causal Fact Unit (cause)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PredicateRef: CAUSES, PROMOTES, INHIBITS, ENABLES, or PREVENTS (per Predicate Library)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ObjectRef: the effect Fact Unit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AnnotationSet: </w:t>
      </w:r>
      <w:r>
        <w:rPr>
          <w:rFonts w:ascii="Calibri" w:cs="Calibri" w:eastAsia="Calibri" w:hAnsi="Calibri"/>
          <w:b w:val="false"/>
          <w:bCs w:val="false"/>
          <w:i w:val="false"/>
          <w:iCs w:val="false"/>
          <w:strike w:val="false"/>
          <w:color w:val="000000"/>
          <w:sz w:val="20"/>
          <w:szCs w:val="20"/>
          <w:shd w:fill="F3F4F6" w:color="auto" w:val="clear"/>
        </w:rPr>
        <w:t xml:space="preserve">qb:causal.method</w:t>
      </w:r>
      <w:r>
        <w:rPr>
          <w:rFonts w:ascii="Calibri" w:cs="Calibri" w:eastAsia="Calibri" w:hAnsi="Calibri"/>
          <w:b w:val="false"/>
          <w:bCs w:val="false"/>
          <w:i w:val="false"/>
          <w:iCs w:val="false"/>
          <w:strike w:val="false"/>
          <w:color w:val="000000"/>
          <w:sz w:val="22"/>
          <w:szCs w:val="22"/>
        </w:rPr>
        <w:t xml:space="preserve"> (discovery method used), </w:t>
      </w:r>
      <w:r>
        <w:rPr>
          <w:rFonts w:ascii="Calibri" w:cs="Calibri" w:eastAsia="Calibri" w:hAnsi="Calibri"/>
          <w:b w:val="false"/>
          <w:bCs w:val="false"/>
          <w:i w:val="false"/>
          <w:iCs w:val="false"/>
          <w:strike w:val="false"/>
          <w:color w:val="000000"/>
          <w:sz w:val="20"/>
          <w:szCs w:val="20"/>
          <w:shd w:fill="F3F4F6" w:color="auto" w:val="clear"/>
        </w:rPr>
        <w:t xml:space="preserve">qb:causal.effect_size</w:t>
      </w:r>
      <w:r>
        <w:rPr>
          <w:rFonts w:ascii="Calibri" w:cs="Calibri" w:eastAsia="Calibri" w:hAnsi="Calibri"/>
          <w:b w:val="false"/>
          <w:bCs w:val="false"/>
          <w:i w:val="false"/>
          <w:iCs w:val="false"/>
          <w:strike w:val="false"/>
          <w:color w:val="000000"/>
          <w:sz w:val="22"/>
          <w:szCs w:val="22"/>
        </w:rPr>
        <w:t xml:space="preserve"> (estimated average causal effect), </w:t>
      </w:r>
      <w:r>
        <w:rPr>
          <w:rFonts w:ascii="Calibri" w:cs="Calibri" w:eastAsia="Calibri" w:hAnsi="Calibri"/>
          <w:b w:val="false"/>
          <w:bCs w:val="false"/>
          <w:i w:val="false"/>
          <w:iCs w:val="false"/>
          <w:strike w:val="false"/>
          <w:color w:val="000000"/>
          <w:sz w:val="20"/>
          <w:szCs w:val="20"/>
          <w:shd w:fill="F3F4F6" w:color="auto" w:val="clear"/>
        </w:rPr>
        <w:t xml:space="preserve">qb:causal.confounding_risk</w:t>
      </w:r>
      <w:r>
        <w:rPr>
          <w:rFonts w:ascii="Calibri" w:cs="Calibri" w:eastAsia="Calibri" w:hAnsi="Calibri"/>
          <w:b w:val="false"/>
          <w:bCs w:val="false"/>
          <w:i w:val="false"/>
          <w:iCs w:val="false"/>
          <w:strike w:val="false"/>
          <w:color w:val="000000"/>
          <w:sz w:val="22"/>
          <w:szCs w:val="22"/>
        </w:rPr>
        <w:t xml:space="preserve"> (low/medium/high)</w:t>
      </w:r>
    </w:p>
    <w:p>
      <w:pPr>
        <w:pStyle w:val="Heading2"/>
        <w:spacing w:after="120" w:before="240" w:line="288" w:lineRule="auto"/>
      </w:pPr>
      <w:r>
        <w:rPr>
          <w:rFonts w:ascii="Calibri" w:cs="Calibri" w:eastAsia="Calibri" w:hAnsi="Calibri"/>
          <w:color w:val="000000"/>
          <w:sz w:val="36"/>
          <w:szCs w:val="36"/>
        </w:rPr>
        <w:t xml:space="preserve">15.5 AEM-4: Counterfactual Reasoning Module</w:t>
      </w:r>
    </w:p>
    <w:p>
      <w:pPr>
        <w:pStyle w:val="Heading3"/>
        <w:spacing w:after="120" w:before="240" w:line="288" w:lineRule="auto"/>
      </w:pPr>
      <w:r>
        <w:rPr>
          <w:rFonts w:ascii="Calibri" w:cs="Calibri" w:eastAsia="Calibri" w:hAnsi="Calibri"/>
          <w:color w:val="000000"/>
          <w:sz w:val="30"/>
          <w:szCs w:val="30"/>
        </w:rPr>
        <w:t xml:space="preserve">15.5.1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AEM-4 generates the most plausible alternative world state in which a specified Fact Unit is false, using the minimum-intervention principle: change as few facts in the Fact Graph as necessary to render the target Fact Unit false while maintaining internal consistency.</w:t>
      </w:r>
    </w:p>
    <w:p>
      <w:pPr>
        <w:pStyle w:val="Heading3"/>
        <w:spacing w:after="120" w:before="240" w:line="288" w:lineRule="auto"/>
      </w:pPr>
      <w:r>
        <w:rPr>
          <w:rFonts w:ascii="Calibri" w:cs="Calibri" w:eastAsia="Calibri" w:hAnsi="Calibri"/>
          <w:color w:val="000000"/>
          <w:sz w:val="30"/>
          <w:szCs w:val="30"/>
        </w:rPr>
        <w:t xml:space="preserve">15.5.2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Intervention set computation:</w:t>
      </w:r>
      <w:r>
        <w:rPr>
          <w:rFonts w:ascii="Calibri" w:cs="Calibri" w:eastAsia="Calibri" w:hAnsi="Calibri"/>
          <w:b w:val="false"/>
          <w:bCs w:val="false"/>
          <w:i w:val="false"/>
          <w:iCs w:val="false"/>
          <w:strike w:val="false"/>
          <w:color w:val="000000"/>
          <w:sz w:val="22"/>
          <w:szCs w:val="22"/>
        </w:rPr>
        <w:t xml:space="preserve"> Given a target Fact Unit FU_target to negate, AEM-4 uses the CAUSAL_RELATION Fact Units in the Fact Graph to identify the minimal set of upstream facts whose removal or modification would causally preclude FU_target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intervention selection:</w:t>
      </w:r>
      <w:r>
        <w:rPr>
          <w:rFonts w:ascii="Calibri" w:cs="Calibri" w:eastAsia="Calibri" w:hAnsi="Calibri"/>
          <w:b w:val="false"/>
          <w:bCs w:val="false"/>
          <w:i w:val="false"/>
          <w:iCs w:val="false"/>
          <w:strike w:val="false"/>
          <w:color w:val="000000"/>
          <w:sz w:val="22"/>
          <w:szCs w:val="22"/>
        </w:rPr>
        <w:t xml:space="preserve"> Among all intervention sets that achieve the counterfactual goal, AEM-4 selects the one with the minimum total intervention cost, where intervention cost is computed as: sum(1 - ConfidenceScore) for each Fact Unit that must be removed, plus sum(semantic_distance) for each Fact Unit whose value must be modified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Counterfactual KSS construction:</w:t>
      </w:r>
      <w:r>
        <w:rPr>
          <w:rFonts w:ascii="Calibri" w:cs="Calibri" w:eastAsia="Calibri" w:hAnsi="Calibri"/>
          <w:b w:val="false"/>
          <w:bCs w:val="false"/>
          <w:i w:val="false"/>
          <w:iCs w:val="false"/>
          <w:strike w:val="false"/>
          <w:color w:val="000000"/>
          <w:sz w:val="22"/>
          <w:szCs w:val="22"/>
        </w:rPr>
        <w:t xml:space="preserve"> The selected minimum intervention set is applied to the current Fact Graph to construct a Counterfactual Knowledge State Snapshot (KSS) within a new COUNTERFACTUAL Scenario Graph</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Consistency propagation:</w:t>
      </w:r>
      <w:r>
        <w:rPr>
          <w:rFonts w:ascii="Calibri" w:cs="Calibri" w:eastAsia="Calibri" w:hAnsi="Calibri"/>
          <w:b w:val="false"/>
          <w:bCs w:val="false"/>
          <w:i w:val="false"/>
          <w:iCs w:val="false"/>
          <w:strike w:val="false"/>
          <w:color w:val="000000"/>
          <w:sz w:val="22"/>
          <w:szCs w:val="22"/>
        </w:rPr>
        <w:t xml:space="preserve"> The CDRE is applied to the counterfactual KSS to propagate the downstream consequences of the intervention through the causal graph, updating all Fact Units causally downstream of the intervened facts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COUNTERFACTUAL Scenario Graph with the counterfactual KSS and a COUNTERFACTUAL_ANALYSIS Fact Unit summarizing the intervention set, the minimum cost, and the downstream consequences</w:t>
      </w:r>
    </w:p>
    <w:p>
      <w:pPr>
        <w:pStyle w:val="Heading2"/>
        <w:spacing w:after="120" w:before="240" w:line="288" w:lineRule="auto"/>
      </w:pPr>
      <w:r>
        <w:rPr>
          <w:rFonts w:ascii="Calibri" w:cs="Calibri" w:eastAsia="Calibri" w:hAnsi="Calibri"/>
          <w:color w:val="000000"/>
          <w:sz w:val="36"/>
          <w:szCs w:val="36"/>
        </w:rPr>
        <w:t xml:space="preserve">15.6 AEM-5: Meta-Cognitive Monitoring Module</w:t>
      </w:r>
    </w:p>
    <w:p>
      <w:pPr>
        <w:pStyle w:val="Heading3"/>
        <w:spacing w:after="120" w:before="240" w:line="288" w:lineRule="auto"/>
      </w:pPr>
      <w:r>
        <w:rPr>
          <w:rFonts w:ascii="Calibri" w:cs="Calibri" w:eastAsia="Calibri" w:hAnsi="Calibri"/>
          <w:color w:val="000000"/>
          <w:sz w:val="30"/>
          <w:szCs w:val="30"/>
        </w:rPr>
        <w:t xml:space="preserve">15.6.1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AEM-5 continuously monitors the NCL's own reasoning processes for coherence, confidence calibration, and epistemic quality. It is the system's self-awareness module — generating Fact Units that describe QueryBook's own epistemic state and flagging conditions that require human review or Safety Substrate intervention.</w:t>
      </w:r>
    </w:p>
    <w:p>
      <w:pPr>
        <w:pStyle w:val="Heading3"/>
        <w:spacing w:after="120" w:before="240" w:line="288" w:lineRule="auto"/>
      </w:pPr>
      <w:r>
        <w:rPr>
          <w:rFonts w:ascii="Calibri" w:cs="Calibri" w:eastAsia="Calibri" w:hAnsi="Calibri"/>
          <w:color w:val="000000"/>
          <w:sz w:val="30"/>
          <w:szCs w:val="30"/>
        </w:rPr>
        <w:t xml:space="preserve">15.6.2 Monitored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Condition</w:t>
            </w:r>
          </w:p>
        </w:tc>
        <w:tc>
          <w:tcPr>
            <w:tcW w:type="pct" w:w="41%"/>
            <w:shd w:fill="DCE6F0" w:color="auto" w:val="clear"/>
          </w:tcPr>
          <w:p>
            <w:r>
              <w:rPr>
                <w:rFonts w:ascii="Calibri" w:cs="Calibri" w:eastAsia="Calibri" w:hAnsi="Calibri"/>
                <w:b/>
                <w:bCs/>
                <w:i w:val="false"/>
                <w:iCs w:val="false"/>
                <w:strike w:val="false"/>
                <w:color w:val="0D2A5E"/>
                <w:sz w:val="20"/>
                <w:szCs w:val="20"/>
              </w:rPr>
              <w:t xml:space="preserve">Detection Method</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Output Fact Unit Type</w:t>
            </w:r>
          </w:p>
        </w:tc>
        <w:tc>
          <w:tcPr>
            <w:tcW w:type="pct" w:w="32%"/>
            <w:shd w:fill="DCE6F0" w:color="auto" w:val="clear"/>
          </w:tcPr>
          <w:p>
            <w:r>
              <w:rPr>
                <w:rFonts w:ascii="Calibri" w:cs="Calibri" w:eastAsia="Calibri" w:hAnsi="Calibri"/>
                <w:b/>
                <w:bCs/>
                <w:i w:val="false"/>
                <w:iCs w:val="false"/>
                <w:strike w:val="false"/>
                <w:color w:val="0D2A5E"/>
                <w:sz w:val="20"/>
                <w:szCs w:val="20"/>
              </w:rPr>
              <w:t xml:space="preserve">Escalation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Circular reasoning</w:t>
            </w:r>
          </w:p>
        </w:tc>
        <w:tc>
          <w:tcPr>
            <w:tcW w:type="pct" w:w="41%"/>
          </w:tcPr>
          <w:p>
            <w:r>
              <w:rPr>
                <w:rFonts w:ascii="Calibri" w:cs="Calibri" w:eastAsia="Calibri" w:hAnsi="Calibri"/>
                <w:b w:val="false"/>
                <w:bCs w:val="false"/>
                <w:i w:val="false"/>
                <w:iCs w:val="false"/>
                <w:strike w:val="false"/>
                <w:color w:val="000000"/>
                <w:sz w:val="20"/>
                <w:szCs w:val="20"/>
              </w:rPr>
              <w:t xml:space="preserve">Cycle detection in the causal subgraph activated during a query session's CCW</w:t>
            </w:r>
          </w:p>
        </w:tc>
        <w:tc>
          <w:tcPr>
            <w:tcW w:type="pct" w:w="14%"/>
          </w:tcPr>
          <w:p>
            <w:r>
              <w:rPr>
                <w:rFonts w:ascii="Calibri" w:cs="Calibri" w:eastAsia="Calibri" w:hAnsi="Calibri"/>
                <w:b w:val="false"/>
                <w:bCs w:val="false"/>
                <w:i w:val="false"/>
                <w:iCs w:val="false"/>
                <w:strike w:val="false"/>
                <w:color w:val="000000"/>
                <w:sz w:val="20"/>
                <w:szCs w:val="20"/>
              </w:rPr>
              <w:t xml:space="preserve">META_CIRCULAR_REASONING</w:t>
            </w:r>
          </w:p>
        </w:tc>
        <w:tc>
          <w:tcPr>
            <w:tcW w:type="pct" w:w="32%"/>
          </w:tcPr>
          <w:p>
            <w:r>
              <w:rPr>
                <w:rFonts w:ascii="Calibri" w:cs="Calibri" w:eastAsia="Calibri" w:hAnsi="Calibri"/>
                <w:b w:val="false"/>
                <w:bCs w:val="false"/>
                <w:i w:val="false"/>
                <w:iCs w:val="false"/>
                <w:strike w:val="false"/>
                <w:color w:val="000000"/>
                <w:sz w:val="20"/>
                <w:szCs w:val="20"/>
              </w:rPr>
              <w:t xml:space="preserve">Flag involved Fact Units as UNDER_REVIEW; notify query originator</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Overconfidence</w:t>
            </w:r>
          </w:p>
        </w:tc>
        <w:tc>
          <w:tcPr>
            <w:tcW w:type="pct" w:w="41%"/>
          </w:tcPr>
          <w:p>
            <w:r>
              <w:rPr>
                <w:rFonts w:ascii="Calibri" w:cs="Calibri" w:eastAsia="Calibri" w:hAnsi="Calibri"/>
                <w:b w:val="false"/>
                <w:bCs w:val="false"/>
                <w:i w:val="false"/>
                <w:iCs w:val="false"/>
                <w:strike w:val="false"/>
                <w:color w:val="000000"/>
                <w:sz w:val="20"/>
                <w:szCs w:val="20"/>
              </w:rPr>
              <w:t xml:space="preserve">ConfidenceScore distribution for a domain exceeds calibration threshold; comparison against historical calibration records from PIE</w:t>
            </w:r>
          </w:p>
        </w:tc>
        <w:tc>
          <w:tcPr>
            <w:tcW w:type="pct" w:w="14%"/>
          </w:tcPr>
          <w:p>
            <w:r>
              <w:rPr>
                <w:rFonts w:ascii="Calibri" w:cs="Calibri" w:eastAsia="Calibri" w:hAnsi="Calibri"/>
                <w:b w:val="false"/>
                <w:bCs w:val="false"/>
                <w:i w:val="false"/>
                <w:iCs w:val="false"/>
                <w:strike w:val="false"/>
                <w:color w:val="000000"/>
                <w:sz w:val="20"/>
                <w:szCs w:val="20"/>
              </w:rPr>
              <w:t xml:space="preserve">META_OVERCONFIDENCE_ALERT</w:t>
            </w:r>
          </w:p>
        </w:tc>
        <w:tc>
          <w:tcPr>
            <w:tcW w:type="pct" w:w="32%"/>
          </w:tcPr>
          <w:p>
            <w:r>
              <w:rPr>
                <w:rFonts w:ascii="Calibri" w:cs="Calibri" w:eastAsia="Calibri" w:hAnsi="Calibri"/>
                <w:b w:val="false"/>
                <w:bCs w:val="false"/>
                <w:i w:val="false"/>
                <w:iCs w:val="false"/>
                <w:strike w:val="false"/>
                <w:color w:val="000000"/>
                <w:sz w:val="20"/>
                <w:szCs w:val="20"/>
              </w:rPr>
              <w:t xml:space="preserve">Recalibrate ConfidenceScores for affected domain; log to Safety Audit Log</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Knowledge gap</w:t>
            </w:r>
          </w:p>
        </w:tc>
        <w:tc>
          <w:tcPr>
            <w:tcW w:type="pct" w:w="41%"/>
          </w:tcPr>
          <w:p>
            <w:r>
              <w:rPr>
                <w:rFonts w:ascii="Calibri" w:cs="Calibri" w:eastAsia="Calibri" w:hAnsi="Calibri"/>
                <w:b w:val="false"/>
                <w:bCs w:val="false"/>
                <w:i w:val="false"/>
                <w:iCs w:val="false"/>
                <w:strike w:val="false"/>
                <w:color w:val="000000"/>
                <w:sz w:val="20"/>
                <w:szCs w:val="20"/>
              </w:rPr>
              <w:t xml:space="preserve">Queries that return fewer than configurable minimum Fact Units above confidence threshold; Knowledge Gap Predictions from PIE</w:t>
            </w:r>
          </w:p>
        </w:tc>
        <w:tc>
          <w:tcPr>
            <w:tcW w:type="pct" w:w="14%"/>
          </w:tcPr>
          <w:p>
            <w:r>
              <w:rPr>
                <w:rFonts w:ascii="Calibri" w:cs="Calibri" w:eastAsia="Calibri" w:hAnsi="Calibri"/>
                <w:b w:val="false"/>
                <w:bCs w:val="false"/>
                <w:i w:val="false"/>
                <w:iCs w:val="false"/>
                <w:strike w:val="false"/>
                <w:color w:val="000000"/>
                <w:sz w:val="20"/>
                <w:szCs w:val="20"/>
              </w:rPr>
              <w:t xml:space="preserve">META_KNOWLEDGE_GAP</w:t>
            </w:r>
          </w:p>
        </w:tc>
        <w:tc>
          <w:tcPr>
            <w:tcW w:type="pct" w:w="32%"/>
          </w:tcPr>
          <w:p>
            <w:r>
              <w:rPr>
                <w:rFonts w:ascii="Calibri" w:cs="Calibri" w:eastAsia="Calibri" w:hAnsi="Calibri"/>
                <w:b w:val="false"/>
                <w:bCs w:val="false"/>
                <w:i w:val="false"/>
                <w:iCs w:val="false"/>
                <w:strike w:val="false"/>
                <w:color w:val="000000"/>
                <w:sz w:val="20"/>
                <w:szCs w:val="20"/>
              </w:rPr>
              <w:t xml:space="preserve">Notify ingestion operators; trigger targeted crawl recommendations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Reasoning shortcut</w:t>
            </w:r>
          </w:p>
        </w:tc>
        <w:tc>
          <w:tcPr>
            <w:tcW w:type="pct" w:w="41%"/>
          </w:tcPr>
          <w:p>
            <w:r>
              <w:rPr>
                <w:rFonts w:ascii="Calibri" w:cs="Calibri" w:eastAsia="Calibri" w:hAnsi="Calibri"/>
                <w:b w:val="false"/>
                <w:bCs w:val="false"/>
                <w:i w:val="false"/>
                <w:iCs w:val="false"/>
                <w:strike w:val="false"/>
                <w:color w:val="000000"/>
                <w:sz w:val="20"/>
                <w:szCs w:val="20"/>
              </w:rPr>
              <w:t xml:space="preserve">Detection of repeated activation of the same high-weight SWS path without exploration of alternative reasoning paths</w:t>
            </w:r>
          </w:p>
        </w:tc>
        <w:tc>
          <w:tcPr>
            <w:tcW w:type="pct" w:w="14%"/>
          </w:tcPr>
          <w:p>
            <w:r>
              <w:rPr>
                <w:rFonts w:ascii="Calibri" w:cs="Calibri" w:eastAsia="Calibri" w:hAnsi="Calibri"/>
                <w:b w:val="false"/>
                <w:bCs w:val="false"/>
                <w:i w:val="false"/>
                <w:iCs w:val="false"/>
                <w:strike w:val="false"/>
                <w:color w:val="000000"/>
                <w:sz w:val="20"/>
                <w:szCs w:val="20"/>
              </w:rPr>
              <w:t xml:space="preserve">META_REASONING_SHORTCUT</w:t>
            </w:r>
          </w:p>
        </w:tc>
        <w:tc>
          <w:tcPr>
            <w:tcW w:type="pct" w:w="32%"/>
          </w:tcPr>
          <w:p>
            <w:r>
              <w:rPr>
                <w:rFonts w:ascii="Calibri" w:cs="Calibri" w:eastAsia="Calibri" w:hAnsi="Calibri"/>
                <w:b w:val="false"/>
                <w:bCs w:val="false"/>
                <w:i w:val="false"/>
                <w:iCs w:val="false"/>
                <w:strike w:val="false"/>
                <w:color w:val="000000"/>
                <w:sz w:val="20"/>
                <w:szCs w:val="20"/>
              </w:rPr>
              <w:t xml:space="preserve">Temporarily reduce SWS weights on the shortcut path to force exploration; log for bias analysis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Epistemic inconsistency</w:t>
            </w:r>
          </w:p>
        </w:tc>
        <w:tc>
          <w:tcPr>
            <w:tcW w:type="pct" w:w="41%"/>
          </w:tcPr>
          <w:p>
            <w:r>
              <w:rPr>
                <w:rFonts w:ascii="Calibri" w:cs="Calibri" w:eastAsia="Calibri" w:hAnsi="Calibri"/>
                <w:b w:val="false"/>
                <w:bCs w:val="false"/>
                <w:i w:val="false"/>
                <w:iCs w:val="false"/>
                <w:strike w:val="false"/>
                <w:color w:val="000000"/>
                <w:sz w:val="20"/>
                <w:szCs w:val="20"/>
              </w:rPr>
              <w:t xml:space="preserve">Detection of active contradicting Fact Unit pairs (CONTRADICTS edges) both with ConfidenceScore &gt; 0.7 — the system holds high-confidence contradictory beliefs</w:t>
            </w:r>
          </w:p>
        </w:tc>
        <w:tc>
          <w:tcPr>
            <w:tcW w:type="pct" w:w="14%"/>
          </w:tcPr>
          <w:p>
            <w:r>
              <w:rPr>
                <w:rFonts w:ascii="Calibri" w:cs="Calibri" w:eastAsia="Calibri" w:hAnsi="Calibri"/>
                <w:b w:val="false"/>
                <w:bCs w:val="false"/>
                <w:i w:val="false"/>
                <w:iCs w:val="false"/>
                <w:strike w:val="false"/>
                <w:color w:val="000000"/>
                <w:sz w:val="20"/>
                <w:szCs w:val="20"/>
              </w:rPr>
              <w:t xml:space="preserve">META_EPISTEMIC_INCONSISTENCY</w:t>
            </w:r>
          </w:p>
        </w:tc>
        <w:tc>
          <w:tcPr>
            <w:tcW w:type="pct" w:w="32%"/>
          </w:tcPr>
          <w:p>
            <w:r>
              <w:rPr>
                <w:rFonts w:ascii="Calibri" w:cs="Calibri" w:eastAsia="Calibri" w:hAnsi="Calibri"/>
                <w:b w:val="false"/>
                <w:bCs w:val="false"/>
                <w:i w:val="false"/>
                <w:iCs w:val="false"/>
                <w:strike w:val="false"/>
                <w:color w:val="000000"/>
                <w:sz w:val="20"/>
                <w:szCs w:val="20"/>
              </w:rPr>
              <w:t xml:space="preserve">Escalate to human review queue; prevent both contradicting Fact Units from appearing together in the same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15.7 AEM-6: Goal-Directed Synthesis Module</w:t>
      </w:r>
    </w:p>
    <w:p>
      <w:pPr>
        <w:pStyle w:val="Heading3"/>
        <w:spacing w:after="120" w:before="240" w:line="288" w:lineRule="auto"/>
      </w:pPr>
      <w:r>
        <w:rPr>
          <w:rFonts w:ascii="Calibri" w:cs="Calibri" w:eastAsia="Calibri" w:hAnsi="Calibri"/>
          <w:color w:val="000000"/>
          <w:sz w:val="30"/>
          <w:szCs w:val="30"/>
        </w:rPr>
        <w:t xml:space="preserve">15.7.1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AEM-6 computes action plans for achieving a user-specified goal state. Given a target state expressed as a desired Fact Unit or Fact Bundle that does not currently exist in the Fact Graph, AEM-6 computes a sequence of knowledge acquisition, reasoning, and synthesis actions that, if executed, would produce the desired Fact Units.</w:t>
      </w:r>
    </w:p>
    <w:p>
      <w:pPr>
        <w:pStyle w:val="Heading3"/>
        <w:spacing w:after="120" w:before="240" w:line="288" w:lineRule="auto"/>
      </w:pPr>
      <w:r>
        <w:rPr>
          <w:rFonts w:ascii="Calibri" w:cs="Calibri" w:eastAsia="Calibri" w:hAnsi="Calibri"/>
          <w:color w:val="000000"/>
          <w:sz w:val="30"/>
          <w:szCs w:val="30"/>
        </w:rPr>
        <w:t xml:space="preserve">15.7.2 Algorithm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Goal representation:</w:t>
      </w:r>
      <w:r>
        <w:rPr>
          <w:rFonts w:ascii="Calibri" w:cs="Calibri" w:eastAsia="Calibri" w:hAnsi="Calibri"/>
          <w:b w:val="false"/>
          <w:bCs w:val="false"/>
          <w:i w:val="false"/>
          <w:iCs w:val="false"/>
          <w:strike w:val="false"/>
          <w:color w:val="000000"/>
          <w:sz w:val="22"/>
          <w:szCs w:val="22"/>
        </w:rPr>
        <w:t xml:space="preserve"> The target Fact Unit (or Fact Bundle) is represented as a node in a Planning Scenario Graph with ScenarioType=PLANNING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Backward chaining from goal:</w:t>
      </w:r>
      <w:r>
        <w:rPr>
          <w:rFonts w:ascii="Calibri" w:cs="Calibri" w:eastAsia="Calibri" w:hAnsi="Calibri"/>
          <w:b w:val="false"/>
          <w:bCs w:val="false"/>
          <w:i w:val="false"/>
          <w:iCs w:val="false"/>
          <w:strike w:val="false"/>
          <w:color w:val="000000"/>
          <w:sz w:val="22"/>
          <w:szCs w:val="22"/>
        </w:rPr>
        <w:t xml:space="preserve"> AEM-6 applies a backward chaining planner over the Fact Graph: starting from the goal state, it identifies what causal preconditions and ingestion events would produce the required Fact Units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Action set enumeration:</w:t>
      </w:r>
      <w:r>
        <w:rPr>
          <w:rFonts w:ascii="Calibri" w:cs="Calibri" w:eastAsia="Calibri" w:hAnsi="Calibri"/>
          <w:b w:val="false"/>
          <w:bCs w:val="false"/>
          <w:i w:val="false"/>
          <w:iCs w:val="false"/>
          <w:strike w:val="false"/>
          <w:color w:val="000000"/>
          <w:sz w:val="22"/>
          <w:szCs w:val="22"/>
        </w:rPr>
        <w:t xml:space="preserve"> Identified actions are classified into: INGEST (acquire specific data sources), DERIVE (run specific AEM modules), QUERY (retrieve existing Fact Units), SYNTHESIZE (combine existing Fact Units via MRE), PREDICT (invoke PIE for a specific prediction)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Feasibility assessment:</w:t>
      </w:r>
      <w:r>
        <w:rPr>
          <w:rFonts w:ascii="Calibri" w:cs="Calibri" w:eastAsia="Calibri" w:hAnsi="Calibri"/>
          <w:b w:val="false"/>
          <w:bCs w:val="false"/>
          <w:i w:val="false"/>
          <w:iCs w:val="false"/>
          <w:strike w:val="false"/>
          <w:color w:val="000000"/>
          <w:sz w:val="22"/>
          <w:szCs w:val="22"/>
        </w:rPr>
        <w:t xml:space="preserve"> Each action step is evaluated by the PIE for feasibility probability given current Fact Graph state and available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output:</w:t>
      </w:r>
      <w:r>
        <w:rPr>
          <w:rFonts w:ascii="Calibri" w:cs="Calibri" w:eastAsia="Calibri" w:hAnsi="Calibri"/>
          <w:b w:val="false"/>
          <w:bCs w:val="false"/>
          <w:i w:val="false"/>
          <w:iCs w:val="false"/>
          <w:strike w:val="false"/>
          <w:color w:val="000000"/>
          <w:sz w:val="22"/>
          <w:szCs w:val="22"/>
        </w:rPr>
        <w:t xml:space="preserve"> A GOAL_PLAN Fact Unit with FactType = GOAL_PLAN is generated, containing: the goal FUID reference, the ordered action sequence as a structured JSON in AnnotationSet, each step's feasibility probability, and the estimated time to goal achievement</w:t>
      </w:r>
    </w:p>
    <w:p>
      <w:pPr>
        <w:pStyle w:val="Heading3"/>
        <w:spacing w:after="120" w:before="240" w:line="288" w:lineRule="auto"/>
      </w:pPr>
      <w:r>
        <w:rPr>
          <w:rFonts w:ascii="Calibri" w:cs="Calibri" w:eastAsia="Calibri" w:hAnsi="Calibri"/>
          <w:color w:val="000000"/>
          <w:sz w:val="30"/>
          <w:szCs w:val="30"/>
        </w:rPr>
        <w:t xml:space="preserve">15.7.3 Applications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Automated research planning: computing the data acquisition and analysis steps needed to answer a complex research question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Knowledge acquisition roadmapping: identifying what sources must be ingested to fill a specified knowledge gap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Strategic planning support: computing what real-world actions would be required to transition from current state to a desired business or policy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Competitive intelligence: planning the monitoring and analysis workflow needed to maintain current awareness of a specified competitive domain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 — MULTILINGUAL REGENERATION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 Executive Summary</w:t>
            </w:r>
            <w:r>
              <w:rPr>
                <w:rFonts w:ascii="Calibri" w:cs="Calibri" w:eastAsia="Calibri" w:hAnsi="Calibri"/>
                <w:b/>
                <w:bCs/>
                <w:i w:val="false"/>
                <w:iCs w:val="false"/>
                <w:strike w:val="false"/>
                <w:color w:val="333333"/>
                <w:sz w:val="24"/>
                <w:szCs w:val="24"/>
              </w:rPr>
              <w:t xml:space="preserve">Part XV specifies the Multilingual Regeneration Engine (MRE) — the subsystem that transforms machine-readable Fact Units and Narrative Graphs into fluent, accurate, audience-appropriate natural language output in any of QueryBook's 50+ supported languages. The MRE's defining architectural property is architecturally enforced hallucination prevention: every output sentence must be grounded in one or more Fact Units, and ungroundable content is rejected rather than generated. This Part is the primary reference for patent Cluster G and Cluster J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 Multilingual Regeneration Engine</w:t>
      </w:r>
    </w:p>
    <w:p>
      <w:pPr>
        <w:pStyle w:val="Heading2"/>
        <w:spacing w:after="120" w:before="240" w:line="288" w:lineRule="auto"/>
      </w:pPr>
      <w:r>
        <w:rPr>
          <w:rFonts w:ascii="Calibri" w:cs="Calibri" w:eastAsia="Calibri" w:hAnsi="Calibri"/>
          <w:color w:val="000000"/>
          <w:sz w:val="36"/>
          <w:szCs w:val="36"/>
        </w:rPr>
        <w:t xml:space="preserve">15.8 AEM-7: Constraint Satisfaction and Optimization Module (added in Version 1.0 merge review)</w:t>
      </w:r>
    </w:p>
    <w:p>
      <w:pPr>
        <w:pStyle w:val="Heading3"/>
        <w:spacing w:after="120" w:before="200" w:line="288" w:lineRule="auto"/>
      </w:pPr>
      <w:r>
        <w:rPr>
          <w:rFonts w:ascii="Calibri" w:cs="Calibri" w:eastAsia="Calibri" w:hAnsi="Calibri"/>
          <w:color w:val="000000"/>
          <w:sz w:val="28"/>
          <w:szCs w:val="28"/>
        </w:rPr>
        <w:t xml:space="preserve">15.8.1 Definition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downstream QueryBook use cases — scheduling, resource allocation, and multi-party negotiation support among them — are naturally expressed as constraint satisfaction problems (CSPs) rather than as retrieval, abduction, analogy, causal discovery, counterfactual, meta-cognitive, or goal-directed-synthesis problems, which is what AEM-1 through AEM-6 already cover. AEM-7 closes this gap: it formulates a CSP or constrained-optimization problem directly from Fact Units — constraints as RULE-typed Fact Units from the Cross-Domain Rule Engine (Chapter 17), variables and domains as entity and attribute Fact Units — and returns solutions as first-class Fact Unit outputs, consistent with the constraints already specified for every AEM in §15.1.</w:t>
      </w:r>
    </w:p>
    <w:p>
      <w:pPr>
        <w:pStyle w:val="Heading3"/>
        <w:spacing w:after="120" w:before="200" w:line="288" w:lineRule="auto"/>
      </w:pPr>
      <w:r>
        <w:rPr>
          <w:rFonts w:ascii="Calibri" w:cs="Calibri" w:eastAsia="Calibri" w:hAnsi="Calibri"/>
          <w:color w:val="000000"/>
          <w:sz w:val="28"/>
          <w:szCs w:val="28"/>
        </w:rPr>
        <w:t xml:space="preserve">15.8.2 Algorithm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Constraint extraction: AEM-7 collects the CDRE rules (Chapter 17) applicable to the query's domain and translates each into a formal constraint over the relevant Fact Unit variables.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Variable and domain construction: for each unbound entity or attribute referenced by the extracted constraints, AEM-7 builds a finite domain from the candidate Fact Units the NCL's Associative Recall Engine (§7.2.3) surfaces for that entity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Solving: AEM-7 applies a standard constraint-propagation and backtracking search (arc consistency followed by backtracking with conflict-directed backjumping) for CSPs, or a bounded local-search optimizer for problems with a continuous or large-cardinality objective, selecting between the two based on problem shape rather than a fixed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Output Fact Units: each accepted solution is emitted as a SOLUTION-typed Fact Unit with FactType = CONSTRAINT_SOLUTION, InputFUIDs referencing every constraint and domain Fact Unit used, and a ConfidenceScore capped at 0.85 per the standard AEM output constraint in §15.1 unless independently corroborated.</w:t>
      </w:r>
    </w:p>
    <w:p>
      <w:pPr>
        <w:pStyle w:val="Heading3"/>
        <w:spacing w:after="120" w:before="200" w:line="288" w:lineRule="auto"/>
      </w:pPr>
      <w:r>
        <w:rPr>
          <w:rFonts w:ascii="Calibri" w:cs="Calibri" w:eastAsia="Calibri" w:hAnsi="Calibri"/>
          <w:color w:val="000000"/>
          <w:sz w:val="28"/>
          <w:szCs w:val="28"/>
        </w:rPr>
        <w:t xml:space="preserve">15.8.3 Applications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Scheduling and resource allocation across Fact-Graph-represented constraints (staffing, logistics, facility booking)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Multi-party negotiation support, surfacing feasible-agreement regions from each party's stated constraints as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Configuration problems where a valid combination of Fact-Unit-represented options must satisfy compatibility rules drawn from the CDRE</w:t>
      </w:r>
    </w:p>
    <w:p>
      <w:pPr>
        <w:spacing w:after="120" w:line="360" w:lineRule="auto"/>
      </w:pPr>
      <w:r>
        <w:rPr>
          <w:rFonts w:ascii="Calibri" w:cs="Calibri" w:eastAsia="Calibri" w:hAnsi="Calibri"/>
          <w:b w:val="false"/>
          <w:bCs w:val="false"/>
          <w:i w:val="false"/>
          <w:iCs w:val="false"/>
          <w:strike w:val="false"/>
          <w:color w:val="000000"/>
          <w:sz w:val="22"/>
          <w:szCs w:val="22"/>
        </w:rPr>
        <w:t xml:space="preserve">As with every AEM, AEM-7 outputs are subject to Prime Directive review (Domain 0) and standard Safety Substrate enforcement (Chapter 8) before Graph insertion; a CSP solution that would only be satisfiable by violating a safety-classified constraint is not returned as a solution.</w:t>
      </w:r>
    </w:p>
    <w:p>
      <w:pPr>
        <w:pStyle w:val="Heading1"/>
        <w:spacing w:after="120" w:before="240" w:line="288" w:lineRule="auto"/>
      </w:pPr>
      <w:r>
        <w:rPr>
          <w:rFonts w:ascii="Calibri" w:cs="Calibri" w:eastAsia="Calibri" w:hAnsi="Calibri"/>
          <w:color w:val="000000"/>
          <w:sz w:val="48"/>
          <w:szCs w:val="48"/>
        </w:rPr>
        <w:t xml:space="preserve">Chapter 16: Multilingual Regeneration Engine (MRE) — Complete Specification</w:t>
      </w:r>
    </w:p>
    <w:p>
      <w:pPr>
        <w:pStyle w:val="Heading2"/>
        <w:spacing w:after="120" w:before="240" w:line="288" w:lineRule="auto"/>
      </w:pPr>
      <w:r>
        <w:rPr>
          <w:rFonts w:ascii="Calibri" w:cs="Calibri" w:eastAsia="Calibri" w:hAnsi="Calibri"/>
          <w:color w:val="000000"/>
          <w:sz w:val="36"/>
          <w:szCs w:val="36"/>
        </w:rPr>
        <w:t xml:space="preserve">16.1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serves as the human-language interface of QueryBook, translating the machine-readable Fact Graph into fluent, accurate, and appropriately styled natural language. Its central distinguishing property — the one that separates it from all prior art natural language generation systems — is that hallucination is architecturally prevented, not probabilistically managed. Every token of MRE output must be traceable to one or more specific Fact Units via the Narrative Graph grounding mechanism. Any candidate sentence that cannot be fully grounded in the current Narrative Graph is not generated; instead, the MRE either queries for additional grounding Fact Units or produces an explicitly qualified uncertainty statement.</w:t>
      </w:r>
    </w:p>
    <w:p>
      <w:pPr>
        <w:pStyle w:val="Heading2"/>
        <w:spacing w:after="120" w:before="240" w:line="288" w:lineRule="auto"/>
      </w:pPr>
      <w:r>
        <w:rPr>
          <w:rFonts w:ascii="Calibri" w:cs="Calibri" w:eastAsia="Calibri" w:hAnsi="Calibri"/>
          <w:color w:val="000000"/>
          <w:sz w:val="36"/>
          <w:szCs w:val="36"/>
        </w:rPr>
        <w:t xml:space="preserve">16.2 Supported Languages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BCP-47 Code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Script</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MRE Support Level</w:t>
            </w:r>
          </w:p>
        </w:tc>
        <w:tc>
          <w:tcPr>
            <w:tcW w:type="pct" w:w="44%"/>
            <w:shd w:fill="DCE6F0" w:color="auto" w:val="clear"/>
          </w:tcPr>
          <w:p>
            <w:r>
              <w:rPr>
                <w:rFonts w:ascii="Calibri" w:cs="Calibri" w:eastAsia="Calibri" w:hAnsi="Calibri"/>
                <w:b/>
                <w:bCs/>
                <w:i w:val="false"/>
                <w:iCs w:val="false"/>
                <w:strike w:val="false"/>
                <w:color w:val="0D2A5E"/>
                <w:sz w:val="20"/>
                <w:szCs w:val="20"/>
              </w:rPr>
              <w:t xml:space="preserve">Special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English</w:t>
            </w:r>
          </w:p>
        </w:tc>
        <w:tc>
          <w:tcPr>
            <w:tcW w:type="pct" w:w="10%"/>
          </w:tcPr>
          <w:p>
            <w:r>
              <w:rPr>
                <w:rFonts w:ascii="Calibri" w:cs="Calibri" w:eastAsia="Calibri" w:hAnsi="Calibri"/>
                <w:b w:val="false"/>
                <w:bCs w:val="false"/>
                <w:i w:val="false"/>
                <w:iCs w:val="false"/>
                <w:strike w:val="false"/>
                <w:color w:val="000000"/>
                <w:sz w:val="20"/>
                <w:szCs w:val="20"/>
              </w:rPr>
              <w:t xml:space="preserve">en</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Baseline reference language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(Simplified)</w:t>
            </w:r>
          </w:p>
        </w:tc>
        <w:tc>
          <w:tcPr>
            <w:tcW w:type="pct" w:w="10%"/>
          </w:tcPr>
          <w:p>
            <w:r>
              <w:rPr>
                <w:rFonts w:ascii="Calibri" w:cs="Calibri" w:eastAsia="Calibri" w:hAnsi="Calibri"/>
                <w:b w:val="false"/>
                <w:bCs w:val="false"/>
                <w:i w:val="false"/>
                <w:iCs w:val="false"/>
                <w:strike w:val="false"/>
                <w:color w:val="000000"/>
                <w:sz w:val="20"/>
                <w:szCs w:val="20"/>
              </w:rPr>
              <w:t xml:space="preserve">zh-Hans</w:t>
            </w:r>
          </w:p>
        </w:tc>
        <w:tc>
          <w:tcPr>
            <w:tcW w:type="pct" w:w="18%"/>
          </w:tcPr>
          <w:p>
            <w:r>
              <w:rPr>
                <w:rFonts w:ascii="Calibri" w:cs="Calibri" w:eastAsia="Calibri" w:hAnsi="Calibri"/>
                <w:b w:val="false"/>
                <w:bCs w:val="false"/>
                <w:i w:val="false"/>
                <w:iCs w:val="false"/>
                <w:strike w:val="false"/>
                <w:color w:val="000000"/>
                <w:sz w:val="20"/>
                <w:szCs w:val="20"/>
              </w:rPr>
              <w:t xml:space="preserve">Han (Simplified)</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Character segmentation; no spaces between 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Mandarin Chinese (Traditional)</w:t>
            </w:r>
          </w:p>
        </w:tc>
        <w:tc>
          <w:tcPr>
            <w:tcW w:type="pct" w:w="10%"/>
          </w:tcPr>
          <w:p>
            <w:r>
              <w:rPr>
                <w:rFonts w:ascii="Calibri" w:cs="Calibri" w:eastAsia="Calibri" w:hAnsi="Calibri"/>
                <w:b w:val="false"/>
                <w:bCs w:val="false"/>
                <w:i w:val="false"/>
                <w:iCs w:val="false"/>
                <w:strike w:val="false"/>
                <w:color w:val="000000"/>
                <w:sz w:val="20"/>
                <w:szCs w:val="20"/>
              </w:rPr>
              <w:t xml:space="preserve">zh-Hant</w:t>
            </w:r>
          </w:p>
        </w:tc>
        <w:tc>
          <w:tcPr>
            <w:tcW w:type="pct" w:w="18%"/>
          </w:tcPr>
          <w:p>
            <w:r>
              <w:rPr>
                <w:rFonts w:ascii="Calibri" w:cs="Calibri" w:eastAsia="Calibri" w:hAnsi="Calibri"/>
                <w:b w:val="false"/>
                <w:bCs w:val="false"/>
                <w:i w:val="false"/>
                <w:iCs w:val="false"/>
                <w:strike w:val="false"/>
                <w:color w:val="000000"/>
                <w:sz w:val="20"/>
                <w:szCs w:val="20"/>
              </w:rPr>
              <w:t xml:space="preserve">Han (Traditional)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Traditional character set; Taiwan/HK variant handling</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Spanish</w:t>
            </w:r>
          </w:p>
        </w:tc>
        <w:tc>
          <w:tcPr>
            <w:tcW w:type="pct" w:w="10%"/>
          </w:tcPr>
          <w:p>
            <w:r>
              <w:rPr>
                <w:rFonts w:ascii="Calibri" w:cs="Calibri" w:eastAsia="Calibri" w:hAnsi="Calibri"/>
                <w:b w:val="false"/>
                <w:bCs w:val="false"/>
                <w:i w:val="false"/>
                <w:iCs w:val="false"/>
                <w:strike w:val="false"/>
                <w:color w:val="000000"/>
                <w:sz w:val="20"/>
                <w:szCs w:val="20"/>
              </w:rPr>
              <w:t xml:space="preserve">es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Latin American vs. Castilian variant lexicons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French</w:t>
            </w:r>
          </w:p>
        </w:tc>
        <w:tc>
          <w:tcPr>
            <w:tcW w:type="pct" w:w="10%"/>
          </w:tcPr>
          <w:p>
            <w:r>
              <w:rPr>
                <w:rFonts w:ascii="Calibri" w:cs="Calibri" w:eastAsia="Calibri" w:hAnsi="Calibri"/>
                <w:b w:val="false"/>
                <w:bCs w:val="false"/>
                <w:i w:val="false"/>
                <w:iCs w:val="false"/>
                <w:strike w:val="false"/>
                <w:color w:val="000000"/>
                <w:sz w:val="20"/>
                <w:szCs w:val="20"/>
              </w:rPr>
              <w:t xml:space="preserve">fr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Diacritics; gendered agreement; Canadian French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German</w:t>
            </w:r>
          </w:p>
        </w:tc>
        <w:tc>
          <w:tcPr>
            <w:tcW w:type="pct" w:w="10%"/>
          </w:tcPr>
          <w:p>
            <w:r>
              <w:rPr>
                <w:rFonts w:ascii="Calibri" w:cs="Calibri" w:eastAsia="Calibri" w:hAnsi="Calibri"/>
                <w:b w:val="false"/>
                <w:bCs w:val="false"/>
                <w:i w:val="false"/>
                <w:iCs w:val="false"/>
                <w:strike w:val="false"/>
                <w:color w:val="000000"/>
                <w:sz w:val="20"/>
                <w:szCs w:val="20"/>
              </w:rPr>
              <w:t xml:space="preserve">de</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Compound noun construction; case inflection (nominative, accusative, dative, genitive)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Japanese</w:t>
            </w:r>
          </w:p>
        </w:tc>
        <w:tc>
          <w:tcPr>
            <w:tcW w:type="pct" w:w="10%"/>
          </w:tcPr>
          <w:p>
            <w:r>
              <w:rPr>
                <w:rFonts w:ascii="Calibri" w:cs="Calibri" w:eastAsia="Calibri" w:hAnsi="Calibri"/>
                <w:b w:val="false"/>
                <w:bCs w:val="false"/>
                <w:i w:val="false"/>
                <w:iCs w:val="false"/>
                <w:strike w:val="false"/>
                <w:color w:val="000000"/>
                <w:sz w:val="20"/>
                <w:szCs w:val="20"/>
              </w:rPr>
              <w:t xml:space="preserve">ja</w:t>
            </w:r>
          </w:p>
        </w:tc>
        <w:tc>
          <w:tcPr>
            <w:tcW w:type="pct" w:w="18%"/>
          </w:tcPr>
          <w:p>
            <w:r>
              <w:rPr>
                <w:rFonts w:ascii="Calibri" w:cs="Calibri" w:eastAsia="Calibri" w:hAnsi="Calibri"/>
                <w:b w:val="false"/>
                <w:bCs w:val="false"/>
                <w:i w:val="false"/>
                <w:iCs w:val="false"/>
                <w:strike w:val="false"/>
                <w:color w:val="000000"/>
                <w:sz w:val="20"/>
                <w:szCs w:val="20"/>
              </w:rPr>
              <w:t xml:space="preserve">Hiragana / Katakana / Kanji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script mixture; honorific register (keigo) system; no word boundaries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Korean</w:t>
            </w:r>
          </w:p>
        </w:tc>
        <w:tc>
          <w:tcPr>
            <w:tcW w:type="pct" w:w="10%"/>
          </w:tcPr>
          <w:p>
            <w:r>
              <w:rPr>
                <w:rFonts w:ascii="Calibri" w:cs="Calibri" w:eastAsia="Calibri" w:hAnsi="Calibri"/>
                <w:b w:val="false"/>
                <w:bCs w:val="false"/>
                <w:i w:val="false"/>
                <w:iCs w:val="false"/>
                <w:strike w:val="false"/>
                <w:color w:val="000000"/>
                <w:sz w:val="20"/>
                <w:szCs w:val="20"/>
              </w:rPr>
              <w:t xml:space="preserve">ko</w:t>
            </w:r>
          </w:p>
        </w:tc>
        <w:tc>
          <w:tcPr>
            <w:tcW w:type="pct" w:w="18%"/>
          </w:tcPr>
          <w:p>
            <w:r>
              <w:rPr>
                <w:rFonts w:ascii="Calibri" w:cs="Calibri" w:eastAsia="Calibri" w:hAnsi="Calibri"/>
                <w:b w:val="false"/>
                <w:bCs w:val="false"/>
                <w:i w:val="false"/>
                <w:iCs w:val="false"/>
                <w:strike w:val="false"/>
                <w:color w:val="000000"/>
                <w:sz w:val="20"/>
                <w:szCs w:val="20"/>
              </w:rPr>
              <w:t xml:space="preserve">Hangul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morphology; speech level (formal/informal)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(Brazil)</w:t>
            </w:r>
          </w:p>
        </w:tc>
        <w:tc>
          <w:tcPr>
            <w:tcW w:type="pct" w:w="10%"/>
          </w:tcPr>
          <w:p>
            <w:r>
              <w:rPr>
                <w:rFonts w:ascii="Calibri" w:cs="Calibri" w:eastAsia="Calibri" w:hAnsi="Calibri"/>
                <w:b w:val="false"/>
                <w:bCs w:val="false"/>
                <w:i w:val="false"/>
                <w:iCs w:val="false"/>
                <w:strike w:val="false"/>
                <w:color w:val="000000"/>
                <w:sz w:val="20"/>
                <w:szCs w:val="20"/>
              </w:rPr>
              <w:t xml:space="preserve">pt-BR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Brazilian Portuguese morphology and lexicon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Portuguese (Portugal)</w:t>
            </w:r>
          </w:p>
        </w:tc>
        <w:tc>
          <w:tcPr>
            <w:tcW w:type="pct" w:w="10%"/>
          </w:tcPr>
          <w:p>
            <w:r>
              <w:rPr>
                <w:rFonts w:ascii="Calibri" w:cs="Calibri" w:eastAsia="Calibri" w:hAnsi="Calibri"/>
                <w:b w:val="false"/>
                <w:bCs w:val="false"/>
                <w:i w:val="false"/>
                <w:iCs w:val="false"/>
                <w:strike w:val="false"/>
                <w:color w:val="000000"/>
                <w:sz w:val="20"/>
                <w:szCs w:val="20"/>
              </w:rPr>
              <w:t xml:space="preserve">pt-PT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European Portuguese variant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Russian</w:t>
            </w:r>
          </w:p>
        </w:tc>
        <w:tc>
          <w:tcPr>
            <w:tcW w:type="pct" w:w="10%"/>
          </w:tcPr>
          <w:p>
            <w:r>
              <w:rPr>
                <w:rFonts w:ascii="Calibri" w:cs="Calibri" w:eastAsia="Calibri" w:hAnsi="Calibri"/>
                <w:b w:val="false"/>
                <w:bCs w:val="false"/>
                <w:i w:val="false"/>
                <w:iCs w:val="false"/>
                <w:strike w:val="false"/>
                <w:color w:val="000000"/>
                <w:sz w:val="20"/>
                <w:szCs w:val="20"/>
              </w:rPr>
              <w:t xml:space="preserve">ru</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6-case morphological inflection; aspect system for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Arabic (Modern Standard)</w:t>
            </w:r>
          </w:p>
        </w:tc>
        <w:tc>
          <w:tcPr>
            <w:tcW w:type="pct" w:w="10%"/>
          </w:tcPr>
          <w:p>
            <w:r>
              <w:rPr>
                <w:rFonts w:ascii="Calibri" w:cs="Calibri" w:eastAsia="Calibri" w:hAnsi="Calibri"/>
                <w:b w:val="false"/>
                <w:bCs w:val="false"/>
                <w:i w:val="false"/>
                <w:iCs w:val="false"/>
                <w:strike w:val="false"/>
                <w:color w:val="000000"/>
                <w:sz w:val="20"/>
                <w:szCs w:val="20"/>
              </w:rPr>
              <w:t xml:space="preserve">ar</w:t>
            </w:r>
          </w:p>
        </w:tc>
        <w:tc>
          <w:tcPr>
            <w:tcW w:type="pct" w:w="18%"/>
          </w:tcPr>
          <w:p>
            <w:r>
              <w:rPr>
                <w:rFonts w:ascii="Calibri" w:cs="Calibri" w:eastAsia="Calibri" w:hAnsi="Calibri"/>
                <w:b w:val="false"/>
                <w:bCs w:val="false"/>
                <w:i w:val="false"/>
                <w:iCs w:val="false"/>
                <w:strike w:val="false"/>
                <w:color w:val="000000"/>
                <w:sz w:val="20"/>
                <w:szCs w:val="20"/>
              </w:rPr>
              <w:t xml:space="preserve">Arabic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root-based morphology; dual number; definite article agglutination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Hindi</w:t>
            </w:r>
          </w:p>
        </w:tc>
        <w:tc>
          <w:tcPr>
            <w:tcW w:type="pct" w:w="10%"/>
          </w:tcPr>
          <w:p>
            <w:r>
              <w:rPr>
                <w:rFonts w:ascii="Calibri" w:cs="Calibri" w:eastAsia="Calibri" w:hAnsi="Calibri"/>
                <w:b w:val="false"/>
                <w:bCs w:val="false"/>
                <w:i w:val="false"/>
                <w:iCs w:val="false"/>
                <w:strike w:val="false"/>
                <w:color w:val="000000"/>
                <w:sz w:val="20"/>
                <w:szCs w:val="20"/>
              </w:rPr>
              <w:t xml:space="preserve">hi</w:t>
            </w:r>
          </w:p>
        </w:tc>
        <w:tc>
          <w:tcPr>
            <w:tcW w:type="pct" w:w="18%"/>
          </w:tcPr>
          <w:p>
            <w:r>
              <w:rPr>
                <w:rFonts w:ascii="Calibri" w:cs="Calibri" w:eastAsia="Calibri" w:hAnsi="Calibri"/>
                <w:b w:val="false"/>
                <w:bCs w:val="false"/>
                <w:i w:val="false"/>
                <w:iCs w:val="false"/>
                <w:strike w:val="false"/>
                <w:color w:val="000000"/>
                <w:sz w:val="20"/>
                <w:szCs w:val="20"/>
              </w:rPr>
              <w:t xml:space="preserve">Devanagari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SOV word order; postpositions;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Italian</w:t>
            </w:r>
          </w:p>
        </w:tc>
        <w:tc>
          <w:tcPr>
            <w:tcW w:type="pct" w:w="10%"/>
          </w:tcPr>
          <w:p>
            <w:r>
              <w:rPr>
                <w:rFonts w:ascii="Calibri" w:cs="Calibri" w:eastAsia="Calibri" w:hAnsi="Calibri"/>
                <w:b w:val="false"/>
                <w:bCs w:val="false"/>
                <w:i w:val="false"/>
                <w:iCs w:val="false"/>
                <w:strike w:val="false"/>
                <w:color w:val="000000"/>
                <w:sz w:val="20"/>
                <w:szCs w:val="20"/>
              </w:rPr>
              <w:t xml:space="preserve">it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Gendered agreement; subjunctive mood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Dutch</w:t>
            </w:r>
          </w:p>
        </w:tc>
        <w:tc>
          <w:tcPr>
            <w:tcW w:type="pct" w:w="10%"/>
          </w:tcPr>
          <w:p>
            <w:r>
              <w:rPr>
                <w:rFonts w:ascii="Calibri" w:cs="Calibri" w:eastAsia="Calibri" w:hAnsi="Calibri"/>
                <w:b w:val="false"/>
                <w:bCs w:val="false"/>
                <w:i w:val="false"/>
                <w:iCs w:val="false"/>
                <w:strike w:val="false"/>
                <w:color w:val="000000"/>
                <w:sz w:val="20"/>
                <w:szCs w:val="20"/>
              </w:rPr>
              <w:t xml:space="preserve">nl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De/het grammatical gender; separable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Swedish</w:t>
            </w:r>
          </w:p>
        </w:tc>
        <w:tc>
          <w:tcPr>
            <w:tcW w:type="pct" w:w="10%"/>
          </w:tcPr>
          <w:p>
            <w:r>
              <w:rPr>
                <w:rFonts w:ascii="Calibri" w:cs="Calibri" w:eastAsia="Calibri" w:hAnsi="Calibri"/>
                <w:b w:val="false"/>
                <w:bCs w:val="false"/>
                <w:i w:val="false"/>
                <w:iCs w:val="false"/>
                <w:strike w:val="false"/>
                <w:color w:val="000000"/>
                <w:sz w:val="20"/>
                <w:szCs w:val="20"/>
              </w:rPr>
              <w:t xml:space="preserve">sv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Definite suffix; utrum/neutrum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Norwegian (Bokmål)</w:t>
            </w:r>
          </w:p>
        </w:tc>
        <w:tc>
          <w:tcPr>
            <w:tcW w:type="pct" w:w="10%"/>
          </w:tcPr>
          <w:p>
            <w:r>
              <w:rPr>
                <w:rFonts w:ascii="Calibri" w:cs="Calibri" w:eastAsia="Calibri" w:hAnsi="Calibri"/>
                <w:b w:val="false"/>
                <w:bCs w:val="false"/>
                <w:i w:val="false"/>
                <w:iCs w:val="false"/>
                <w:strike w:val="false"/>
                <w:color w:val="000000"/>
                <w:sz w:val="20"/>
                <w:szCs w:val="20"/>
              </w:rPr>
              <w:t xml:space="preserve">nb</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Bokmål standard; close to Danish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Danish</w:t>
            </w:r>
          </w:p>
        </w:tc>
        <w:tc>
          <w:tcPr>
            <w:tcW w:type="pct" w:w="10%"/>
          </w:tcPr>
          <w:p>
            <w:r>
              <w:rPr>
                <w:rFonts w:ascii="Calibri" w:cs="Calibri" w:eastAsia="Calibri" w:hAnsi="Calibri"/>
                <w:b w:val="false"/>
                <w:bCs w:val="false"/>
                <w:i w:val="false"/>
                <w:iCs w:val="false"/>
                <w:strike w:val="false"/>
                <w:color w:val="000000"/>
                <w:sz w:val="20"/>
                <w:szCs w:val="20"/>
              </w:rPr>
              <w:t xml:space="preserve">da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Stød (glottal phonation) in formal registers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Finnish</w:t>
            </w:r>
          </w:p>
        </w:tc>
        <w:tc>
          <w:tcPr>
            <w:tcW w:type="pct" w:w="10%"/>
          </w:tcPr>
          <w:p>
            <w:r>
              <w:rPr>
                <w:rFonts w:ascii="Calibri" w:cs="Calibri" w:eastAsia="Calibri" w:hAnsi="Calibri"/>
                <w:b w:val="false"/>
                <w:bCs w:val="false"/>
                <w:i w:val="false"/>
                <w:iCs w:val="false"/>
                <w:strike w:val="false"/>
                <w:color w:val="000000"/>
                <w:sz w:val="20"/>
                <w:szCs w:val="20"/>
              </w:rPr>
              <w:t xml:space="preserve">fi</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Highly agglutinative; 15 grammatical cases; no grammatical gender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Polish</w:t>
            </w:r>
          </w:p>
        </w:tc>
        <w:tc>
          <w:tcPr>
            <w:tcW w:type="pct" w:w="10%"/>
          </w:tcPr>
          <w:p>
            <w:r>
              <w:rPr>
                <w:rFonts w:ascii="Calibri" w:cs="Calibri" w:eastAsia="Calibri" w:hAnsi="Calibri"/>
                <w:b w:val="false"/>
                <w:bCs w:val="false"/>
                <w:i w:val="false"/>
                <w:iCs w:val="false"/>
                <w:strike w:val="false"/>
                <w:color w:val="000000"/>
                <w:sz w:val="20"/>
                <w:szCs w:val="20"/>
              </w:rPr>
              <w:t xml:space="preserve">pl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grammatical cases;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Czech</w:t>
            </w:r>
          </w:p>
        </w:tc>
        <w:tc>
          <w:tcPr>
            <w:tcW w:type="pct" w:w="10%"/>
          </w:tcPr>
          <w:p>
            <w:r>
              <w:rPr>
                <w:rFonts w:ascii="Calibri" w:cs="Calibri" w:eastAsia="Calibri" w:hAnsi="Calibri"/>
                <w:b w:val="false"/>
                <w:bCs w:val="false"/>
                <w:i w:val="false"/>
                <w:iCs w:val="false"/>
                <w:strike w:val="false"/>
                <w:color w:val="000000"/>
                <w:sz w:val="20"/>
                <w:szCs w:val="20"/>
              </w:rPr>
              <w:t xml:space="preserve">cs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diacritics; free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Turkish</w:t>
            </w:r>
          </w:p>
        </w:tc>
        <w:tc>
          <w:tcPr>
            <w:tcW w:type="pct" w:w="10%"/>
          </w:tcPr>
          <w:p>
            <w:r>
              <w:rPr>
                <w:rFonts w:ascii="Calibri" w:cs="Calibri" w:eastAsia="Calibri" w:hAnsi="Calibri"/>
                <w:b w:val="false"/>
                <w:bCs w:val="false"/>
                <w:i w:val="false"/>
                <w:iCs w:val="false"/>
                <w:strike w:val="false"/>
                <w:color w:val="000000"/>
                <w:sz w:val="20"/>
                <w:szCs w:val="20"/>
              </w:rPr>
              <w:t xml:space="preserve">tr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vowel harmony; SOV word order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Hebrew</w:t>
            </w:r>
          </w:p>
        </w:tc>
        <w:tc>
          <w:tcPr>
            <w:tcW w:type="pct" w:w="10%"/>
          </w:tcPr>
          <w:p>
            <w:r>
              <w:rPr>
                <w:rFonts w:ascii="Calibri" w:cs="Calibri" w:eastAsia="Calibri" w:hAnsi="Calibri"/>
                <w:b w:val="false"/>
                <w:bCs w:val="false"/>
                <w:i w:val="false"/>
                <w:iCs w:val="false"/>
                <w:strike w:val="false"/>
                <w:color w:val="000000"/>
                <w:sz w:val="20"/>
                <w:szCs w:val="20"/>
              </w:rPr>
              <w:t xml:space="preserve">he</w:t>
            </w:r>
          </w:p>
        </w:tc>
        <w:tc>
          <w:tcPr>
            <w:tcW w:type="pct" w:w="18%"/>
          </w:tcPr>
          <w:p>
            <w:r>
              <w:rPr>
                <w:rFonts w:ascii="Calibri" w:cs="Calibri" w:eastAsia="Calibri" w:hAnsi="Calibri"/>
                <w:b w:val="false"/>
                <w:bCs w:val="false"/>
                <w:i w:val="false"/>
                <w:iCs w:val="false"/>
                <w:strike w:val="false"/>
                <w:color w:val="000000"/>
                <w:sz w:val="20"/>
                <w:szCs w:val="20"/>
              </w:rPr>
              <w:t xml:space="preserve">Hebrew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root-pattern morphology; gendered verbs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el</w:t>
            </w:r>
          </w:p>
        </w:tc>
        <w:tc>
          <w:tcPr>
            <w:tcW w:type="pct" w:w="18%"/>
          </w:tcPr>
          <w:p>
            <w:r>
              <w:rPr>
                <w:rFonts w:ascii="Calibri" w:cs="Calibri" w:eastAsia="Calibri" w:hAnsi="Calibri"/>
                <w:b w:val="false"/>
                <w:bCs w:val="false"/>
                <w:i w:val="false"/>
                <w:iCs w:val="false"/>
                <w:strike w:val="false"/>
                <w:color w:val="000000"/>
                <w:sz w:val="20"/>
                <w:szCs w:val="20"/>
              </w:rPr>
              <w:t xml:space="preserve">Greek</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grammatical cases; polytonic optional in formal texts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Romanian</w:t>
            </w:r>
          </w:p>
        </w:tc>
        <w:tc>
          <w:tcPr>
            <w:tcW w:type="pct" w:w="10%"/>
          </w:tcPr>
          <w:p>
            <w:r>
              <w:rPr>
                <w:rFonts w:ascii="Calibri" w:cs="Calibri" w:eastAsia="Calibri" w:hAnsi="Calibri"/>
                <w:b w:val="false"/>
                <w:bCs w:val="false"/>
                <w:i w:val="false"/>
                <w:iCs w:val="false"/>
                <w:strike w:val="false"/>
                <w:color w:val="000000"/>
                <w:sz w:val="20"/>
                <w:szCs w:val="20"/>
              </w:rPr>
              <w:t xml:space="preserve">ro</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Postposed definite article; 3 genders; 5 cases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Hungarian</w:t>
            </w:r>
          </w:p>
        </w:tc>
        <w:tc>
          <w:tcPr>
            <w:tcW w:type="pct" w:w="10%"/>
          </w:tcPr>
          <w:p>
            <w:r>
              <w:rPr>
                <w:rFonts w:ascii="Calibri" w:cs="Calibri" w:eastAsia="Calibri" w:hAnsi="Calibri"/>
                <w:b w:val="false"/>
                <w:bCs w:val="false"/>
                <w:i w:val="false"/>
                <w:iCs w:val="false"/>
                <w:strike w:val="false"/>
                <w:color w:val="000000"/>
                <w:sz w:val="20"/>
                <w:szCs w:val="20"/>
              </w:rPr>
              <w:t xml:space="preserve">hu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18 grammatical cases; agglutinative;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th</w:t>
            </w:r>
          </w:p>
        </w:tc>
        <w:tc>
          <w:tcPr>
            <w:tcW w:type="pct" w:w="18%"/>
          </w:tcPr>
          <w:p>
            <w:r>
              <w:rPr>
                <w:rFonts w:ascii="Calibri" w:cs="Calibri" w:eastAsia="Calibri" w:hAnsi="Calibri"/>
                <w:b w:val="false"/>
                <w:bCs w:val="false"/>
                <w:i w:val="false"/>
                <w:iCs w:val="false"/>
                <w:strike w:val="false"/>
                <w:color w:val="000000"/>
                <w:sz w:val="20"/>
                <w:szCs w:val="20"/>
              </w:rPr>
              <w:t xml:space="preserve">Thai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(5 tones); no word spaces; no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Vietnamese</w:t>
            </w:r>
          </w:p>
        </w:tc>
        <w:tc>
          <w:tcPr>
            <w:tcW w:type="pct" w:w="10%"/>
          </w:tcPr>
          <w:p>
            <w:r>
              <w:rPr>
                <w:rFonts w:ascii="Calibri" w:cs="Calibri" w:eastAsia="Calibri" w:hAnsi="Calibri"/>
                <w:b w:val="false"/>
                <w:bCs w:val="false"/>
                <w:i w:val="false"/>
                <w:iCs w:val="false"/>
                <w:strike w:val="false"/>
                <w:color w:val="000000"/>
                <w:sz w:val="20"/>
                <w:szCs w:val="20"/>
              </w:rPr>
              <w:t xml:space="preserve">vi</w:t>
            </w:r>
          </w:p>
        </w:tc>
        <w:tc>
          <w:tcPr>
            <w:tcW w:type="pct" w:w="18%"/>
          </w:tcPr>
          <w:p>
            <w:r>
              <w:rPr>
                <w:rFonts w:ascii="Calibri" w:cs="Calibri" w:eastAsia="Calibri" w:hAnsi="Calibri"/>
                <w:b w:val="false"/>
                <w:bCs w:val="false"/>
                <w:i w:val="false"/>
                <w:iCs w:val="false"/>
                <w:strike w:val="false"/>
                <w:color w:val="000000"/>
                <w:sz w:val="20"/>
                <w:szCs w:val="20"/>
              </w:rPr>
              <w:t xml:space="preserve">Latin (diacritics)</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Tonal language (6 tones); extensive diacritic system</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Indonesian</w:t>
            </w:r>
          </w:p>
        </w:tc>
        <w:tc>
          <w:tcPr>
            <w:tcW w:type="pct" w:w="10%"/>
          </w:tcPr>
          <w:p>
            <w:r>
              <w:rPr>
                <w:rFonts w:ascii="Calibri" w:cs="Calibri" w:eastAsia="Calibri" w:hAnsi="Calibri"/>
                <w:b w:val="false"/>
                <w:bCs w:val="false"/>
                <w:i w:val="false"/>
                <w:iCs w:val="false"/>
                <w:strike w:val="false"/>
                <w:color w:val="000000"/>
                <w:sz w:val="20"/>
                <w:szCs w:val="20"/>
              </w:rPr>
              <w:t xml:space="preserve">id</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Agglutinative; no grammatical gender; no tense inflection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Malay</w:t>
            </w:r>
          </w:p>
        </w:tc>
        <w:tc>
          <w:tcPr>
            <w:tcW w:type="pct" w:w="10%"/>
          </w:tcPr>
          <w:p>
            <w:r>
              <w:rPr>
                <w:rFonts w:ascii="Calibri" w:cs="Calibri" w:eastAsia="Calibri" w:hAnsi="Calibri"/>
                <w:b w:val="false"/>
                <w:bCs w:val="false"/>
                <w:i w:val="false"/>
                <w:iCs w:val="false"/>
                <w:strike w:val="false"/>
                <w:color w:val="000000"/>
                <w:sz w:val="20"/>
                <w:szCs w:val="20"/>
              </w:rPr>
              <w:t xml:space="preserve">ms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Indonesian; Jawi script support (Partial)</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Swahili</w:t>
            </w:r>
          </w:p>
        </w:tc>
        <w:tc>
          <w:tcPr>
            <w:tcW w:type="pct" w:w="10%"/>
          </w:tcPr>
          <w:p>
            <w:r>
              <w:rPr>
                <w:rFonts w:ascii="Calibri" w:cs="Calibri" w:eastAsia="Calibri" w:hAnsi="Calibri"/>
                <w:b w:val="false"/>
                <w:bCs w:val="false"/>
                <w:i w:val="false"/>
                <w:iCs w:val="false"/>
                <w:strike w:val="false"/>
                <w:color w:val="000000"/>
                <w:sz w:val="20"/>
                <w:szCs w:val="20"/>
              </w:rPr>
              <w:t xml:space="preserve">sw</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Bantu noun class system (16 classes);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bn</w:t>
            </w:r>
          </w:p>
        </w:tc>
        <w:tc>
          <w:tcPr>
            <w:tcW w:type="pct" w:w="18%"/>
          </w:tcPr>
          <w:p>
            <w:r>
              <w:rPr>
                <w:rFonts w:ascii="Calibri" w:cs="Calibri" w:eastAsia="Calibri" w:hAnsi="Calibri"/>
                <w:b w:val="false"/>
                <w:bCs w:val="false"/>
                <w:i w:val="false"/>
                <w:iCs w:val="false"/>
                <w:strike w:val="false"/>
                <w:color w:val="000000"/>
                <w:sz w:val="20"/>
                <w:szCs w:val="20"/>
              </w:rPr>
              <w:t xml:space="preserve">Bengali</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Vowel diacritics on consonant bases; honorific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Urdu</w:t>
            </w:r>
          </w:p>
        </w:tc>
        <w:tc>
          <w:tcPr>
            <w:tcW w:type="pct" w:w="10%"/>
          </w:tcPr>
          <w:p>
            <w:r>
              <w:rPr>
                <w:rFonts w:ascii="Calibri" w:cs="Calibri" w:eastAsia="Calibri" w:hAnsi="Calibri"/>
                <w:b w:val="false"/>
                <w:bCs w:val="false"/>
                <w:i w:val="false"/>
                <w:iCs w:val="false"/>
                <w:strike w:val="false"/>
                <w:color w:val="000000"/>
                <w:sz w:val="20"/>
                <w:szCs w:val="20"/>
              </w:rPr>
              <w:t xml:space="preserve">ur</w:t>
            </w:r>
          </w:p>
        </w:tc>
        <w:tc>
          <w:tcPr>
            <w:tcW w:type="pct" w:w="18%"/>
          </w:tcPr>
          <w:p>
            <w:r>
              <w:rPr>
                <w:rFonts w:ascii="Calibri" w:cs="Calibri" w:eastAsia="Calibri" w:hAnsi="Calibri"/>
                <w:b w:val="false"/>
                <w:bCs w:val="false"/>
                <w:i w:val="false"/>
                <w:iCs w:val="false"/>
                <w:strike w:val="false"/>
                <w:color w:val="000000"/>
                <w:sz w:val="20"/>
                <w:szCs w:val="20"/>
              </w:rPr>
              <w:t xml:space="preserve">Nastaliq (RTL)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Right-to-left; shared grammar with Hindi; Arabic loanwords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ta</w:t>
            </w:r>
          </w:p>
        </w:tc>
        <w:tc>
          <w:tcPr>
            <w:tcW w:type="pct" w:w="18%"/>
          </w:tcPr>
          <w:p>
            <w:r>
              <w:rPr>
                <w:rFonts w:ascii="Calibri" w:cs="Calibri" w:eastAsia="Calibri" w:hAnsi="Calibri"/>
                <w:b w:val="false"/>
                <w:bCs w:val="false"/>
                <w:i w:val="false"/>
                <w:iCs w:val="false"/>
                <w:strike w:val="false"/>
                <w:color w:val="000000"/>
                <w:sz w:val="20"/>
                <w:szCs w:val="20"/>
              </w:rPr>
              <w:t xml:space="preserve">Tamil</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Diglossia (formal vs. spoken); agglutinative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Catalan</w:t>
            </w:r>
          </w:p>
        </w:tc>
        <w:tc>
          <w:tcPr>
            <w:tcW w:type="pct" w:w="10%"/>
          </w:tcPr>
          <w:p>
            <w:r>
              <w:rPr>
                <w:rFonts w:ascii="Calibri" w:cs="Calibri" w:eastAsia="Calibri" w:hAnsi="Calibri"/>
                <w:b w:val="false"/>
                <w:bCs w:val="false"/>
                <w:i w:val="false"/>
                <w:iCs w:val="false"/>
                <w:strike w:val="false"/>
                <w:color w:val="000000"/>
                <w:sz w:val="20"/>
                <w:szCs w:val="20"/>
              </w:rPr>
              <w:t xml:space="preserve">ca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Close to Occitan; gendered articles; clitic pronouns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Ukrainian</w:t>
            </w:r>
          </w:p>
        </w:tc>
        <w:tc>
          <w:tcPr>
            <w:tcW w:type="pct" w:w="10%"/>
          </w:tcPr>
          <w:p>
            <w:r>
              <w:rPr>
                <w:rFonts w:ascii="Calibri" w:cs="Calibri" w:eastAsia="Calibri" w:hAnsi="Calibri"/>
                <w:b w:val="false"/>
                <w:bCs w:val="false"/>
                <w:i w:val="false"/>
                <w:iCs w:val="false"/>
                <w:strike w:val="false"/>
                <w:color w:val="000000"/>
                <w:sz w:val="20"/>
                <w:szCs w:val="20"/>
              </w:rPr>
              <w:t xml:space="preserve">uk</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differs significantly from Russian in vocabulary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Serbian</w:t>
            </w:r>
          </w:p>
        </w:tc>
        <w:tc>
          <w:tcPr>
            <w:tcW w:type="pct" w:w="10%"/>
          </w:tcPr>
          <w:p>
            <w:r>
              <w:rPr>
                <w:rFonts w:ascii="Calibri" w:cs="Calibri" w:eastAsia="Calibri" w:hAnsi="Calibri"/>
                <w:b w:val="false"/>
                <w:bCs w:val="false"/>
                <w:i w:val="false"/>
                <w:iCs w:val="false"/>
                <w:strike w:val="false"/>
                <w:color w:val="000000"/>
                <w:sz w:val="20"/>
                <w:szCs w:val="20"/>
              </w:rPr>
              <w:t xml:space="preserve">sr</w:t>
            </w:r>
          </w:p>
        </w:tc>
        <w:tc>
          <w:tcPr>
            <w:tcW w:type="pct" w:w="18%"/>
          </w:tcPr>
          <w:p>
            <w:r>
              <w:rPr>
                <w:rFonts w:ascii="Calibri" w:cs="Calibri" w:eastAsia="Calibri" w:hAnsi="Calibri"/>
                <w:b w:val="false"/>
                <w:bCs w:val="false"/>
                <w:i w:val="false"/>
                <w:iCs w:val="false"/>
                <w:strike w:val="false"/>
                <w:color w:val="000000"/>
                <w:sz w:val="20"/>
                <w:szCs w:val="20"/>
              </w:rPr>
              <w:t xml:space="preserve">Cyrillic / Latin (both)</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Dual script; 7 cases; pitch accent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Croatian</w:t>
            </w:r>
          </w:p>
        </w:tc>
        <w:tc>
          <w:tcPr>
            <w:tcW w:type="pct" w:w="10%"/>
          </w:tcPr>
          <w:p>
            <w:r>
              <w:rPr>
                <w:rFonts w:ascii="Calibri" w:cs="Calibri" w:eastAsia="Calibri" w:hAnsi="Calibri"/>
                <w:b w:val="false"/>
                <w:bCs w:val="false"/>
                <w:i w:val="false"/>
                <w:iCs w:val="false"/>
                <w:strike w:val="false"/>
                <w:color w:val="000000"/>
                <w:sz w:val="20"/>
                <w:szCs w:val="20"/>
              </w:rPr>
              <w:t xml:space="preserve">hr</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closely related to Serbian</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Slovak</w:t>
            </w:r>
          </w:p>
        </w:tc>
        <w:tc>
          <w:tcPr>
            <w:tcW w:type="pct" w:w="10%"/>
          </w:tcPr>
          <w:p>
            <w:r>
              <w:rPr>
                <w:rFonts w:ascii="Calibri" w:cs="Calibri" w:eastAsia="Calibri" w:hAnsi="Calibri"/>
                <w:b w:val="false"/>
                <w:bCs w:val="false"/>
                <w:i w:val="false"/>
                <w:iCs w:val="false"/>
                <w:strike w:val="false"/>
                <w:color w:val="000000"/>
                <w:sz w:val="20"/>
                <w:szCs w:val="20"/>
              </w:rPr>
              <w:t xml:space="preserve">sk</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long vowel distinction; close to Czech</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Bulgarian</w:t>
            </w:r>
          </w:p>
        </w:tc>
        <w:tc>
          <w:tcPr>
            <w:tcW w:type="pct" w:w="10%"/>
          </w:tcPr>
          <w:p>
            <w:r>
              <w:rPr>
                <w:rFonts w:ascii="Calibri" w:cs="Calibri" w:eastAsia="Calibri" w:hAnsi="Calibri"/>
                <w:b w:val="false"/>
                <w:bCs w:val="false"/>
                <w:i w:val="false"/>
                <w:iCs w:val="false"/>
                <w:strike w:val="false"/>
                <w:color w:val="000000"/>
                <w:sz w:val="20"/>
                <w:szCs w:val="20"/>
              </w:rPr>
              <w:t xml:space="preserve">bg</w:t>
            </w:r>
          </w:p>
        </w:tc>
        <w:tc>
          <w:tcPr>
            <w:tcW w:type="pct" w:w="18%"/>
          </w:tcPr>
          <w:p>
            <w:r>
              <w:rPr>
                <w:rFonts w:ascii="Calibri" w:cs="Calibri" w:eastAsia="Calibri" w:hAnsi="Calibri"/>
                <w:b w:val="false"/>
                <w:bCs w:val="false"/>
                <w:i w:val="false"/>
                <w:iCs w:val="false"/>
                <w:strike w:val="false"/>
                <w:color w:val="000000"/>
                <w:sz w:val="20"/>
                <w:szCs w:val="20"/>
              </w:rPr>
              <w:t xml:space="preserve">Cyrillic</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No grammatical cases (rare for Slavic); definite article as suffix</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Slovenian</w:t>
            </w:r>
          </w:p>
        </w:tc>
        <w:tc>
          <w:tcPr>
            <w:tcW w:type="pct" w:w="10%"/>
          </w:tcPr>
          <w:p>
            <w:r>
              <w:rPr>
                <w:rFonts w:ascii="Calibri" w:cs="Calibri" w:eastAsia="Calibri" w:hAnsi="Calibri"/>
                <w:b w:val="false"/>
                <w:bCs w:val="false"/>
                <w:i w:val="false"/>
                <w:iCs w:val="false"/>
                <w:strike w:val="false"/>
                <w:color w:val="000000"/>
                <w:sz w:val="20"/>
                <w:szCs w:val="20"/>
              </w:rPr>
              <w:t xml:space="preserve">sl</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6 cases; dual grammatical number retained</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Lithuanian</w:t>
            </w:r>
          </w:p>
        </w:tc>
        <w:tc>
          <w:tcPr>
            <w:tcW w:type="pct" w:w="10%"/>
          </w:tcPr>
          <w:p>
            <w:r>
              <w:rPr>
                <w:rFonts w:ascii="Calibri" w:cs="Calibri" w:eastAsia="Calibri" w:hAnsi="Calibri"/>
                <w:b w:val="false"/>
                <w:bCs w:val="false"/>
                <w:i w:val="false"/>
                <w:iCs w:val="false"/>
                <w:strike w:val="false"/>
                <w:color w:val="000000"/>
                <w:sz w:val="20"/>
                <w:szCs w:val="20"/>
              </w:rPr>
              <w:t xml:space="preserve">lt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pitch accent; highly archaic Indo-European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Latvian</w:t>
            </w:r>
          </w:p>
        </w:tc>
        <w:tc>
          <w:tcPr>
            <w:tcW w:type="pct" w:w="10%"/>
          </w:tcPr>
          <w:p>
            <w:r>
              <w:rPr>
                <w:rFonts w:ascii="Calibri" w:cs="Calibri" w:eastAsia="Calibri" w:hAnsi="Calibri"/>
                <w:b w:val="false"/>
                <w:bCs w:val="false"/>
                <w:i w:val="false"/>
                <w:iCs w:val="false"/>
                <w:strike w:val="false"/>
                <w:color w:val="000000"/>
                <w:sz w:val="20"/>
                <w:szCs w:val="20"/>
              </w:rPr>
              <w:t xml:space="preserve">lv</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7 cases; grammatical gender (masculine/feminine only)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Estonian</w:t>
            </w:r>
          </w:p>
        </w:tc>
        <w:tc>
          <w:tcPr>
            <w:tcW w:type="pct" w:w="10%"/>
          </w:tcPr>
          <w:p>
            <w:r>
              <w:rPr>
                <w:rFonts w:ascii="Calibri" w:cs="Calibri" w:eastAsia="Calibri" w:hAnsi="Calibri"/>
                <w:b w:val="false"/>
                <w:bCs w:val="false"/>
                <w:i w:val="false"/>
                <w:iCs w:val="false"/>
                <w:strike w:val="false"/>
                <w:color w:val="000000"/>
                <w:sz w:val="20"/>
                <w:szCs w:val="20"/>
              </w:rPr>
              <w:t xml:space="preserve">et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14 cases; no grammatical gender; no future tense</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Icelandic</w:t>
            </w:r>
          </w:p>
        </w:tc>
        <w:tc>
          <w:tcPr>
            <w:tcW w:type="pct" w:w="10%"/>
          </w:tcPr>
          <w:p>
            <w:r>
              <w:rPr>
                <w:rFonts w:ascii="Calibri" w:cs="Calibri" w:eastAsia="Calibri" w:hAnsi="Calibri"/>
                <w:b w:val="false"/>
                <w:bCs w:val="false"/>
                <w:i w:val="false"/>
                <w:iCs w:val="false"/>
                <w:strike w:val="false"/>
                <w:color w:val="000000"/>
                <w:sz w:val="20"/>
                <w:szCs w:val="20"/>
              </w:rPr>
              <w:t xml:space="preserve">is</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Full</w:t>
            </w:r>
          </w:p>
        </w:tc>
        <w:tc>
          <w:tcPr>
            <w:tcW w:type="pct" w:w="44%"/>
          </w:tcPr>
          <w:p>
            <w:r>
              <w:rPr>
                <w:rFonts w:ascii="Calibri" w:cs="Calibri" w:eastAsia="Calibri" w:hAnsi="Calibri"/>
                <w:b w:val="false"/>
                <w:bCs w:val="false"/>
                <w:i w:val="false"/>
                <w:iCs w:val="false"/>
                <w:strike w:val="false"/>
                <w:color w:val="000000"/>
                <w:sz w:val="20"/>
                <w:szCs w:val="20"/>
              </w:rPr>
              <w:t xml:space="preserve">4 cases; 3 genders; highly conservative morphology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Welsh</w:t>
            </w:r>
          </w:p>
        </w:tc>
        <w:tc>
          <w:tcPr>
            <w:tcW w:type="pct" w:w="10%"/>
          </w:tcPr>
          <w:p>
            <w:r>
              <w:rPr>
                <w:rFonts w:ascii="Calibri" w:cs="Calibri" w:eastAsia="Calibri" w:hAnsi="Calibri"/>
                <w:b w:val="false"/>
                <w:bCs w:val="false"/>
                <w:i w:val="false"/>
                <w:iCs w:val="false"/>
                <w:strike w:val="false"/>
                <w:color w:val="000000"/>
                <w:sz w:val="20"/>
                <w:szCs w:val="20"/>
              </w:rPr>
              <w:t xml:space="preserve">cy</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consonant mutations; soft/nasal/aspirate mutations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Irish (Gaelic)</w:t>
            </w:r>
          </w:p>
        </w:tc>
        <w:tc>
          <w:tcPr>
            <w:tcW w:type="pct" w:w="10%"/>
          </w:tcPr>
          <w:p>
            <w:r>
              <w:rPr>
                <w:rFonts w:ascii="Calibri" w:cs="Calibri" w:eastAsia="Calibri" w:hAnsi="Calibri"/>
                <w:b w:val="false"/>
                <w:bCs w:val="false"/>
                <w:i w:val="false"/>
                <w:iCs w:val="false"/>
                <w:strike w:val="false"/>
                <w:color w:val="000000"/>
                <w:sz w:val="20"/>
                <w:szCs w:val="20"/>
              </w:rPr>
              <w:t xml:space="preserve">ga</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VSO word order; initial mutations; lenition and eclipsis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Basque</w:t>
            </w:r>
          </w:p>
        </w:tc>
        <w:tc>
          <w:tcPr>
            <w:tcW w:type="pct" w:w="10%"/>
          </w:tcPr>
          <w:p>
            <w:r>
              <w:rPr>
                <w:rFonts w:ascii="Calibri" w:cs="Calibri" w:eastAsia="Calibri" w:hAnsi="Calibri"/>
                <w:b w:val="false"/>
                <w:bCs w:val="false"/>
                <w:i w:val="false"/>
                <w:iCs w:val="false"/>
                <w:strike w:val="false"/>
                <w:color w:val="000000"/>
                <w:sz w:val="20"/>
                <w:szCs w:val="20"/>
              </w:rPr>
              <w:t xml:space="preserve">eu</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Language isolate; polypersonal verb agreement (subject, object, indirect object); ergative-absolutive alignment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Maltese</w:t>
            </w:r>
          </w:p>
        </w:tc>
        <w:tc>
          <w:tcPr>
            <w:tcW w:type="pct" w:w="10%"/>
          </w:tcPr>
          <w:p>
            <w:r>
              <w:rPr>
                <w:rFonts w:ascii="Calibri" w:cs="Calibri" w:eastAsia="Calibri" w:hAnsi="Calibri"/>
                <w:b w:val="false"/>
                <w:bCs w:val="false"/>
                <w:i w:val="false"/>
                <w:iCs w:val="false"/>
                <w:strike w:val="false"/>
                <w:color w:val="000000"/>
                <w:sz w:val="20"/>
                <w:szCs w:val="20"/>
              </w:rPr>
              <w:t xml:space="preserve">mt</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root system; heavy Romance and English loanword layer</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Kazakh</w:t>
            </w:r>
          </w:p>
        </w:tc>
        <w:tc>
          <w:tcPr>
            <w:tcW w:type="pct" w:w="10%"/>
          </w:tcPr>
          <w:p>
            <w:r>
              <w:rPr>
                <w:rFonts w:ascii="Calibri" w:cs="Calibri" w:eastAsia="Calibri" w:hAnsi="Calibri"/>
                <w:b w:val="false"/>
                <w:bCs w:val="false"/>
                <w:i w:val="false"/>
                <w:iCs w:val="false"/>
                <w:strike w:val="false"/>
                <w:color w:val="000000"/>
                <w:sz w:val="20"/>
                <w:szCs w:val="20"/>
              </w:rPr>
              <w:t xml:space="preserve">kk</w:t>
            </w:r>
          </w:p>
        </w:tc>
        <w:tc>
          <w:tcPr>
            <w:tcW w:type="pct" w:w="18%"/>
          </w:tcPr>
          <w:p>
            <w:r>
              <w:rPr>
                <w:rFonts w:ascii="Calibri" w:cs="Calibri" w:eastAsia="Calibri" w:hAnsi="Calibri"/>
                <w:b w:val="false"/>
                <w:bCs w:val="false"/>
                <w:i w:val="false"/>
                <w:iCs w:val="false"/>
                <w:strike w:val="false"/>
                <w:color w:val="000000"/>
                <w:sz w:val="20"/>
                <w:szCs w:val="20"/>
              </w:rPr>
              <w:t xml:space="preserve">Cyrillic / Latin (transitioning)</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family;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Azerbaijani</w:t>
            </w:r>
          </w:p>
        </w:tc>
        <w:tc>
          <w:tcPr>
            <w:tcW w:type="pct" w:w="10%"/>
          </w:tcPr>
          <w:p>
            <w:r>
              <w:rPr>
                <w:rFonts w:ascii="Calibri" w:cs="Calibri" w:eastAsia="Calibri" w:hAnsi="Calibri"/>
                <w:b w:val="false"/>
                <w:bCs w:val="false"/>
                <w:i w:val="false"/>
                <w:iCs w:val="false"/>
                <w:strike w:val="false"/>
                <w:color w:val="000000"/>
                <w:sz w:val="20"/>
                <w:szCs w:val="20"/>
              </w:rPr>
              <w:t xml:space="preserve">az</w:t>
            </w:r>
          </w:p>
        </w:tc>
        <w:tc>
          <w:tcPr>
            <w:tcW w:type="pct" w:w="18%"/>
          </w:tcPr>
          <w:p>
            <w:r>
              <w:rPr>
                <w:rFonts w:ascii="Calibri" w:cs="Calibri" w:eastAsia="Calibri" w:hAnsi="Calibri"/>
                <w:b w:val="false"/>
                <w:bCs w:val="false"/>
                <w:i w:val="false"/>
                <w:iCs w:val="false"/>
                <w:strike w:val="false"/>
                <w:color w:val="000000"/>
                <w:sz w:val="20"/>
                <w:szCs w:val="20"/>
              </w:rPr>
              <w:t xml:space="preserve">Latin</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Agglutinative; Turkic; vowel harmony</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Georgian</w:t>
            </w:r>
          </w:p>
        </w:tc>
        <w:tc>
          <w:tcPr>
            <w:tcW w:type="pct" w:w="10%"/>
          </w:tcPr>
          <w:p>
            <w:r>
              <w:rPr>
                <w:rFonts w:ascii="Calibri" w:cs="Calibri" w:eastAsia="Calibri" w:hAnsi="Calibri"/>
                <w:b w:val="false"/>
                <w:bCs w:val="false"/>
                <w:i w:val="false"/>
                <w:iCs w:val="false"/>
                <w:strike w:val="false"/>
                <w:color w:val="000000"/>
                <w:sz w:val="20"/>
                <w:szCs w:val="20"/>
              </w:rPr>
              <w:t xml:space="preserve">ka</w:t>
            </w:r>
          </w:p>
        </w:tc>
        <w:tc>
          <w:tcPr>
            <w:tcW w:type="pct" w:w="18%"/>
          </w:tcPr>
          <w:p>
            <w:r>
              <w:rPr>
                <w:rFonts w:ascii="Calibri" w:cs="Calibri" w:eastAsia="Calibri" w:hAnsi="Calibri"/>
                <w:b w:val="false"/>
                <w:bCs w:val="false"/>
                <w:i w:val="false"/>
                <w:iCs w:val="false"/>
                <w:strike w:val="false"/>
                <w:color w:val="000000"/>
                <w:sz w:val="20"/>
                <w:szCs w:val="20"/>
              </w:rPr>
              <w:t xml:space="preserve">Georgian (Mkhedruli)</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Unique script; polypersonal verb agreement; complex consonant clusters</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Amharic</w:t>
            </w:r>
          </w:p>
        </w:tc>
        <w:tc>
          <w:tcPr>
            <w:tcW w:type="pct" w:w="10%"/>
          </w:tcPr>
          <w:p>
            <w:r>
              <w:rPr>
                <w:rFonts w:ascii="Calibri" w:cs="Calibri" w:eastAsia="Calibri" w:hAnsi="Calibri"/>
                <w:b w:val="false"/>
                <w:bCs w:val="false"/>
                <w:i w:val="false"/>
                <w:iCs w:val="false"/>
                <w:strike w:val="false"/>
                <w:color w:val="000000"/>
                <w:sz w:val="20"/>
                <w:szCs w:val="20"/>
              </w:rPr>
              <w:t xml:space="preserve">am</w:t>
            </w:r>
          </w:p>
        </w:tc>
        <w:tc>
          <w:tcPr>
            <w:tcW w:type="pct" w:w="18%"/>
          </w:tcPr>
          <w:p>
            <w:r>
              <w:rPr>
                <w:rFonts w:ascii="Calibri" w:cs="Calibri" w:eastAsia="Calibri" w:hAnsi="Calibri"/>
                <w:b w:val="false"/>
                <w:bCs w:val="false"/>
                <w:i w:val="false"/>
                <w:iCs w:val="false"/>
                <w:strike w:val="false"/>
                <w:color w:val="000000"/>
                <w:sz w:val="20"/>
                <w:szCs w:val="20"/>
              </w:rPr>
              <w:t xml:space="preserve">Ethiopic (Ge'ez)</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Semitic; SOV word order; extensive verb morphology; syllabic script</w:t>
            </w:r>
          </w:p>
        </w:tc>
      </w:tr>
      <w:tr>
        <w:trPr>
          <w:tblHeader w:val="false"/>
        </w:trPr>
        <w:tc>
          <w:tcPr>
            <w:tcW w:type="pct" w:w="18%"/>
          </w:tcPr>
          <w:p>
            <w:r>
              <w:rPr>
                <w:rFonts w:ascii="Calibri" w:cs="Calibri" w:eastAsia="Calibri" w:hAnsi="Calibri"/>
                <w:b w:val="false"/>
                <w:bCs w:val="false"/>
                <w:i w:val="false"/>
                <w:iCs w:val="false"/>
                <w:strike w:val="false"/>
                <w:color w:val="000000"/>
                <w:sz w:val="20"/>
                <w:szCs w:val="20"/>
              </w:rPr>
              <w:t xml:space="preserve">Farsi (Persian)</w:t>
            </w:r>
          </w:p>
        </w:tc>
        <w:tc>
          <w:tcPr>
            <w:tcW w:type="pct" w:w="10%"/>
          </w:tcPr>
          <w:p>
            <w:r>
              <w:rPr>
                <w:rFonts w:ascii="Calibri" w:cs="Calibri" w:eastAsia="Calibri" w:hAnsi="Calibri"/>
                <w:b w:val="false"/>
                <w:bCs w:val="false"/>
                <w:i w:val="false"/>
                <w:iCs w:val="false"/>
                <w:strike w:val="false"/>
                <w:color w:val="000000"/>
                <w:sz w:val="20"/>
                <w:szCs w:val="20"/>
              </w:rPr>
              <w:t xml:space="preserve">fa</w:t>
            </w:r>
          </w:p>
        </w:tc>
        <w:tc>
          <w:tcPr>
            <w:tcW w:type="pct" w:w="18%"/>
          </w:tcPr>
          <w:p>
            <w:r>
              <w:rPr>
                <w:rFonts w:ascii="Calibri" w:cs="Calibri" w:eastAsia="Calibri" w:hAnsi="Calibri"/>
                <w:b w:val="false"/>
                <w:bCs w:val="false"/>
                <w:i w:val="false"/>
                <w:iCs w:val="false"/>
                <w:strike w:val="false"/>
                <w:color w:val="000000"/>
                <w:sz w:val="20"/>
                <w:szCs w:val="20"/>
              </w:rPr>
              <w:t xml:space="preserve">Persian (RTL)</w:t>
            </w:r>
          </w:p>
        </w:tc>
        <w:tc>
          <w:tcPr>
            <w:tcW w:type="pct" w:w="10%"/>
          </w:tcPr>
          <w:p>
            <w:r>
              <w:rPr>
                <w:rFonts w:ascii="Calibri" w:cs="Calibri" w:eastAsia="Calibri" w:hAnsi="Calibri"/>
                <w:b w:val="false"/>
                <w:bCs w:val="false"/>
                <w:i w:val="false"/>
                <w:iCs w:val="false"/>
                <w:strike w:val="false"/>
                <w:color w:val="000000"/>
                <w:sz w:val="20"/>
                <w:szCs w:val="20"/>
              </w:rPr>
              <w:t xml:space="preserve">Partial</w:t>
            </w:r>
          </w:p>
        </w:tc>
        <w:tc>
          <w:tcPr>
            <w:tcW w:type="pct" w:w="44%"/>
          </w:tcPr>
          <w:p>
            <w:r>
              <w:rPr>
                <w:rFonts w:ascii="Calibri" w:cs="Calibri" w:eastAsia="Calibri" w:hAnsi="Calibri"/>
                <w:b w:val="false"/>
                <w:bCs w:val="false"/>
                <w:i w:val="false"/>
                <w:iCs w:val="false"/>
                <w:strike w:val="false"/>
                <w:color w:val="000000"/>
                <w:sz w:val="20"/>
                <w:szCs w:val="20"/>
              </w:rPr>
              <w:t xml:space="preserve">Right-to-left; Indo-European grammar; Arabic script adapted; pro-drop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16.3 Regeneration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66%"/>
            <w:shd w:fill="DCE6F0" w:color="auto" w:val="clear"/>
          </w:tcPr>
          <w:p>
            <w:r>
              <w:rPr>
                <w:rFonts w:ascii="Calibri" w:cs="Calibri" w:eastAsia="Calibri" w:hAnsi="Calibri"/>
                <w:b/>
                <w:bCs/>
                <w:i w:val="false"/>
                <w:iCs w:val="false"/>
                <w:strike w:val="false"/>
                <w:color w:val="0D2A5E"/>
                <w:sz w:val="20"/>
                <w:szCs w:val="20"/>
              </w:rPr>
              <w:t xml:space="preserve">Operations</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Output</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1</w:t>
            </w:r>
          </w:p>
        </w:tc>
        <w:tc>
          <w:tcPr>
            <w:tcW w:type="pct" w:w="11%"/>
          </w:tcPr>
          <w:p>
            <w:r>
              <w:rPr>
                <w:rFonts w:ascii="Calibri" w:cs="Calibri" w:eastAsia="Calibri" w:hAnsi="Calibri"/>
                <w:b w:val="false"/>
                <w:bCs w:val="false"/>
                <w:i w:val="false"/>
                <w:iCs w:val="false"/>
                <w:strike w:val="false"/>
                <w:color w:val="000000"/>
                <w:sz w:val="20"/>
                <w:szCs w:val="20"/>
              </w:rPr>
              <w:t xml:space="preserve">Narrative Graph Selection</w:t>
            </w:r>
          </w:p>
        </w:tc>
        <w:tc>
          <w:tcPr>
            <w:tcW w:type="pct" w:w="66%"/>
          </w:tcPr>
          <w:p>
            <w:r>
              <w:rPr>
                <w:rFonts w:ascii="Calibri" w:cs="Calibri" w:eastAsia="Calibri" w:hAnsi="Calibri"/>
                <w:b w:val="false"/>
                <w:bCs w:val="false"/>
                <w:i w:val="false"/>
                <w:iCs w:val="false"/>
                <w:strike w:val="false"/>
                <w:color w:val="000000"/>
                <w:sz w:val="20"/>
                <w:szCs w:val="20"/>
              </w:rPr>
              <w:t xml:space="preserve">Retrieve or construct Narrative Graph from query result Fact Units (see Chapter 12); if REGENERATE AS clause specifies a pre-built NarrativeGraphID, load it directly; else run automatic construction algorithm</w:t>
            </w:r>
          </w:p>
        </w:tc>
        <w:tc>
          <w:tcPr>
            <w:tcW w:type="pct" w:w="15%"/>
          </w:tcPr>
          <w:p>
            <w:r>
              <w:rPr>
                <w:rFonts w:ascii="Calibri" w:cs="Calibri" w:eastAsia="Calibri" w:hAnsi="Calibri"/>
                <w:b w:val="false"/>
                <w:bCs w:val="false"/>
                <w:i w:val="false"/>
                <w:iCs w:val="false"/>
                <w:strike w:val="false"/>
                <w:color w:val="000000"/>
                <w:sz w:val="20"/>
                <w:szCs w:val="20"/>
              </w:rPr>
              <w:t xml:space="preserve">Narrative Graph with linearized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2</w:t>
            </w:r>
          </w:p>
        </w:tc>
        <w:tc>
          <w:tcPr>
            <w:tcW w:type="pct" w:w="11%"/>
          </w:tcPr>
          <w:p>
            <w:r>
              <w:rPr>
                <w:rFonts w:ascii="Calibri" w:cs="Calibri" w:eastAsia="Calibri" w:hAnsi="Calibri"/>
                <w:b w:val="false"/>
                <w:bCs w:val="false"/>
                <w:i w:val="false"/>
                <w:iCs w:val="false"/>
                <w:strike w:val="false"/>
                <w:color w:val="000000"/>
                <w:sz w:val="20"/>
                <w:szCs w:val="20"/>
              </w:rPr>
              <w:t xml:space="preserve">Linearization and Gap-Filling</w:t>
            </w:r>
          </w:p>
        </w:tc>
        <w:tc>
          <w:tcPr>
            <w:tcW w:type="pct" w:w="66%"/>
          </w:tcPr>
          <w:p>
            <w:r>
              <w:rPr>
                <w:rFonts w:ascii="Calibri" w:cs="Calibri" w:eastAsia="Calibri" w:hAnsi="Calibri"/>
                <w:b w:val="false"/>
                <w:bCs w:val="false"/>
                <w:i w:val="false"/>
                <w:iCs w:val="false"/>
                <w:strike w:val="false"/>
                <w:color w:val="000000"/>
                <w:sz w:val="20"/>
                <w:szCs w:val="20"/>
              </w:rPr>
              <w:t xml:space="preserve">Apply linearization algorithm to Narrative Graph DAG; detect gaps; query Fact Graph for gap-filling Fact Units; insert gap-filling Fact Units into Narrative Graph NodeSet where coherence score improvement exceeds threshold</w:t>
            </w:r>
          </w:p>
        </w:tc>
        <w:tc>
          <w:tcPr>
            <w:tcW w:type="pct" w:w="15%"/>
          </w:tcPr>
          <w:p>
            <w:r>
              <w:rPr>
                <w:rFonts w:ascii="Calibri" w:cs="Calibri" w:eastAsia="Calibri" w:hAnsi="Calibri"/>
                <w:b w:val="false"/>
                <w:bCs w:val="false"/>
                <w:i w:val="false"/>
                <w:iCs w:val="false"/>
                <w:strike w:val="false"/>
                <w:color w:val="000000"/>
                <w:sz w:val="20"/>
                <w:szCs w:val="20"/>
              </w:rPr>
              <w:t xml:space="preserve">Enriched, linearized Narrative Graph with ReadingOrder</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3</w:t>
            </w:r>
          </w:p>
        </w:tc>
        <w:tc>
          <w:tcPr>
            <w:tcW w:type="pct" w:w="11%"/>
          </w:tcPr>
          <w:p>
            <w:r>
              <w:rPr>
                <w:rFonts w:ascii="Calibri" w:cs="Calibri" w:eastAsia="Calibri" w:hAnsi="Calibri"/>
                <w:b w:val="false"/>
                <w:bCs w:val="false"/>
                <w:i w:val="false"/>
                <w:iCs w:val="false"/>
                <w:strike w:val="false"/>
                <w:color w:val="000000"/>
                <w:sz w:val="20"/>
                <w:szCs w:val="20"/>
              </w:rPr>
              <w:t xml:space="preserve">Lexical Selection</w:t>
            </w:r>
          </w:p>
        </w:tc>
        <w:tc>
          <w:tcPr>
            <w:tcW w:type="pct" w:w="66%"/>
          </w:tcPr>
          <w:p>
            <w:r>
              <w:rPr>
                <w:rFonts w:ascii="Calibri" w:cs="Calibri" w:eastAsia="Calibri" w:hAnsi="Calibri"/>
                <w:b w:val="false"/>
                <w:bCs w:val="false"/>
                <w:i w:val="false"/>
                <w:iCs w:val="false"/>
                <w:strike w:val="false"/>
                <w:color w:val="000000"/>
                <w:sz w:val="20"/>
                <w:szCs w:val="20"/>
              </w:rPr>
              <w:t xml:space="preserve">For each Fact Unit in ReadingOrder, select vocabulary appropriate for: (a) target language (OutputLanguage), (b) audience model (domain expertise, formality level, vocabulary age), (c) NarrativeStyle; map Fact Unit entities to their canonical names in the target language using LinguisticMetadata and the Entity Registry's multilingual name map</w:t>
            </w:r>
          </w:p>
        </w:tc>
        <w:tc>
          <w:tcPr>
            <w:tcW w:type="pct" w:w="15%"/>
          </w:tcPr>
          <w:p>
            <w:r>
              <w:rPr>
                <w:rFonts w:ascii="Calibri" w:cs="Calibri" w:eastAsia="Calibri" w:hAnsi="Calibri"/>
                <w:b w:val="false"/>
                <w:bCs w:val="false"/>
                <w:i w:val="false"/>
                <w:iCs w:val="false"/>
                <w:strike w:val="false"/>
                <w:color w:val="000000"/>
                <w:sz w:val="20"/>
                <w:szCs w:val="20"/>
              </w:rPr>
              <w:t xml:space="preserve">Per-Fact-Unit lexicalized propositions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4</w:t>
            </w:r>
          </w:p>
        </w:tc>
        <w:tc>
          <w:tcPr>
            <w:tcW w:type="pct" w:w="11%"/>
          </w:tcPr>
          <w:p>
            <w:r>
              <w:rPr>
                <w:rFonts w:ascii="Calibri" w:cs="Calibri" w:eastAsia="Calibri" w:hAnsi="Calibri"/>
                <w:b w:val="false"/>
                <w:bCs w:val="false"/>
                <w:i w:val="false"/>
                <w:iCs w:val="false"/>
                <w:strike w:val="false"/>
                <w:color w:val="000000"/>
                <w:sz w:val="20"/>
                <w:szCs w:val="20"/>
              </w:rPr>
              <w:t xml:space="preserve">Syntactic Realization</w:t>
            </w:r>
          </w:p>
        </w:tc>
        <w:tc>
          <w:tcPr>
            <w:tcW w:type="pct" w:w="66%"/>
          </w:tcPr>
          <w:p>
            <w:r>
              <w:rPr>
                <w:rFonts w:ascii="Calibri" w:cs="Calibri" w:eastAsia="Calibri" w:hAnsi="Calibri"/>
                <w:b w:val="false"/>
                <w:bCs w:val="false"/>
                <w:i w:val="false"/>
                <w:iCs w:val="false"/>
                <w:strike w:val="false"/>
                <w:color w:val="000000"/>
                <w:sz w:val="20"/>
                <w:szCs w:val="20"/>
              </w:rPr>
              <w:t xml:space="preserve">Generate grammatically correct sentences for each lexicalized proposition respecting the target language's morphological and syntactic rules; apply NarrativeStyle sentence structure constraints; handle language-specific phenomena (grammatical gender agreement, case inflection, aspect, honorifics, RTL script direction)</w:t>
            </w:r>
          </w:p>
        </w:tc>
        <w:tc>
          <w:tcPr>
            <w:tcW w:type="pct" w:w="15%"/>
          </w:tcPr>
          <w:p>
            <w:r>
              <w:rPr>
                <w:rFonts w:ascii="Calibri" w:cs="Calibri" w:eastAsia="Calibri" w:hAnsi="Calibri"/>
                <w:b w:val="false"/>
                <w:bCs w:val="false"/>
                <w:i w:val="false"/>
                <w:iCs w:val="false"/>
                <w:strike w:val="false"/>
                <w:color w:val="000000"/>
                <w:sz w:val="20"/>
                <w:szCs w:val="20"/>
              </w:rPr>
              <w:t xml:space="preserve">Per-Fact-Unit candidate sentences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5</w:t>
            </w:r>
          </w:p>
        </w:tc>
        <w:tc>
          <w:tcPr>
            <w:tcW w:type="pct" w:w="11%"/>
          </w:tcPr>
          <w:p>
            <w:r>
              <w:rPr>
                <w:rFonts w:ascii="Calibri" w:cs="Calibri" w:eastAsia="Calibri" w:hAnsi="Calibri"/>
                <w:b w:val="false"/>
                <w:bCs w:val="false"/>
                <w:i w:val="false"/>
                <w:iCs w:val="false"/>
                <w:strike w:val="false"/>
                <w:color w:val="000000"/>
                <w:sz w:val="20"/>
                <w:szCs w:val="20"/>
              </w:rPr>
              <w:t xml:space="preserve">Discourse Coherence</w:t>
            </w:r>
          </w:p>
        </w:tc>
        <w:tc>
          <w:tcPr>
            <w:tcW w:type="pct" w:w="66%"/>
          </w:tcPr>
          <w:p>
            <w:r>
              <w:rPr>
                <w:rFonts w:ascii="Calibri" w:cs="Calibri" w:eastAsia="Calibri" w:hAnsi="Calibri"/>
                <w:b w:val="false"/>
                <w:bCs w:val="false"/>
                <w:i w:val="false"/>
                <w:iCs w:val="false"/>
                <w:strike w:val="false"/>
                <w:color w:val="000000"/>
                <w:sz w:val="20"/>
                <w:szCs w:val="20"/>
              </w:rPr>
              <w:t xml:space="preserve">Insert appropriate discourse connectives between sentences based on Narrative Edge Types (TEMPORAL_FOLLOWS → "subsequently", "then"; CAUSES → "consequently", "as a result"; CONTRASTS_WITH → "however", "in contrast"; ELABORATES → "specifically", "in particular"); resolve cross-sentence reference with appropriate pronouns and definite descriptions; ensure paragraph-level topic continuity</w:t>
            </w:r>
          </w:p>
        </w:tc>
        <w:tc>
          <w:tcPr>
            <w:tcW w:type="pct" w:w="15%"/>
          </w:tcPr>
          <w:p>
            <w:r>
              <w:rPr>
                <w:rFonts w:ascii="Calibri" w:cs="Calibri" w:eastAsia="Calibri" w:hAnsi="Calibri"/>
                <w:b w:val="false"/>
                <w:bCs w:val="false"/>
                <w:i w:val="false"/>
                <w:iCs w:val="false"/>
                <w:strike w:val="false"/>
                <w:color w:val="000000"/>
                <w:sz w:val="20"/>
                <w:szCs w:val="20"/>
              </w:rPr>
              <w:t xml:space="preserve">Coherent paragraph-level text in target language</w:t>
            </w:r>
          </w:p>
        </w:tc>
      </w:tr>
      <w:tr>
        <w:trPr>
          <w:tblHeader w:val="false"/>
        </w:trPr>
        <w:tc>
          <w:tcPr>
            <w:tcW w:type="pct" w:w="8%"/>
          </w:tcPr>
          <w:p>
            <w:r>
              <w:rPr>
                <w:rFonts w:ascii="Calibri" w:cs="Calibri" w:eastAsia="Calibri" w:hAnsi="Calibri"/>
                <w:b w:val="false"/>
                <w:bCs w:val="false"/>
                <w:i w:val="false"/>
                <w:iCs w:val="false"/>
                <w:strike w:val="false"/>
                <w:color w:val="000000"/>
                <w:sz w:val="20"/>
                <w:szCs w:val="20"/>
              </w:rPr>
              <w:t xml:space="preserve">6</w:t>
            </w:r>
          </w:p>
        </w:tc>
        <w:tc>
          <w:tcPr>
            <w:tcW w:type="pct" w:w="11%"/>
          </w:tcPr>
          <w:p>
            <w:r>
              <w:rPr>
                <w:rFonts w:ascii="Calibri" w:cs="Calibri" w:eastAsia="Calibri" w:hAnsi="Calibri"/>
                <w:b w:val="false"/>
                <w:bCs w:val="false"/>
                <w:i w:val="false"/>
                <w:iCs w:val="false"/>
                <w:strike w:val="false"/>
                <w:color w:val="000000"/>
                <w:sz w:val="20"/>
                <w:szCs w:val="20"/>
              </w:rPr>
              <w:t xml:space="preserve">Factual Grounding Verification</w:t>
            </w:r>
          </w:p>
        </w:tc>
        <w:tc>
          <w:tcPr>
            <w:tcW w:type="pct" w:w="66%"/>
          </w:tcPr>
          <w:p>
            <w:r>
              <w:rPr>
                <w:rFonts w:ascii="Calibri" w:cs="Calibri" w:eastAsia="Calibri" w:hAnsi="Calibri"/>
                <w:b w:val="false"/>
                <w:bCs w:val="false"/>
                <w:i w:val="false"/>
                <w:iCs w:val="false"/>
                <w:strike w:val="false"/>
                <w:color w:val="000000"/>
                <w:sz w:val="20"/>
                <w:szCs w:val="20"/>
              </w:rPr>
              <w:t xml:space="preserve">For each generated sentence, map every substantive claim back to the Fact Unit(s) that ground it; sentences where all claims are grounded are marked GROUNDED and passed through; sentences containing claims that cannot be mapped to any Fact Unit in the Narrative Graph are marked UNGROUNDED and either (a) rewritten to remove the ungroundable claim, (b) qualified with explicit uncertainty language ("it is unclear whether...", "this has not been confirmed..."), or (c) removed entirely with a gap acknowledgment</w:t>
            </w:r>
          </w:p>
        </w:tc>
        <w:tc>
          <w:tcPr>
            <w:tcW w:type="pct" w:w="15%"/>
          </w:tcPr>
          <w:p>
            <w:r>
              <w:rPr>
                <w:rFonts w:ascii="Calibri" w:cs="Calibri" w:eastAsia="Calibri" w:hAnsi="Calibri"/>
                <w:b w:val="false"/>
                <w:bCs w:val="false"/>
                <w:i w:val="false"/>
                <w:iCs w:val="false"/>
                <w:strike w:val="false"/>
                <w:color w:val="000000"/>
                <w:sz w:val="20"/>
                <w:szCs w:val="20"/>
              </w:rPr>
              <w:t xml:space="preserve">Fully grounded output text with per-sentence FUID citation map</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16.4 Hallucination Prevention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MRE's hallucination prevention is an architectural guarantee, not a probabilistic one. The mechanism is as follows: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Constrained generation vocabulary:</w:t>
      </w:r>
      <w:r>
        <w:rPr>
          <w:rFonts w:ascii="Calibri" w:cs="Calibri" w:eastAsia="Calibri" w:hAnsi="Calibri"/>
          <w:b w:val="false"/>
          <w:bCs w:val="false"/>
          <w:i w:val="false"/>
          <w:iCs w:val="false"/>
          <w:strike w:val="false"/>
          <w:color w:val="000000"/>
          <w:sz w:val="22"/>
          <w:szCs w:val="22"/>
        </w:rPr>
        <w:t xml:space="preserve"> At Stage 4 (Syntactic Realization), the generative process operates over a constrained vocabulary derived from: the lexicalized content of the Narrative Graph Fact Units, standard discourse connectives and function words in the target language, and hedging language for qualified uncertainty statements. Novel factual claims — content that is not present in the Narrative Graph — cannot be generated because the generation vocabulary does not contain the necessary lexical items.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Factual Groundedness metric:</w:t>
      </w:r>
      <w:r>
        <w:rPr>
          <w:rFonts w:ascii="Calibri" w:cs="Calibri" w:eastAsia="Calibri" w:hAnsi="Calibri"/>
          <w:b w:val="false"/>
          <w:bCs w:val="false"/>
          <w:i w:val="false"/>
          <w:iCs w:val="false"/>
          <w:strike w:val="false"/>
          <w:color w:val="000000"/>
          <w:sz w:val="22"/>
          <w:szCs w:val="22"/>
        </w:rPr>
        <w:t xml:space="preserve"> Every candidate sentence at Stage 6 is scored against a Factual Groundedness metric computed as: the fraction of extractable propositions in the sentence that can be matched to Fact Units in the Narrative Graph using semantic equivalence (cosine similarity of EmbeddingVectors above threshold 0.92). Sentences below the groundedness threshold (default: 0.95) are rejected and trigger rewriting or qualification.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Graceful degradation:</w:t>
      </w:r>
      <w:r>
        <w:rPr>
          <w:rFonts w:ascii="Calibri" w:cs="Calibri" w:eastAsia="Calibri" w:hAnsi="Calibri"/>
          <w:b w:val="false"/>
          <w:bCs w:val="false"/>
          <w:i w:val="false"/>
          <w:iCs w:val="false"/>
          <w:strike w:val="false"/>
          <w:color w:val="000000"/>
          <w:sz w:val="22"/>
          <w:szCs w:val="22"/>
        </w:rPr>
        <w:t xml:space="preserve"> When a query requires knowledge that is absent from the Fact Graph or below the confidence threshold, the MRE does not hallucinate an answer. Instead, it produces a qualified acknowledgment of the knowledge gap, optionally including a META_KNOWLEDGE_GAP Fact Unit reference for the operator to address.</w:t>
      </w:r>
    </w:p>
    <w:p>
      <w:pPr>
        <w:pStyle w:val="Heading2"/>
        <w:spacing w:after="120" w:before="240" w:line="288" w:lineRule="auto"/>
      </w:pPr>
      <w:r>
        <w:rPr>
          <w:rFonts w:ascii="Calibri" w:cs="Calibri" w:eastAsia="Calibri" w:hAnsi="Calibri"/>
          <w:color w:val="000000"/>
          <w:sz w:val="36"/>
          <w:szCs w:val="36"/>
        </w:rPr>
        <w:t xml:space="preserve">16.5 Cross-Lingual Fact Equivalence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MRE is designed to enable true multilingual knowledge equivalence, not merely translation: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Language-independent Semantic Hash:</w:t>
      </w:r>
      <w:r>
        <w:rPr>
          <w:rFonts w:ascii="Calibri" w:cs="Calibri" w:eastAsia="Calibri" w:hAnsi="Calibri"/>
          <w:b w:val="false"/>
          <w:bCs w:val="false"/>
          <w:i w:val="false"/>
          <w:iCs w:val="false"/>
          <w:strike w:val="false"/>
          <w:color w:val="000000"/>
          <w:sz w:val="22"/>
          <w:szCs w:val="22"/>
        </w:rPr>
        <w:t xml:space="preserve"> The same Fact Unit regenerated in any supported language produces output whose back-translation yields a Semantic Hash within a configurable distance of the original. This is enforced by the Semantic Hash's language-independent computation (Section 3.1).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FUID preservation across languages:</w:t>
      </w:r>
      <w:r>
        <w:rPr>
          <w:rFonts w:ascii="Calibri" w:cs="Calibri" w:eastAsia="Calibri" w:hAnsi="Calibri"/>
          <w:b w:val="false"/>
          <w:bCs w:val="false"/>
          <w:i w:val="false"/>
          <w:iCs w:val="false"/>
          <w:strike w:val="false"/>
          <w:color w:val="000000"/>
          <w:sz w:val="22"/>
          <w:szCs w:val="22"/>
        </w:rPr>
        <w:t xml:space="preserve"> When a Fact Unit is regenerated in a target language, the output is associated with the original FUID. No new FUID is created; instead, a new LinguisticMetadata variant is created and stored in the AnnotationSet of the original Fact Unit, recording the target language output and its grounding verification result.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Simultaneous multi-language regeneration:</w:t>
      </w:r>
      <w:r>
        <w:rPr>
          <w:rFonts w:ascii="Calibri" w:cs="Calibri" w:eastAsia="Calibri" w:hAnsi="Calibri"/>
          <w:b w:val="false"/>
          <w:bCs w:val="false"/>
          <w:i w:val="false"/>
          <w:iCs w:val="false"/>
          <w:strike w:val="false"/>
          <w:color w:val="000000"/>
          <w:sz w:val="22"/>
          <w:szCs w:val="22"/>
        </w:rPr>
        <w:t xml:space="preserve"> The MRE can regenerate the same Narrative Graph in multiple languages simultaneously using parallel language-specific realization pipelines, producing a set of semantically equivalent outputs each grounded in the same underlying Fact Units.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Translation of new Fact Units:</w:t>
      </w:r>
      <w:r>
        <w:rPr>
          <w:rFonts w:ascii="Calibri" w:cs="Calibri" w:eastAsia="Calibri" w:hAnsi="Calibri"/>
          <w:b w:val="false"/>
          <w:bCs w:val="false"/>
          <w:i w:val="false"/>
          <w:iCs w:val="false"/>
          <w:strike w:val="false"/>
          <w:color w:val="000000"/>
          <w:sz w:val="22"/>
          <w:szCs w:val="22"/>
        </w:rPr>
        <w:t xml:space="preserve"> When a Fact Unit is ingested in language L1 and subsequently queried in language L2, the MRE first checks for an existing L2 linguistic variant; if none exists, it generates the L2 variant on demand and caches it as a LinguisticMetadata variant of the original Fact Unit.</w:t>
      </w:r>
    </w:p>
    <w:p>
      <w:pPr>
        <w:pStyle w:val="Heading2"/>
        <w:spacing w:after="120" w:before="240" w:line="288" w:lineRule="auto"/>
      </w:pPr>
      <w:r>
        <w:rPr>
          <w:rFonts w:ascii="Calibri" w:cs="Calibri" w:eastAsia="Calibri" w:hAnsi="Calibri"/>
          <w:color w:val="000000"/>
          <w:sz w:val="36"/>
          <w:szCs w:val="36"/>
        </w:rPr>
        <w:t xml:space="preserve">16.6 Domain-Aware and Disambiguated Translation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MRE translation using three already-real, already-specified mechanisms — the Ontology Mesh's domain-specific sub-ontologies, the Attractor Network's convergence dynamics, and the multi-modal content surfaces already defined elsewhere in this Bible — rather than introducing new architecture. No new Fact Unit subtype, no new Slice, and no voice-persona or accent-manipulation capability is introduced by this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BUILT FROM THREE ALREADY-CLAIMED MECHANISMS, NOT A NEW SYSTEM</w:t>
            </w:r>
            <w:r>
              <w:rPr>
                <w:rFonts w:ascii="Calibri" w:cs="Calibri" w:eastAsia="Calibri" w:hAnsi="Calibri"/>
                <w:b/>
                <w:bCs/>
                <w:i w:val="false"/>
                <w:iCs w:val="false"/>
                <w:strike w:val="false"/>
                <w:color w:val="333333"/>
                <w:sz w:val="24"/>
                <w:szCs w:val="24"/>
              </w:rPr>
              <w:t xml:space="preserve">Domain-aware terminology resolution reuses the Ontology Mesh's federated domain sub-ontologies (Chapter 6, §20 of the patent, Claims 19–20). Ambiguity resolution reuses the Attractor Network's convergence dynamics (Chapter 7, Claim 6), already extended to hyperedge-level completion at §53.7. Multi-modal translation reuses MRE's own grounded generation applied to non-prose content already defined elsewhere (diagram labels, timeline descriptions). This section connects three real, separately-claimed mechanisms to strengthen translation; it does not add a fourth.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16.6.1 Domain-Aware Terminology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term with multiple valid meanings across domains — for example, “deck” in a marine context versus a card-game context — is resolved using the Ontology Mesh's poly-hierarchical concept structure (§20.1 of the patent): the source Fact Unit's own domain classification determines which federated domain sub-ontology's predicate and concept registrations govern the term's translation, rather than a single, domain-blind lexicon entry. This reuses the Ontology Mesh's existing domain-scoping mechanism; no new terminology or lexicon system is introduced.</w:t>
      </w:r>
    </w:p>
    <w:p>
      <w:pPr>
        <w:pStyle w:val="Heading3"/>
        <w:spacing w:after="120" w:before="200" w:line="288" w:lineRule="auto"/>
      </w:pPr>
      <w:r>
        <w:rPr>
          <w:rFonts w:ascii="Calibri" w:cs="Calibri" w:eastAsia="Calibri" w:hAnsi="Calibri"/>
          <w:color w:val="000000"/>
          <w:sz w:val="28"/>
          <w:szCs w:val="28"/>
        </w:rPr>
        <w:t xml:space="preserve">16.6.2 Attractor-Based Ambiguity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source content contains a genuinely ambiguous term or construction — a word with multiple senses not resolved by domain classification alone — the candidate interpretations are represented as an activation set and resolved through the Attractor Network's existing convergence dynamics (§7.2.4), converging toward the interpretation best supported by the surrounding Fact Graph context, exactly as the Attractor Network already stabilizes retrieval more generally. This is the same real mechanism already extended to hyperedge completion at §53.7, applied here to lexical ambiguity rather than geometric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translation produced through ambiguity resolution carries a ConfidenceScore reflecting the resolution's certainty; a low-confidence resolution is represented as such, never presented with unwarranted certainty.</w:t>
      </w:r>
    </w:p>
    <w:p>
      <w:pPr>
        <w:pStyle w:val="Heading3"/>
        <w:spacing w:after="120" w:before="200" w:line="288" w:lineRule="auto"/>
      </w:pPr>
      <w:r>
        <w:rPr>
          <w:rFonts w:ascii="Calibri" w:cs="Calibri" w:eastAsia="Calibri" w:hAnsi="Calibri"/>
          <w:color w:val="000000"/>
          <w:sz w:val="28"/>
          <w:szCs w:val="28"/>
        </w:rPr>
        <w:t xml:space="preserve">16.6.3 Multi-Modal Translation Surfaces</w:t>
      </w:r>
    </w:p>
    <w:p>
      <w:pPr>
        <w:spacing w:after="120" w:line="360" w:lineRule="auto"/>
      </w:pPr>
      <w:r>
        <w:rPr>
          <w:rFonts w:ascii="Calibri" w:cs="Calibri" w:eastAsia="Calibri" w:hAnsi="Calibri"/>
          <w:b w:val="false"/>
          <w:bCs w:val="false"/>
          <w:i w:val="false"/>
          <w:iCs w:val="false"/>
          <w:strike w:val="false"/>
          <w:color w:val="000000"/>
          <w:sz w:val="22"/>
          <w:szCs w:val="22"/>
        </w:rPr>
        <w:t xml:space="preserve">MRE's grounded generation, already language-independent by design (§16.1), extends to non-prose text surfaces already defined elsewhere in this Bible: diagram labels and annotations, and timeline event descriptions. Each surface's translated output is generated the same way MRE generates any other output — directly from the underlying Fact Unit and Narrative Graph, in the target language — rather than through a separate translation step applied after the fact. This section introduces no new content surface; it applies MRE's existing mechanism to surfaces already specified in Chapter 46 and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narration of translated content is not a new capability introduced here: where a target-language MRE output exists, it is eligible for synthetic narration exactly as any other MRE output is under §93.2 — using a stock voice profile with no real-person referent, never a persona or accent-shifted voice.</w:t>
      </w:r>
    </w:p>
    <w:p>
      <w:pPr>
        <w:pStyle w:val="Heading3"/>
        <w:spacing w:after="120" w:before="200" w:line="288" w:lineRule="auto"/>
      </w:pPr>
      <w:r>
        <w:rPr>
          <w:rFonts w:ascii="Calibri" w:cs="Calibri" w:eastAsia="Calibri" w:hAnsi="Calibri"/>
          <w:color w:val="000000"/>
          <w:sz w:val="28"/>
          <w:szCs w:val="28"/>
        </w:rPr>
        <w:t xml:space="preserve">16.6.4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 (Chapter 6, §20 of the patent); the Attractor Network (Chapter 7, Claim 6, and its extension at §53.7); MRE's own grounded generation and Cross-Lingual Fact Equivalence mechanism (§16.1–§16.5); and generic synthetic narration (§93.2). It modifies none of their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 — CROSS-DOMAIN RULE ENGINE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 Executive Summary</w:t>
            </w:r>
            <w:r>
              <w:rPr>
                <w:rFonts w:ascii="Calibri" w:cs="Calibri" w:eastAsia="Calibri" w:hAnsi="Calibri"/>
                <w:b/>
                <w:bCs/>
                <w:i w:val="false"/>
                <w:iCs w:val="false"/>
                <w:strike w:val="false"/>
                <w:color w:val="333333"/>
                <w:sz w:val="24"/>
                <w:szCs w:val="24"/>
              </w:rPr>
              <w:t xml:space="preserve">Part XVI specifies the Cross-Domain Rule Engine (CDRE) — the system enforcing consistency across the Fact Graph when Fact Units from different domain ontologies interact. It defines the rule categories (terminological, assertional, inference, integrity, and priority rules), the formal rule syntax based on Datalog-with-negation extended with probabilistic weights and temporal operators, the incremental forward-chaining execution engine, and the rule governance workflow. This Part is the primary reference for patent Cluster K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 Cross-Domain Rule Engine</w:t>
      </w:r>
    </w:p>
    <w:p>
      <w:pPr>
        <w:pStyle w:val="Heading1"/>
        <w:spacing w:after="120" w:before="240" w:line="288" w:lineRule="auto"/>
      </w:pPr>
      <w:r>
        <w:rPr>
          <w:rFonts w:ascii="Calibri" w:cs="Calibri" w:eastAsia="Calibri" w:hAnsi="Calibri"/>
          <w:color w:val="000000"/>
          <w:sz w:val="48"/>
          <w:szCs w:val="48"/>
        </w:rPr>
        <w:t xml:space="preserve">Chapter 17: Cross-Domain Rule Engine (CDRE) — Complete Specification</w:t>
      </w:r>
    </w:p>
    <w:p>
      <w:pPr>
        <w:pStyle w:val="Heading2"/>
        <w:spacing w:after="120" w:before="240" w:line="288" w:lineRule="auto"/>
      </w:pPr>
      <w:r>
        <w:rPr>
          <w:rFonts w:ascii="Calibri" w:cs="Calibri" w:eastAsia="Calibri" w:hAnsi="Calibri"/>
          <w:color w:val="000000"/>
          <w:sz w:val="36"/>
          <w:szCs w:val="36"/>
        </w:rPr>
        <w:t xml:space="preserve">17.1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is the consistency enforcement mechanism for the Ontology Mesh. It operates continuously over the Fact Graph, evaluating rules on every insertion event and maintaining a conflict detection index that flags violations for human review or automated resolution. The CDRE ensures that the multi-domain Fact Graph remains internally consistent despite the semantic tensions that arise when facts from disparate domains (medicine, law, finance, engineering, etc.) make assertions about the same entities.</w:t>
      </w:r>
    </w:p>
    <w:p>
      <w:pPr>
        <w:pStyle w:val="Heading2"/>
        <w:spacing w:after="120" w:before="240" w:line="288" w:lineRule="auto"/>
      </w:pPr>
      <w:r>
        <w:rPr>
          <w:rFonts w:ascii="Calibri" w:cs="Calibri" w:eastAsia="Calibri" w:hAnsi="Calibri"/>
          <w:color w:val="000000"/>
          <w:sz w:val="36"/>
          <w:szCs w:val="36"/>
        </w:rPr>
        <w:t xml:space="preserve">17.2 Rule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Rule Category</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Formal Type</w:t>
            </w:r>
          </w:p>
        </w:tc>
        <w:tc>
          <w:tcPr>
            <w:tcW w:type="pct" w:w="29%"/>
            <w:shd w:fill="DCE6F0" w:color="auto" w:val="clear"/>
          </w:tcPr>
          <w:p>
            <w:r>
              <w:rPr>
                <w:rFonts w:ascii="Calibri" w:cs="Calibri" w:eastAsia="Calibri" w:hAnsi="Calibri"/>
                <w:b/>
                <w:bCs/>
                <w:i w:val="false"/>
                <w:iCs w:val="false"/>
                <w:strike w:val="false"/>
                <w:color w:val="0D2A5E"/>
                <w:sz w:val="20"/>
                <w:szCs w:val="20"/>
              </w:rPr>
              <w:t xml:space="preserve">Scope</w:t>
            </w:r>
          </w:p>
        </w:tc>
        <w:tc>
          <w:tcPr>
            <w:tcW w:type="pct" w:w="45%"/>
            <w:shd w:fill="DCE6F0" w:color="auto" w:val="clear"/>
          </w:tcPr>
          <w:p>
            <w:r>
              <w:rPr>
                <w:rFonts w:ascii="Calibri" w:cs="Calibri" w:eastAsia="Calibri" w:hAnsi="Calibri"/>
                <w:b/>
                <w:bCs/>
                <w:i w:val="false"/>
                <w:iCs w:val="false"/>
                <w:strike w:val="false"/>
                <w:color w:val="0D2A5E"/>
                <w:sz w:val="20"/>
                <w:szCs w:val="20"/>
              </w:rPr>
              <w:t xml:space="preserve">Example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Terminological Rules</w:t>
            </w:r>
          </w:p>
        </w:tc>
        <w:tc>
          <w:tcPr>
            <w:tcW w:type="pct" w:w="15%"/>
          </w:tcPr>
          <w:p>
            <w:r>
              <w:rPr>
                <w:rFonts w:ascii="Calibri" w:cs="Calibri" w:eastAsia="Calibri" w:hAnsi="Calibri"/>
                <w:b w:val="false"/>
                <w:bCs w:val="false"/>
                <w:i w:val="false"/>
                <w:iCs w:val="false"/>
                <w:strike w:val="false"/>
                <w:color w:val="000000"/>
                <w:sz w:val="20"/>
                <w:szCs w:val="20"/>
              </w:rPr>
              <w:t xml:space="preserve">OWL-style subsumption and equivalence axioms</w:t>
            </w:r>
          </w:p>
        </w:tc>
        <w:tc>
          <w:tcPr>
            <w:tcW w:type="pct" w:w="29%"/>
          </w:tcPr>
          <w:p>
            <w:r>
              <w:rPr>
                <w:rFonts w:ascii="Calibri" w:cs="Calibri" w:eastAsia="Calibri" w:hAnsi="Calibri"/>
                <w:b w:val="false"/>
                <w:bCs w:val="false"/>
                <w:i w:val="false"/>
                <w:iCs w:val="false"/>
                <w:strike w:val="false"/>
                <w:color w:val="000000"/>
                <w:sz w:val="20"/>
                <w:szCs w:val="20"/>
              </w:rPr>
              <w:t xml:space="preserve">Define equivalences, subsumptions, and disjointness between concepts across domain ontologies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MED:Medication equivalentTo LAW:LicensedSubstance</w:t>
            </w:r>
            <w:r>
              <w:rPr>
                <w:rFonts w:ascii="Calibri" w:cs="Calibri" w:eastAsia="Calibri" w:hAnsi="Calibri"/>
                <w:b w:val="false"/>
                <w:bCs w:val="false"/>
                <w:i w:val="false"/>
                <w:iCs w:val="false"/>
                <w:strike w:val="false"/>
                <w:color w:val="000000"/>
                <w:sz w:val="20"/>
                <w:szCs w:val="20"/>
              </w:rPr>
              <w:t xml:space="preserve"> — the medical concept of "Medication" is equivalent to the legal concept of "Licensed Substance"; any fact true of one is inferred to be true of the other</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Assertional Rules</w:t>
            </w:r>
          </w:p>
        </w:tc>
        <w:tc>
          <w:tcPr>
            <w:tcW w:type="pct" w:w="15%"/>
          </w:tcPr>
          <w:p>
            <w:r>
              <w:rPr>
                <w:rFonts w:ascii="Calibri" w:cs="Calibri" w:eastAsia="Calibri" w:hAnsi="Calibri"/>
                <w:b w:val="false"/>
                <w:bCs w:val="false"/>
                <w:i w:val="false"/>
                <w:iCs w:val="false"/>
                <w:strike w:val="false"/>
                <w:color w:val="000000"/>
                <w:sz w:val="20"/>
                <w:szCs w:val="20"/>
              </w:rPr>
              <w:t xml:space="preserve">Datalog rules with domain filters</w:t>
            </w:r>
          </w:p>
        </w:tc>
        <w:tc>
          <w:tcPr>
            <w:tcW w:type="pct" w:w="29%"/>
          </w:tcPr>
          <w:p>
            <w:r>
              <w:rPr>
                <w:rFonts w:ascii="Calibri" w:cs="Calibri" w:eastAsia="Calibri" w:hAnsi="Calibri"/>
                <w:b w:val="false"/>
                <w:bCs w:val="false"/>
                <w:i w:val="false"/>
                <w:iCs w:val="false"/>
                <w:strike w:val="false"/>
                <w:color w:val="000000"/>
                <w:sz w:val="20"/>
                <w:szCs w:val="20"/>
              </w:rPr>
              <w:t xml:space="preserve">Govern which facts from one domain may be asserted in the context of another without additional verification</w:t>
            </w:r>
          </w:p>
        </w:tc>
        <w:tc>
          <w:tcPr>
            <w:tcW w:type="pct" w:w="45%"/>
          </w:tcPr>
          <w:p>
            <w:r>
              <w:rPr>
                <w:rFonts w:ascii="Calibri" w:cs="Calibri" w:eastAsia="Calibri" w:hAnsi="Calibri"/>
                <w:b w:val="false"/>
                <w:bCs w:val="false"/>
                <w:i w:val="false"/>
                <w:iCs w:val="false"/>
                <w:strike w:val="false"/>
                <w:color w:val="000000"/>
                <w:sz w:val="20"/>
                <w:szCs w:val="20"/>
              </w:rPr>
              <w:t xml:space="preserve">A Fact Unit from the Finance domain asserting that a company's market cap exceeds a threshold may not override a Law domain Fact Unit asserting the company is in bankruptcy without additional LEGALLY_SENSITIVE verification</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Inference Rules</w:t>
            </w:r>
          </w:p>
        </w:tc>
        <w:tc>
          <w:tcPr>
            <w:tcW w:type="pct" w:w="15%"/>
          </w:tcPr>
          <w:p>
            <w:r>
              <w:rPr>
                <w:rFonts w:ascii="Calibri" w:cs="Calibri" w:eastAsia="Calibri" w:hAnsi="Calibri"/>
                <w:b w:val="false"/>
                <w:bCs w:val="false"/>
                <w:i w:val="false"/>
                <w:iCs w:val="false"/>
                <w:strike w:val="false"/>
                <w:color w:val="000000"/>
                <w:sz w:val="20"/>
                <w:szCs w:val="20"/>
              </w:rPr>
              <w:t xml:space="preserve">Datalog-with-negation</w:t>
            </w:r>
          </w:p>
        </w:tc>
        <w:tc>
          <w:tcPr>
            <w:tcW w:type="pct" w:w="29%"/>
          </w:tcPr>
          <w:p>
            <w:r>
              <w:rPr>
                <w:rFonts w:ascii="Calibri" w:cs="Calibri" w:eastAsia="Calibri" w:hAnsi="Calibri"/>
                <w:b w:val="false"/>
                <w:bCs w:val="false"/>
                <w:i w:val="false"/>
                <w:iCs w:val="false"/>
                <w:strike w:val="false"/>
                <w:color w:val="000000"/>
                <w:sz w:val="20"/>
                <w:szCs w:val="20"/>
              </w:rPr>
              <w:t xml:space="preserve">Derive new Fact Units from existing ones across domain boundaries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hasEmployee(?org, ?person), locatedIn(?org, ?country) → subjectToLaborLaw(?person, ?country)</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Integrity Constraints</w:t>
            </w:r>
          </w:p>
        </w:tc>
        <w:tc>
          <w:tcPr>
            <w:tcW w:type="pct" w:w="15%"/>
          </w:tcPr>
          <w:p>
            <w:r>
              <w:rPr>
                <w:rFonts w:ascii="Calibri" w:cs="Calibri" w:eastAsia="Calibri" w:hAnsi="Calibri"/>
                <w:b w:val="false"/>
                <w:bCs w:val="false"/>
                <w:i w:val="false"/>
                <w:iCs w:val="false"/>
                <w:strike w:val="false"/>
                <w:color w:val="000000"/>
                <w:sz w:val="20"/>
                <w:szCs w:val="20"/>
              </w:rPr>
              <w:t xml:space="preserve">Closed-world integrity rules</w:t>
            </w:r>
          </w:p>
        </w:tc>
        <w:tc>
          <w:tcPr>
            <w:tcW w:type="pct" w:w="29%"/>
          </w:tcPr>
          <w:p>
            <w:r>
              <w:rPr>
                <w:rFonts w:ascii="Calibri" w:cs="Calibri" w:eastAsia="Calibri" w:hAnsi="Calibri"/>
                <w:b w:val="false"/>
                <w:bCs w:val="false"/>
                <w:i w:val="false"/>
                <w:iCs w:val="false"/>
                <w:strike w:val="false"/>
                <w:color w:val="000000"/>
                <w:sz w:val="20"/>
                <w:szCs w:val="20"/>
              </w:rPr>
              <w:t xml:space="preserve">Global constraints that no combination of Fact Units may violate; violation triggers UNDER_REVIEW flags</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NOT (isAlive(?person, ?t) AND dateOfDeath(?person, ?t2) AND ?t2 &lt;= ?t)</w:t>
            </w:r>
            <w:r>
              <w:rPr>
                <w:rFonts w:ascii="Calibri" w:cs="Calibri" w:eastAsia="Calibri" w:hAnsi="Calibri"/>
                <w:b w:val="false"/>
                <w:bCs w:val="false"/>
                <w:i w:val="false"/>
                <w:iCs w:val="false"/>
                <w:strike w:val="false"/>
                <w:color w:val="000000"/>
                <w:sz w:val="20"/>
                <w:szCs w:val="20"/>
              </w:rPr>
              <w:t xml:space="preserve"> — a person cannot be alive after their death date</w:t>
            </w:r>
          </w:p>
        </w:tc>
      </w:tr>
      <w:tr>
        <w:trPr>
          <w:tblHeader w:val="false"/>
        </w:trPr>
        <w:tc>
          <w:tcPr>
            <w:tcW w:type="pct" w:w="11%"/>
          </w:tcPr>
          <w:p>
            <w:r>
              <w:rPr>
                <w:rFonts w:ascii="Calibri" w:cs="Calibri" w:eastAsia="Calibri" w:hAnsi="Calibri"/>
                <w:b/>
                <w:bCs/>
                <w:i w:val="false"/>
                <w:iCs w:val="false"/>
                <w:strike w:val="false"/>
                <w:color w:val="000000"/>
                <w:sz w:val="22"/>
                <w:szCs w:val="22"/>
              </w:rPr>
              <w:t xml:space="preserve">Priority Rules</w:t>
            </w:r>
          </w:p>
        </w:tc>
        <w:tc>
          <w:tcPr>
            <w:tcW w:type="pct" w:w="15%"/>
          </w:tcPr>
          <w:p>
            <w:r>
              <w:rPr>
                <w:rFonts w:ascii="Calibri" w:cs="Calibri" w:eastAsia="Calibri" w:hAnsi="Calibri"/>
                <w:b w:val="false"/>
                <w:bCs w:val="false"/>
                <w:i w:val="false"/>
                <w:iCs w:val="false"/>
                <w:strike w:val="false"/>
                <w:color w:val="000000"/>
                <w:sz w:val="20"/>
                <w:szCs w:val="20"/>
              </w:rPr>
              <w:t xml:space="preserve">Priority orderings with conditions</w:t>
            </w:r>
          </w:p>
        </w:tc>
        <w:tc>
          <w:tcPr>
            <w:tcW w:type="pct" w:w="29%"/>
          </w:tcPr>
          <w:p>
            <w:r>
              <w:rPr>
                <w:rFonts w:ascii="Calibri" w:cs="Calibri" w:eastAsia="Calibri" w:hAnsi="Calibri"/>
                <w:b w:val="false"/>
                <w:bCs w:val="false"/>
                <w:i w:val="false"/>
                <w:iCs w:val="false"/>
                <w:strike w:val="false"/>
                <w:color w:val="000000"/>
                <w:sz w:val="20"/>
                <w:szCs w:val="20"/>
              </w:rPr>
              <w:t xml:space="preserve">When two domains assert conflicting facts, determine which takes precedence based on source authority, recency, and confidence</w:t>
            </w:r>
          </w:p>
        </w:tc>
        <w:tc>
          <w:tcPr>
            <w:tcW w:type="pct" w:w="45%"/>
          </w:tcPr>
          <w:p>
            <w:r>
              <w:rPr>
                <w:rFonts w:ascii="Calibri" w:cs="Calibri" w:eastAsia="Calibri" w:hAnsi="Calibri"/>
                <w:b w:val="false"/>
                <w:bCs w:val="false"/>
                <w:i w:val="false"/>
                <w:iCs w:val="false"/>
                <w:strike w:val="false"/>
                <w:color w:val="000000"/>
                <w:sz w:val="18"/>
                <w:szCs w:val="18"/>
                <w:shd w:fill="F3F4F6" w:color="auto" w:val="clear"/>
              </w:rPr>
              <w:t xml:space="preserve">IF conflict(MED:indication, FIN:marketData) AND domain=MED AND ConfidenceScore &gt; 0.8 THEN prefer 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17.3 Rule Syntax</w:t>
      </w:r>
    </w:p>
    <w:p>
      <w:pPr>
        <w:spacing w:after="120" w:line="360" w:lineRule="auto"/>
      </w:pPr>
      <w:r>
        <w:rPr>
          <w:rFonts w:ascii="Calibri" w:cs="Calibri" w:eastAsia="Calibri" w:hAnsi="Calibri"/>
          <w:b w:val="false"/>
          <w:bCs w:val="false"/>
          <w:i w:val="false"/>
          <w:iCs w:val="false"/>
          <w:strike w:val="false"/>
          <w:color w:val="000000"/>
          <w:sz w:val="22"/>
          <w:szCs w:val="22"/>
        </w:rPr>
        <w:t xml:space="preserve">CDRE rules are expressed in QB-Datalog, a Datalog-with-negation variant extended with: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Probabilistic weights on rule conclusions (the derived Fact Unit receives a ConfidenceScore computed from rule body confidence)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Temporal scoping operators anchoring rule applicability to specified time intervals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namespace qualifiers on all predicate and type references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Safety flag constraints on rule applicability and output</w:t>
      </w:r>
    </w:p>
    <w:p>
      <w:pPr>
        <w:pStyle w:val="Heading3"/>
        <w:spacing w:after="120" w:before="240" w:line="288" w:lineRule="auto"/>
      </w:pPr>
      <w:r>
        <w:rPr>
          <w:rFonts w:ascii="Calibri" w:cs="Calibri" w:eastAsia="Calibri" w:hAnsi="Calibri"/>
          <w:color w:val="000000"/>
          <w:sz w:val="30"/>
          <w:szCs w:val="30"/>
        </w:rPr>
        <w:t xml:space="preserve">17.3.1 QB-Datalog Syntax (BNF)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rule ::= head ":-" body ["@TIME" temporal_scope]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conf_expr]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safety_flags]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["@PRIORITY" uint32]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head ::= atom | "CONFLICT" "(" atom "," atom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"INTEGRITY_VIOLATION" "(" atom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body ::= literal ("," 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literal ::= atom | "NOT" atom | comparison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atom ::= predicate "(" term ("," term)*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predicate ::= [namespace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term ::= variable | constant | "_"</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variable ::= "?" identifier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constant ::= quoted_string | number | uuid_literal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comparison ::= term comparator term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comparator ::= "=" | "!=" | "&lt;" data-id="3472" | "&lt;=" | "&gt;" | "&gt;=" | "WITHIN"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temporal_scope ::= "[" time_expr "," time_expr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"CURRENT" | "ALL_TIME"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conf_expr ::= "min("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"product(" body_conf_vars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float_literal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safety_flags ::= safety_flag_name ("|" safety_flag_name)*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Terminological rule: medical drug equivalence to regulated substance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subjectToFDA(?drug)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MED:isMedication(?drug),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MED:approvedByRegulatoryBody(?drug, "FDA")</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min(conf(?drug)) @SAFETY SAFE @PRIORITY 100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Inference rule: employment jurisdiction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LAW:subjectToLaborLaw(?person, ?country)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ORG:hasEmployee(?org, ?person),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GEO:locatedIn(?org,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NOT LAW:diplomaticImmunity(?person,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@CONFIDENCE product(conf(?org, ?person), conf(?org, ?country))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@SAFETY RESTRICTED @PRIORITY 200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Integrity constraint: temporal life consistency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INTEGRITY_VIOLATION(FU_alive, FU_death)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BIO:isAlive(?person, ?t1),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BIO:dateOfDeath(?person, ?t2),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?t2 &lt;= data-id="3473" ?t1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Priority rule: medical authority over financial in health context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CONFLICT(FU_med, FU_fin)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FIN:marketedFor(?drug, ?condition),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MED:contraindicates.confidence(?drug, ?condition) &gt; 0.75 .</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17.4 Rule Execution Engine</w:t>
      </w:r>
    </w:p>
    <w:p>
      <w:pPr>
        <w:pStyle w:val="Heading3"/>
        <w:spacing w:after="120" w:before="240" w:line="288" w:lineRule="auto"/>
      </w:pPr>
      <w:r>
        <w:rPr>
          <w:rFonts w:ascii="Calibri" w:cs="Calibri" w:eastAsia="Calibri" w:hAnsi="Calibri"/>
          <w:color w:val="000000"/>
          <w:sz w:val="30"/>
          <w:szCs w:val="30"/>
        </w:rPr>
        <w:t xml:space="preserve">17.4.1 Incremental Forward Chaining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executes rules using incremental forward chaining over the Fact Graph, implemented via the Differential Dataflow execution model. Rather than re-evaluating all rules from scratch on each Fact Graph modification, the CDRE maintains a set of materialized rule derivations and incrementally updates them as Fact Units are added, modified, or removed: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Change propagation:</w:t>
      </w:r>
      <w:r>
        <w:rPr>
          <w:rFonts w:ascii="Calibri" w:cs="Calibri" w:eastAsia="Calibri" w:hAnsi="Calibri"/>
          <w:b w:val="false"/>
          <w:bCs w:val="false"/>
          <w:i w:val="false"/>
          <w:iCs w:val="false"/>
          <w:strike w:val="false"/>
          <w:color w:val="000000"/>
          <w:sz w:val="22"/>
          <w:szCs w:val="22"/>
        </w:rPr>
        <w:t xml:space="preserve"> When a new Fact Unit FU_new is inserted into the Fact Graph, the CDRE identifies all rules whose body contains a predicate that matches FU_new's PredicateRef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Incremental join evaluation:</w:t>
      </w:r>
      <w:r>
        <w:rPr>
          <w:rFonts w:ascii="Calibri" w:cs="Calibri" w:eastAsia="Calibri" w:hAnsi="Calibri"/>
          <w:b w:val="false"/>
          <w:bCs w:val="false"/>
          <w:i w:val="false"/>
          <w:iCs w:val="false"/>
          <w:strike w:val="false"/>
          <w:color w:val="000000"/>
          <w:sz w:val="22"/>
          <w:szCs w:val="22"/>
        </w:rPr>
        <w:t xml:space="preserve"> For each matching rule, the CDRE performs an incremental join over the existing materialized intermediate results to compute new derived facts that were not derivable before FU_new's insertion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The CDRE evaluates all CONFLICT-head rules to identify newly introduced conflicts; detected conflicts are recorded in the Conflict Index and the involved Fact Units receive the UNDER_REVIEW SafetyFlag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Derived Fact Unit insertion:</w:t>
      </w:r>
      <w:r>
        <w:rPr>
          <w:rFonts w:ascii="Calibri" w:cs="Calibri" w:eastAsia="Calibri" w:hAnsi="Calibri"/>
          <w:b w:val="false"/>
          <w:bCs w:val="false"/>
          <w:i w:val="false"/>
          <w:iCs w:val="false"/>
          <w:strike w:val="false"/>
          <w:color w:val="000000"/>
          <w:sz w:val="22"/>
          <w:szCs w:val="22"/>
        </w:rPr>
        <w:t xml:space="preserve"> New Fact Units derived by inference rules are submitted to the Ingestion Pipeline as derived Fact Units (with FactType from the rule head, InputFUIDs from the rule body, and AgentID = CDRE_SERVICE)</w:t>
      </w:r>
    </w:p>
    <w:p>
      <w:pPr>
        <w:pStyle w:val="Heading3"/>
        <w:spacing w:after="120" w:before="240" w:line="288" w:lineRule="auto"/>
      </w:pPr>
      <w:r>
        <w:rPr>
          <w:rFonts w:ascii="Calibri" w:cs="Calibri" w:eastAsia="Calibri" w:hAnsi="Calibri"/>
          <w:color w:val="000000"/>
          <w:sz w:val="30"/>
          <w:szCs w:val="30"/>
        </w:rPr>
        <w:t xml:space="preserve">17.4.2 Conflict Detection and Resolution Reporting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CDRE maintains a Conflict Index — a persistent map of (FUID_A, FUID_B, ConflictRuleID, DetectedAt) tuples representing all currently active conflicts in the Fact Graph. Entries in the Conflict Index are resolved and removed when: (a) one of the conflicting Fact Units is transitioned to SUPERSEDED, ARCHIVED, or PURGED; (b) a Priority Rule is applied and one Fact Unit's ConfidenceScore is downgraded below the conflict resolution threshold; or (c) a human reviewer explicitly marks the conflict as RESOLVED with a justification recorded in the Provenance Ledger.</w:t>
      </w:r>
    </w:p>
    <w:p>
      <w:pPr>
        <w:pStyle w:val="Heading2"/>
        <w:spacing w:after="120" w:before="240" w:line="288" w:lineRule="auto"/>
      </w:pPr>
      <w:r>
        <w:rPr>
          <w:rFonts w:ascii="Calibri" w:cs="Calibri" w:eastAsia="Calibri" w:hAnsi="Calibri"/>
          <w:color w:val="000000"/>
          <w:sz w:val="36"/>
          <w:szCs w:val="36"/>
        </w:rPr>
        <w:t xml:space="preserve">17.5 Rule Governance</w:t>
      </w:r>
    </w:p>
    <w:p>
      <w:pPr>
        <w:pStyle w:val="Heading3"/>
        <w:spacing w:after="120" w:before="240" w:line="288" w:lineRule="auto"/>
      </w:pPr>
      <w:r>
        <w:rPr>
          <w:rFonts w:ascii="Calibri" w:cs="Calibri" w:eastAsia="Calibri" w:hAnsi="Calibri"/>
          <w:color w:val="000000"/>
          <w:sz w:val="30"/>
          <w:szCs w:val="30"/>
        </w:rPr>
        <w:t xml:space="preserve">17.5.1 Rule Authoring Workflow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Draft submission:</w:t>
      </w:r>
      <w:r>
        <w:rPr>
          <w:rFonts w:ascii="Calibri" w:cs="Calibri" w:eastAsia="Calibri" w:hAnsi="Calibri"/>
          <w:b w:val="false"/>
          <w:bCs w:val="false"/>
          <w:i w:val="false"/>
          <w:iCs w:val="false"/>
          <w:strike w:val="false"/>
          <w:color w:val="000000"/>
          <w:sz w:val="22"/>
          <w:szCs w:val="22"/>
        </w:rPr>
        <w:t xml:space="preserve"> Rule author submits a new QB-Datalog rule via the CDRE Rule Management API, including: rule text, affected domain namespaces, estimated impact (number of Fact Units affected), and justification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The Rule Compiler validates QB-Datalog syntax; checks for range-restrictedness (all head variables appear in body); detects potential rule interactions (rules that could trigger each other in infinite loops); estimates materialization cost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CDRE Rule Simulator runs the new rule against a read-only snapshot of the production Fact Graph and reports: number of new derived Fact Units produced, number of conflicts detected, number of existing Fact Units that would receive UNDER_REVIEW flags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approval:</w:t>
      </w:r>
      <w:r>
        <w:rPr>
          <w:rFonts w:ascii="Calibri" w:cs="Calibri" w:eastAsia="Calibri" w:hAnsi="Calibri"/>
          <w:b w:val="false"/>
          <w:bCs w:val="false"/>
          <w:i w:val="false"/>
          <w:iCs w:val="false"/>
          <w:strike w:val="false"/>
          <w:color w:val="000000"/>
          <w:sz w:val="22"/>
          <w:szCs w:val="22"/>
        </w:rPr>
        <w:t xml:space="preserve"> Rules with high impact (&gt;10,000 affected Fact Units or &gt;100 new conflicts) require approval from two designated Ontology Stewards; low-impact rules require single-Steward approval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Staged deployment:</w:t>
      </w:r>
      <w:r>
        <w:rPr>
          <w:rFonts w:ascii="Calibri" w:cs="Calibri" w:eastAsia="Calibri" w:hAnsi="Calibri"/>
          <w:b w:val="false"/>
          <w:bCs w:val="false"/>
          <w:i w:val="false"/>
          <w:iCs w:val="false"/>
          <w:strike w:val="false"/>
          <w:color w:val="000000"/>
          <w:sz w:val="22"/>
          <w:szCs w:val="22"/>
        </w:rPr>
        <w:t xml:space="preserve"> Approved rules are deployed first to a 10% traffic shadow mode (rule executes but produces no Fact Unit changes, only logs what it would have done), then to full production with monitoring for 48 hours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Rollback:</w:t>
      </w:r>
      <w:r>
        <w:rPr>
          <w:rFonts w:ascii="Calibri" w:cs="Calibri" w:eastAsia="Calibri" w:hAnsi="Calibri"/>
          <w:b w:val="false"/>
          <w:bCs w:val="false"/>
          <w:i w:val="false"/>
          <w:iCs w:val="false"/>
          <w:strike w:val="false"/>
          <w:color w:val="000000"/>
          <w:sz w:val="22"/>
          <w:szCs w:val="22"/>
        </w:rPr>
        <w:t xml:space="preserve"> Rules can be disabled (not deleted) at any time; disabling a rule triggers re-evaluation of all Fact Units derived by that rule for potential retraction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 — QUERY LANGUAGE AND API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 Executive Summary</w:t>
            </w:r>
            <w:r>
              <w:rPr>
                <w:rFonts w:ascii="Calibri" w:cs="Calibri" w:eastAsia="Calibri" w:hAnsi="Calibri"/>
                <w:b/>
                <w:bCs/>
                <w:i w:val="false"/>
                <w:iCs w:val="false"/>
                <w:strike w:val="false"/>
                <w:color w:val="333333"/>
                <w:sz w:val="24"/>
                <w:szCs w:val="24"/>
              </w:rPr>
              <w:t xml:space="preserve">Part XVII specifies QB-Query — QueryBook's native declarative query language that combines graph pattern matching, temporal operators, probabilistic selection, and Scenario Graph traversal in a unified syntax. It defines the complete syntax elements (MATCH, WHERE, ACROSS SCENARIOS, RETURN, REGENERATE AS, EXPLAIN clauses), the query optimizer architecture, and the query planning methodology. This Part is the primary reference for patent Cluster O claims.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 Query Language and API</w:t>
      </w:r>
    </w:p>
    <w:p>
      <w:pPr>
        <w:pStyle w:val="Heading1"/>
        <w:spacing w:after="120" w:before="240" w:line="288" w:lineRule="auto"/>
      </w:pPr>
      <w:r>
        <w:rPr>
          <w:rFonts w:ascii="Calibri" w:cs="Calibri" w:eastAsia="Calibri" w:hAnsi="Calibri"/>
          <w:color w:val="000000"/>
          <w:sz w:val="48"/>
          <w:szCs w:val="48"/>
        </w:rPr>
        <w:t xml:space="preserve">Chapter 18: QB-Query Language — Complete Specification</w:t>
      </w:r>
    </w:p>
    <w:p>
      <w:pPr>
        <w:pStyle w:val="Heading2"/>
        <w:spacing w:after="120" w:before="240" w:line="288" w:lineRule="auto"/>
      </w:pPr>
      <w:r>
        <w:rPr>
          <w:rFonts w:ascii="Calibri" w:cs="Calibri" w:eastAsia="Calibri" w:hAnsi="Calibri"/>
          <w:color w:val="000000"/>
          <w:sz w:val="36"/>
          <w:szCs w:val="36"/>
        </w:rPr>
        <w:t xml:space="preserve">18.1 QB-Query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QueryBook's native declarative query language. It is designed to express the full range of operations possible against the QueryBook knowledge system — from simple Fact Unit lookup by FUID, to complex multi-hop graph pattern matching with temporal constraints and probabilistic filtering, to Scenario Graph traversal across hypothetical world states, to natural language knowledge regeneration in any supported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is inspired by and extends three existing query languages: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SPARQL 1.1</w:t>
      </w:r>
      <w:r>
        <w:rPr>
          <w:rFonts w:ascii="Calibri" w:cs="Calibri" w:eastAsia="Calibri" w:hAnsi="Calibri"/>
          <w:b w:val="false"/>
          <w:bCs w:val="false"/>
          <w:i w:val="false"/>
          <w:iCs w:val="false"/>
          <w:strike w:val="false"/>
          <w:color w:val="000000"/>
          <w:sz w:val="22"/>
          <w:szCs w:val="22"/>
        </w:rPr>
        <w:t xml:space="preserve"> for RDF triple pattern matching semantics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Cypher (openCypher)</w:t>
      </w:r>
      <w:r>
        <w:rPr>
          <w:rFonts w:ascii="Calibri" w:cs="Calibri" w:eastAsia="Calibri" w:hAnsi="Calibri"/>
          <w:b w:val="false"/>
          <w:bCs w:val="false"/>
          <w:i w:val="false"/>
          <w:iCs w:val="false"/>
          <w:strike w:val="false"/>
          <w:color w:val="000000"/>
          <w:sz w:val="22"/>
          <w:szCs w:val="22"/>
        </w:rPr>
        <w:t xml:space="preserve"> for property graph traversal syntax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SQL window functions</w:t>
      </w:r>
      <w:r>
        <w:rPr>
          <w:rFonts w:ascii="Calibri" w:cs="Calibri" w:eastAsia="Calibri" w:hAnsi="Calibri"/>
          <w:b w:val="false"/>
          <w:bCs w:val="false"/>
          <w:i w:val="false"/>
          <w:iCs w:val="false"/>
          <w:strike w:val="false"/>
          <w:color w:val="000000"/>
          <w:sz w:val="22"/>
          <w:szCs w:val="22"/>
        </w:rPr>
        <w:t xml:space="preserve"> for temporal range and ordering operators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QB-Query adds four capabilities that have no precedent in any of these languages: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ACROSS SCENARIOS</w:t>
      </w:r>
      <w:r>
        <w:rPr>
          <w:rFonts w:ascii="Calibri" w:cs="Calibri" w:eastAsia="Calibri" w:hAnsi="Calibri"/>
          <w:b w:val="false"/>
          <w:bCs w:val="false"/>
          <w:i w:val="false"/>
          <w:iCs w:val="false"/>
          <w:strike w:val="false"/>
          <w:color w:val="000000"/>
          <w:sz w:val="22"/>
          <w:szCs w:val="22"/>
        </w:rPr>
        <w:t xml:space="preserve"> clause for querying across Scenario Graph branches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REGENERATE AS</w:t>
      </w:r>
      <w:r>
        <w:rPr>
          <w:rFonts w:ascii="Calibri" w:cs="Calibri" w:eastAsia="Calibri" w:hAnsi="Calibri"/>
          <w:b w:val="false"/>
          <w:bCs w:val="false"/>
          <w:i w:val="false"/>
          <w:iCs w:val="false"/>
          <w:strike w:val="false"/>
          <w:color w:val="000000"/>
          <w:sz w:val="22"/>
          <w:szCs w:val="22"/>
        </w:rPr>
        <w:t xml:space="preserve"> clause for invoking the MRE from within a query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Native </w:t>
      </w:r>
      <w:r>
        <w:rPr>
          <w:rFonts w:ascii="Calibri" w:cs="Calibri" w:eastAsia="Calibri" w:hAnsi="Calibri"/>
          <w:b/>
          <w:bCs/>
          <w:i w:val="false"/>
          <w:iCs w:val="false"/>
          <w:strike w:val="false"/>
          <w:color w:val="000000"/>
          <w:sz w:val="22"/>
          <w:szCs w:val="22"/>
        </w:rPr>
        <w:t xml:space="preserve">CONFIDENCE</w:t>
      </w:r>
      <w:r>
        <w:rPr>
          <w:rFonts w:ascii="Calibri" w:cs="Calibri" w:eastAsia="Calibri" w:hAnsi="Calibri"/>
          <w:b w:val="false"/>
          <w:bCs w:val="false"/>
          <w:i w:val="false"/>
          <w:iCs w:val="false"/>
          <w:strike w:val="false"/>
          <w:color w:val="000000"/>
          <w:sz w:val="22"/>
          <w:szCs w:val="22"/>
        </w:rPr>
        <w:t xml:space="preserve"> predicates for filtering and sorting by epistemic certainty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EXPLAIN</w:t>
      </w:r>
      <w:r>
        <w:rPr>
          <w:rFonts w:ascii="Calibri" w:cs="Calibri" w:eastAsia="Calibri" w:hAnsi="Calibri"/>
          <w:b w:val="false"/>
          <w:bCs w:val="false"/>
          <w:i w:val="false"/>
          <w:iCs w:val="false"/>
          <w:strike w:val="false"/>
          <w:color w:val="000000"/>
          <w:sz w:val="22"/>
          <w:szCs w:val="22"/>
        </w:rPr>
        <w:t xml:space="preserve"> clause for returning Fact Lineage alongside results</w:t>
      </w:r>
    </w:p>
    <w:p>
      <w:pPr>
        <w:pStyle w:val="Heading2"/>
        <w:spacing w:after="120" w:before="240" w:line="288" w:lineRule="auto"/>
      </w:pPr>
      <w:r>
        <w:rPr>
          <w:rFonts w:ascii="Calibri" w:cs="Calibri" w:eastAsia="Calibri" w:hAnsi="Calibri"/>
          <w:color w:val="000000"/>
          <w:sz w:val="36"/>
          <w:szCs w:val="36"/>
        </w:rPr>
        <w:t xml:space="preserve">18.2 QB-Query Syntax Elements</w:t>
      </w:r>
    </w:p>
    <w:p>
      <w:pPr>
        <w:pStyle w:val="Heading3"/>
        <w:spacing w:after="120" w:before="240" w:line="288" w:lineRule="auto"/>
      </w:pPr>
      <w:r>
        <w:rPr>
          <w:rFonts w:ascii="Calibri" w:cs="Calibri" w:eastAsia="Calibri" w:hAnsi="Calibri"/>
          <w:color w:val="000000"/>
          <w:sz w:val="30"/>
          <w:szCs w:val="30"/>
        </w:rPr>
        <w:t xml:space="preserve">18.2.1 MATCH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MATCH clause defines a graph pattern over Fact Units with typed edge traversal. It uses a path expression syntax where nodes are Fact Unit variables and edges are typed PredicateRefs.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MATCH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MATCH (fu1:FactType1 {field: value})-[r:PredicateRef]-&gt;(fu2:FactType2)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(fu2)-[:AnotherPredicate*1..3]-&gt;(fu3)</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Node pattern: (variable:FactType {field_filter})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Edge pattern: [variable:PredicateRef] or [variable:PredicateRef*min..max] for path length ranges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Direction: -&gt; (outgoing), &lt;- data-id="3533" (incoming), -- (undirected)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FactType and PredicateRef may use domain namespace qualifier: MED:DIAGNOSIS, SCI:FINDING</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(study:SCI:ResearchStudy)-[:SCI:hasResult]-&gt;(result:SCI:ExperimentalResult)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(result)-[:SCI:supports]-&gt;(claim:SCI:ScientificClaim)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result.ConfidenceScore &gt;= 0.80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study.TemporalAnchor.T_start &gt;= 2020-01-01T00:00:00Z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study, result, claim</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18.2.2 WHERE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WHERE clause applies filter expressions over Fact Unit fields, supporting temporal predicates, confidence predicates, spatial predicates, SafetyFlags tests, and full-text semantic predicates.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WHERE CLAUSE FILTER PREDICATES: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Confidence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fu.ConfidenceScore &gt;= 0.75 AND fu.ConfidenceScore &lt;= data-id="3537" 1.0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(overlaps with interval)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 OVERLAPS [2020-01-01T00:00:00Z, 2023-12-31T23:59:59Z]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Temporal predicate (before/after)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fu.TemporalAnchor.T_start AFTER 2022-01-01T00:00:00Z</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Spatial predicate (within radius)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fu.SpatialAnchor WITHIN_RADIUS_KM(37.7749, -122.4194, 50)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SafetyFlags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fu.SafetyFlags NOT CONTAINS RESTRICTED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fu.SafetyFlags NOT CONTAINS HAZARDOUS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Semantic similarity predicate (semantic search)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"mRNA vaccine efficacy against Omicron variant" THRESHOLD 0.85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FactType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fu.FactType IN (SCI:ExperimentalResult, SCI:MetaAnalysisResult)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SubjectRef entity type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fu.SubjectRef.EntityType = MED:ClinicalTrial</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Annotation predicate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fu.AnnotationSet["qb:prediction.outcome"] = "CONFIRMED"</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18.2.3 ACROSS SCENARIOS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ACROSS SCENARIOS clause is the signature QB-Query extension enabling multi-branch Scenario Graph queries.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ACROSS SCENARIOS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ACROSS SCENARIOS scenario_graph_id [BRANCHES branch_filter] [WEIGHTED BY probability]</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scenario_graph_id: UUID of the Scenario Graph to query across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optional filter selecting specific KSS nodes to include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ALL (default): all branches above PruningThreshold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ROBUST_ONLY: only facts true in all branches (intersection)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BRANCH(kss_id): specific named branch</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PROBABILITY_GT(0.1): branches with CumulativeProbability &gt;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result rows include CumulativeProbability as a weight column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FULL 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(company:FIN:Company)-[:FIN:hasRevenue]-&gt;(revenue:FIN:Measurement)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ACROSS SCENARIOS "550e8400-e29b-41d4-a716-446655440000"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BRANCHES PROBABILITY_GT(0.05)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WEIGHTED BY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revenue.TemporalAnchor OVERLAPS [2026-01-01Z, 2027-01-01Z]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company.name, revenue.ObjectValue, probability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probability DESC, revenue.ObjectValue DESC</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Result: all projected revenue values across all scenarios with probability &gt; 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Each row includes the scenario branch's CumulativeProbability as weight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Enables expected value computation: SUM(revenue * probability) / SUM(probability)</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18.2.4 RETURN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RETURN clause specifies the output fields, aggregations, and ordering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RETURN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RETURN expression [AS alias] (, expression [AS alias])*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[ORDER BY expression [ASC|DESC] (, expression [ASC|DESC])*]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[LIMIT n] [SKIP 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Supported expressions: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variable.field (e.g., fu1.ConfidenceScore)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 (full Fact Unit as structured object)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COUNT(variable)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AVG(variable.field), SUM(variable.field), MIN, MAX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COLLECT(variable) -- collect into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EXISTS((pattern)) -- boolean subquery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variable.FUID, variable.SemanticHash, variable.TemporalAnchor</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claim.SubjectRef.name AS entity_name,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COUNT(result) AS supporting_study_count,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AVG(result.ConfidenceScore) AS avg_confidence,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COLLECT(study.FUID) AS study_ids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ORDER BY avg_confidence DESC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20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18.2.5 REGENERATE AS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REGENERATE AS clause invokes the MRE to transform the query result set into grounded natural language output.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REGENERATE AS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REGENERATE AS LANGUAGE language_tag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style_enum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audience_model_id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narrative_graph_id]</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language_tag: BCP-47 language tag (e.g., "en", "zh-Hans", "de", "ar")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style_enum: EXPOSITORY | ARGUMENTATIVE | DESCRIPTIVE | ANALYTICAL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INSTRUCTIONAL | CONVERSATIONAL | EXECUTIVE_SUMMARY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audience_model_id: UUID of audience model in Audience Model Registry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optional output length constraint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NARRATIVE_GRAPH: optionally specify a pre-built Narrative Graph for regeneration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(drug:MED:Drug)-[:MED:treats]-&gt;(disease:MED:Disease)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(drug)-[:MED:hasTrialResult]-&gt;(trial:MED:ClinicalTrial)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disease.SubjectRef.name = "Type 2 Diabetes"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trial.ConfidenceScore &gt;= 0.75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AND trial.TemporalAnchor.T_start AFTER 2020-01-01Z</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drug, disease, trial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REGENERATE AS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LANGUAGE "en"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STYLE ANALYTICAL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AUDIENCE "550e8400-e29b-41d4-a716-446655441234" -- Medical professional audience model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MAX_TOKENS 500</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18.2.6 EXPLAIN Clause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EXPLAIN clause appends Fact Lineage information to each result row, enabling full auditability of query results.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EXPLAIN CLAUSE SYNTAX: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EXPLAIN [LINEAGE depth] [QUERY_PLAN]</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LINEAGE depth: include Provenance chain up to 'depth' hops back from each result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1: immediate parent Provenance Records only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EXPLAIN LINEAGE ALL: full backward traversal to raw ingestion events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QUERY_PLAN: return the query optimizer's execution plan instead of (or in addition to) results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EXAMPLE: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MATCH (fu:SCI:ScientificClaim)</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WHERE fu SEMANTIC_SIMILAR_TO "CRISPR gene editing cancer therapy" THRESHOLD 0.82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RETURN fu</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EXPLAIN LINEAGE 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LIMIT 5</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Each result row includes: the Fact Unit fields AND a lineage_chain array</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containing up to 2 levels of Provenance Records, enabling the caller to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verify the source of each claim without a separate lineage API call</w:t>
            </w:r>
          </w:p>
        </w:tc>
      </w:tr>
    </w:tbl>
    <w:p>
      <w:pPr>
        <w:spacing w:after="240" w:before="0"/>
      </w:pPr>
    </w:p>
    <w:p>
      <w:pPr>
        <w:pStyle w:val="Heading2"/>
        <w:spacing w:after="120" w:before="240" w:line="288" w:lineRule="auto"/>
      </w:pPr>
      <w:r>
        <w:rPr>
          <w:rFonts w:ascii="Calibri" w:cs="Calibri" w:eastAsia="Calibri" w:hAnsi="Calibri"/>
          <w:color w:val="000000"/>
          <w:sz w:val="36"/>
          <w:szCs w:val="36"/>
        </w:rPr>
        <w:t xml:space="preserve">18.3 Query Optimization</w:t>
      </w:r>
    </w:p>
    <w:p>
      <w:pPr>
        <w:pStyle w:val="Heading3"/>
        <w:spacing w:after="120" w:before="240" w:line="288" w:lineRule="auto"/>
      </w:pPr>
      <w:r>
        <w:rPr>
          <w:rFonts w:ascii="Calibri" w:cs="Calibri" w:eastAsia="Calibri" w:hAnsi="Calibri"/>
          <w:color w:val="000000"/>
          <w:sz w:val="30"/>
          <w:szCs w:val="30"/>
        </w:rPr>
        <w:t xml:space="preserve">18.3.1 Query Planner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QB-Query Optimizer transforms a parsed QB-Query expression into an optimal physical execution plan using a cost-based optimizer with the following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Optimizer Component</w:t>
            </w:r>
          </w:p>
        </w:tc>
        <w:tc>
          <w:tcPr>
            <w:tcW w:type="pct" w:w="85%"/>
            <w:shd w:fill="DCE6F0" w:color="auto" w:val="clear"/>
          </w:tcPr>
          <w:p>
            <w:r>
              <w:rPr>
                <w:rFonts w:ascii="Calibri" w:cs="Calibri" w:eastAsia="Calibri" w:hAnsi="Calibri"/>
                <w:b/>
                <w:bCs/>
                <w:i w:val="false"/>
                <w:iCs w:val="false"/>
                <w:strike w:val="false"/>
                <w:color w:val="0D2A5E"/>
                <w:sz w:val="20"/>
                <w:szCs w:val="20"/>
              </w:rPr>
              <w:t xml:space="preserve">Responsibility</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Parser</w:t>
            </w:r>
          </w:p>
        </w:tc>
        <w:tc>
          <w:tcPr>
            <w:tcW w:type="pct" w:w="85%"/>
          </w:tcPr>
          <w:p>
            <w:r>
              <w:rPr>
                <w:rFonts w:ascii="Calibri" w:cs="Calibri" w:eastAsia="Calibri" w:hAnsi="Calibri"/>
                <w:b w:val="false"/>
                <w:bCs w:val="false"/>
                <w:i w:val="false"/>
                <w:iCs w:val="false"/>
                <w:strike w:val="false"/>
                <w:color w:val="000000"/>
                <w:sz w:val="20"/>
                <w:szCs w:val="20"/>
              </w:rPr>
              <w:t xml:space="preserve">Converts QB-Query text to an abstract syntax tree (AST)</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Logical Planner</w:t>
            </w:r>
          </w:p>
        </w:tc>
        <w:tc>
          <w:tcPr>
            <w:tcW w:type="pct" w:w="85%"/>
          </w:tcPr>
          <w:p>
            <w:r>
              <w:rPr>
                <w:rFonts w:ascii="Calibri" w:cs="Calibri" w:eastAsia="Calibri" w:hAnsi="Calibri"/>
                <w:b w:val="false"/>
                <w:bCs w:val="false"/>
                <w:i w:val="false"/>
                <w:iCs w:val="false"/>
                <w:strike w:val="false"/>
                <w:color w:val="000000"/>
                <w:sz w:val="20"/>
                <w:szCs w:val="20"/>
              </w:rPr>
              <w:t xml:space="preserve">Converts AST to a logical plan (relational algebra extended with graph operators); applies predicate pushdown, dead-code elimination, and MATCH clause reordering</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Cardinality Estimator</w:t>
            </w:r>
          </w:p>
        </w:tc>
        <w:tc>
          <w:tcPr>
            <w:tcW w:type="pct" w:w="85%"/>
          </w:tcPr>
          <w:p>
            <w:r>
              <w:rPr>
                <w:rFonts w:ascii="Calibri" w:cs="Calibri" w:eastAsia="Calibri" w:hAnsi="Calibri"/>
                <w:b w:val="false"/>
                <w:bCs w:val="false"/>
                <w:i w:val="false"/>
                <w:iCs w:val="false"/>
                <w:strike w:val="false"/>
                <w:color w:val="000000"/>
                <w:sz w:val="20"/>
                <w:szCs w:val="20"/>
              </w:rPr>
              <w:t xml:space="preserve">Estimates the number of Fact Units satisfying each predicate using maintained statistics: per-FactType Fact Unit counts, per-predicate selectivity histograms, per-domain ConfidenceScore distributions, and per-entity degree distributions in the Fact Graph</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Index Selector</w:t>
            </w:r>
          </w:p>
        </w:tc>
        <w:tc>
          <w:tcPr>
            <w:tcW w:type="pct" w:w="85%"/>
          </w:tcPr>
          <w:p>
            <w:r>
              <w:rPr>
                <w:rFonts w:ascii="Calibri" w:cs="Calibri" w:eastAsia="Calibri" w:hAnsi="Calibri"/>
                <w:b w:val="false"/>
                <w:bCs w:val="false"/>
                <w:i w:val="false"/>
                <w:iCs w:val="false"/>
                <w:strike w:val="false"/>
                <w:color w:val="000000"/>
                <w:sz w:val="20"/>
                <w:szCs w:val="20"/>
              </w:rPr>
              <w:t xml:space="preserve">Chooses between: FUID primary index, FactType inverted index, SemanticHash hash index, HNSW vector index (for SEMANTIC_SIMILAR_TO predicates), temporal interval tree (for OVERLAPS predicates), SDR Hamming index (for NCL-routed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Join Orderer</w:t>
            </w:r>
          </w:p>
        </w:tc>
        <w:tc>
          <w:tcPr>
            <w:tcW w:type="pct" w:w="85%"/>
          </w:tcPr>
          <w:p>
            <w:r>
              <w:rPr>
                <w:rFonts w:ascii="Calibri" w:cs="Calibri" w:eastAsia="Calibri" w:hAnsi="Calibri"/>
                <w:b w:val="false"/>
                <w:bCs w:val="false"/>
                <w:i w:val="false"/>
                <w:iCs w:val="false"/>
                <w:strike w:val="false"/>
                <w:color w:val="000000"/>
                <w:sz w:val="20"/>
                <w:szCs w:val="20"/>
              </w:rPr>
              <w:t xml:space="preserve">For multi-hop MATCH clauses, determines the optimal traversal order through the Fact Graph using dynamic programming over the cardinality estimates; favors starting traversal from the most selective predicate</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Physical Plan Generator</w:t>
            </w:r>
          </w:p>
        </w:tc>
        <w:tc>
          <w:tcPr>
            <w:tcW w:type="pct" w:w="85%"/>
          </w:tcPr>
          <w:p>
            <w:r>
              <w:rPr>
                <w:rFonts w:ascii="Calibri" w:cs="Calibri" w:eastAsia="Calibri" w:hAnsi="Calibri"/>
                <w:b w:val="false"/>
                <w:bCs w:val="false"/>
                <w:i w:val="false"/>
                <w:iCs w:val="false"/>
                <w:strike w:val="false"/>
                <w:color w:val="000000"/>
                <w:sz w:val="20"/>
                <w:szCs w:val="20"/>
              </w:rPr>
              <w:t xml:space="preserve">Maps the logical plan to physical operators: IndexScan, GraphTraversal, HashJoin, SDRLookup, VectorSearch, ScatterGather (for cross-shard queries), AcrossScenarios (for Scenario Graph queries)</w:t>
            </w:r>
          </w:p>
        </w:tc>
      </w:tr>
      <w:tr>
        <w:trPr>
          <w:tblHeader w:val="false"/>
        </w:trPr>
        <w:tc>
          <w:tcPr>
            <w:tcW w:type="pct" w:w="15%"/>
          </w:tcPr>
          <w:p>
            <w:r>
              <w:rPr>
                <w:rFonts w:ascii="Calibri" w:cs="Calibri" w:eastAsia="Calibri" w:hAnsi="Calibri"/>
                <w:b w:val="false"/>
                <w:bCs w:val="false"/>
                <w:i w:val="false"/>
                <w:iCs w:val="false"/>
                <w:strike w:val="false"/>
                <w:color w:val="000000"/>
                <w:sz w:val="20"/>
                <w:szCs w:val="20"/>
              </w:rPr>
              <w:t xml:space="preserve">Adaptive Re-planner</w:t>
            </w:r>
          </w:p>
        </w:tc>
        <w:tc>
          <w:tcPr>
            <w:tcW w:type="pct" w:w="85%"/>
          </w:tcPr>
          <w:p>
            <w:r>
              <w:rPr>
                <w:rFonts w:ascii="Calibri" w:cs="Calibri" w:eastAsia="Calibri" w:hAnsi="Calibri"/>
                <w:b w:val="false"/>
                <w:bCs w:val="false"/>
                <w:i w:val="false"/>
                <w:iCs w:val="false"/>
                <w:strike w:val="false"/>
                <w:color w:val="000000"/>
                <w:sz w:val="20"/>
                <w:szCs w:val="20"/>
              </w:rPr>
              <w:t xml:space="preserve">Monitors cardinality at runtime; if actual intermediate result sizes deviate from estimates by more than 10×, triggers mid-execution re-planning to switch join strategies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XVIII — SYSTEM INTEGRATION AND DEPLOYMENT</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XVIII Executive Summary</w:t>
            </w:r>
            <w:r>
              <w:rPr>
                <w:rFonts w:ascii="Calibri" w:cs="Calibri" w:eastAsia="Calibri" w:hAnsi="Calibri"/>
                <w:b/>
                <w:bCs/>
                <w:i w:val="false"/>
                <w:iCs w:val="false"/>
                <w:strike w:val="false"/>
                <w:color w:val="333333"/>
                <w:sz w:val="24"/>
                <w:szCs w:val="24"/>
              </w:rPr>
              <w:t xml:space="preserve">Part XVIII specifies the deployment architecture of QueryBook, including the complete microservices inventory, Kubernetes deployment specifications, observability stack, and SDK/integration library specifications. This Part provides the engineering reference needed to deploy, operate, and scale a QueryBook instance.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XVIII: System Integration and Deployment</w:t>
      </w:r>
    </w:p>
    <w:p>
      <w:pPr>
        <w:pStyle w:val="Heading1"/>
        <w:spacing w:after="120" w:before="240" w:line="288" w:lineRule="auto"/>
      </w:pPr>
      <w:r>
        <w:rPr>
          <w:rFonts w:ascii="Calibri" w:cs="Calibri" w:eastAsia="Calibri" w:hAnsi="Calibri"/>
          <w:color w:val="000000"/>
          <w:sz w:val="48"/>
          <w:szCs w:val="48"/>
        </w:rPr>
        <w:t xml:space="preserve">Chapter 19: Deployment Architecture</w:t>
      </w:r>
    </w:p>
    <w:p>
      <w:pPr>
        <w:pStyle w:val="Heading2"/>
        <w:spacing w:after="120" w:before="240" w:line="288" w:lineRule="auto"/>
      </w:pPr>
      <w:r>
        <w:rPr>
          <w:rFonts w:ascii="Calibri" w:cs="Calibri" w:eastAsia="Calibri" w:hAnsi="Calibri"/>
          <w:color w:val="000000"/>
          <w:sz w:val="36"/>
          <w:szCs w:val="36"/>
        </w:rPr>
        <w:t xml:space="preserve">19.1 Microservices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37%"/>
            <w:shd w:fill="DCE6F0" w:color="auto" w:val="clear"/>
          </w:tcPr>
          <w:p>
            <w:r>
              <w:rPr>
                <w:rFonts w:ascii="Calibri" w:cs="Calibri" w:eastAsia="Calibri" w:hAnsi="Calibri"/>
                <w:b/>
                <w:bCs/>
                <w:i w:val="false"/>
                <w:iCs w:val="false"/>
                <w:strike w:val="false"/>
                <w:color w:val="0D2A5E"/>
                <w:sz w:val="20"/>
                <w:szCs w:val="20"/>
              </w:rPr>
              <w:t xml:space="preserve">Responsibilities</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Inter-Service Protocol</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Policy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qb-ingestion-orchestrator</w:t>
            </w:r>
          </w:p>
        </w:tc>
        <w:tc>
          <w:tcPr>
            <w:tcW w:type="pct" w:w="37%"/>
          </w:tcPr>
          <w:p>
            <w:r>
              <w:rPr>
                <w:rFonts w:ascii="Calibri" w:cs="Calibri" w:eastAsia="Calibri" w:hAnsi="Calibri"/>
                <w:b w:val="false"/>
                <w:bCs w:val="false"/>
                <w:i w:val="false"/>
                <w:iCs w:val="false"/>
                <w:strike w:val="false"/>
                <w:color w:val="000000"/>
                <w:sz w:val="20"/>
                <w:szCs w:val="20"/>
              </w:rPr>
              <w:t xml:space="preserve">Manages ingestion job queue; rate limiting; idempotency; dead-letter routing</w:t>
            </w:r>
          </w:p>
        </w:tc>
        <w:tc>
          <w:tcPr>
            <w:tcW w:type="pct" w:w="26%"/>
          </w:tcPr>
          <w:p>
            <w:r>
              <w:rPr>
                <w:rFonts w:ascii="Calibri" w:cs="Calibri" w:eastAsia="Calibri" w:hAnsi="Calibri"/>
                <w:b w:val="false"/>
                <w:bCs w:val="false"/>
                <w:i w:val="false"/>
                <w:iCs w:val="false"/>
                <w:strike w:val="false"/>
                <w:color w:val="000000"/>
                <w:sz w:val="20"/>
                <w:szCs w:val="20"/>
              </w:rPr>
              <w:t xml:space="preserve">gRPC (internal); Kafka (stream consumption)</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queue depth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qb-ingestion-worker-{modality}</w:t>
            </w:r>
          </w:p>
        </w:tc>
        <w:tc>
          <w:tcPr>
            <w:tcW w:type="pct" w:w="37%"/>
          </w:tcPr>
          <w:p>
            <w:r>
              <w:rPr>
                <w:rFonts w:ascii="Calibri" w:cs="Calibri" w:eastAsia="Calibri" w:hAnsi="Calibri"/>
                <w:b w:val="false"/>
                <w:bCs w:val="false"/>
                <w:i w:val="false"/>
                <w:iCs w:val="false"/>
                <w:strike w:val="false"/>
                <w:color w:val="000000"/>
                <w:sz w:val="20"/>
                <w:szCs w:val="20"/>
              </w:rPr>
              <w:t xml:space="preserve">Per-modality ingestion branch processors (one service per modality: text, image, audio, video, structured, sensor, kg, code)</w:t>
            </w:r>
          </w:p>
        </w:tc>
        <w:tc>
          <w:tcPr>
            <w:tcW w:type="pct" w:w="26%"/>
          </w:tcPr>
          <w:p>
            <w:r>
              <w:rPr>
                <w:rFonts w:ascii="Calibri" w:cs="Calibri" w:eastAsia="Calibri" w:hAnsi="Calibri"/>
                <w:b w:val="false"/>
                <w:bCs w:val="false"/>
                <w:i w:val="false"/>
                <w:iCs w:val="false"/>
                <w:strike w:val="false"/>
                <w:color w:val="000000"/>
                <w:sz w:val="20"/>
                <w:szCs w:val="20"/>
              </w:rPr>
              <w:t xml:space="preserve">gRPC to Fact Unit Constructor</w:t>
            </w:r>
          </w:p>
        </w:tc>
        <w:tc>
          <w:tcPr>
            <w:tcW w:type="pct" w:w="22%"/>
          </w:tcPr>
          <w:p>
            <w:r>
              <w:rPr>
                <w:rFonts w:ascii="Calibri" w:cs="Calibri" w:eastAsia="Calibri" w:hAnsi="Calibri"/>
                <w:b w:val="false"/>
                <w:bCs w:val="false"/>
                <w:i w:val="false"/>
                <w:iCs w:val="false"/>
                <w:strike w:val="false"/>
                <w:color w:val="000000"/>
                <w:sz w:val="20"/>
                <w:szCs w:val="20"/>
              </w:rPr>
              <w:t xml:space="preserve">Horizontal; independent scaling per modality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qb-fact-unit-constructor</w:t>
            </w:r>
          </w:p>
        </w:tc>
        <w:tc>
          <w:tcPr>
            <w:tcW w:type="pct" w:w="37%"/>
          </w:tcPr>
          <w:p>
            <w:r>
              <w:rPr>
                <w:rFonts w:ascii="Calibri" w:cs="Calibri" w:eastAsia="Calibri" w:hAnsi="Calibri"/>
                <w:b w:val="false"/>
                <w:bCs w:val="false"/>
                <w:i w:val="false"/>
                <w:iCs w:val="false"/>
                <w:strike w:val="false"/>
                <w:color w:val="000000"/>
                <w:sz w:val="20"/>
                <w:szCs w:val="20"/>
              </w:rPr>
              <w:t xml:space="preserve">Assembles Fact Unit candidates from ISRs; computes SemanticHash, FUID; invokes Safety Substrate pre-insertion checks</w:t>
            </w:r>
          </w:p>
        </w:tc>
        <w:tc>
          <w:tcPr>
            <w:tcW w:type="pct" w:w="26%"/>
          </w:tcPr>
          <w:p>
            <w:r>
              <w:rPr>
                <w:rFonts w:ascii="Calibri" w:cs="Calibri" w:eastAsia="Calibri" w:hAnsi="Calibri"/>
                <w:b w:val="false"/>
                <w:bCs w:val="false"/>
                <w:i w:val="false"/>
                <w:iCs w:val="false"/>
                <w:strike w:val="false"/>
                <w:color w:val="000000"/>
                <w:sz w:val="20"/>
                <w:szCs w:val="20"/>
              </w:rPr>
              <w:t xml:space="preserve">gRPC (internal); writes to Active Store</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construction throughput metric</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qb-entity-registry</w:t>
            </w:r>
          </w:p>
        </w:tc>
        <w:tc>
          <w:tcPr>
            <w:tcW w:type="pct" w:w="37%"/>
          </w:tcPr>
          <w:p>
            <w:r>
              <w:rPr>
                <w:rFonts w:ascii="Calibri" w:cs="Calibri" w:eastAsia="Calibri" w:hAnsi="Calibri"/>
                <w:b w:val="false"/>
                <w:bCs w:val="false"/>
                <w:i w:val="false"/>
                <w:iCs w:val="false"/>
                <w:strike w:val="false"/>
                <w:color w:val="000000"/>
                <w:sz w:val="20"/>
                <w:szCs w:val="20"/>
              </w:rPr>
              <w:t xml:space="preserve">Manages Entity Registry; NER disambiguation; provisional entity creation; external entity linking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with sticky routing by entity hash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qb-fact-graph-store</w:t>
            </w:r>
          </w:p>
        </w:tc>
        <w:tc>
          <w:tcPr>
            <w:tcW w:type="pct" w:w="37%"/>
          </w:tcPr>
          <w:p>
            <w:r>
              <w:rPr>
                <w:rFonts w:ascii="Calibri" w:cs="Calibri" w:eastAsia="Calibri" w:hAnsi="Calibri"/>
                <w:b w:val="false"/>
                <w:bCs w:val="false"/>
                <w:i w:val="false"/>
                <w:iCs w:val="false"/>
                <w:strike w:val="false"/>
                <w:color w:val="000000"/>
                <w:sz w:val="20"/>
                <w:szCs w:val="20"/>
              </w:rPr>
              <w:t xml:space="preserve">Persists Fact Graph; manages adjacency indexes; handles cross-shard queries via scatter-gather</w:t>
            </w:r>
          </w:p>
        </w:tc>
        <w:tc>
          <w:tcPr>
            <w:tcW w:type="pct" w:w="26%"/>
          </w:tcPr>
          <w:p>
            <w:r>
              <w:rPr>
                <w:rFonts w:ascii="Calibri" w:cs="Calibri" w:eastAsia="Calibri" w:hAnsi="Calibri"/>
                <w:b w:val="false"/>
                <w:bCs w:val="false"/>
                <w:i w:val="false"/>
                <w:iCs w:val="false"/>
                <w:strike w:val="false"/>
                <w:color w:val="000000"/>
                <w:sz w:val="20"/>
                <w:szCs w:val="20"/>
              </w:rPr>
              <w:t xml:space="preserve">gRPC (internal); Raft replication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scale by adding shards; 3-replica minimum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qb-vector-index</w:t>
            </w:r>
          </w:p>
        </w:tc>
        <w:tc>
          <w:tcPr>
            <w:tcW w:type="pct" w:w="37%"/>
          </w:tcPr>
          <w:p>
            <w:r>
              <w:rPr>
                <w:rFonts w:ascii="Calibri" w:cs="Calibri" w:eastAsia="Calibri" w:hAnsi="Calibri"/>
                <w:b w:val="false"/>
                <w:bCs w:val="false"/>
                <w:i w:val="false"/>
                <w:iCs w:val="false"/>
                <w:strike w:val="false"/>
                <w:color w:val="000000"/>
                <w:sz w:val="20"/>
                <w:szCs w:val="20"/>
              </w:rPr>
              <w:t xml:space="preserve">Manages HNSW and SDR indexes; serves ANN and Hamming distance queries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sharded by FUID prefix; scale by adding shards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qb-provenance-ledger</w:t>
            </w:r>
          </w:p>
        </w:tc>
        <w:tc>
          <w:tcPr>
            <w:tcW w:type="pct" w:w="37%"/>
          </w:tcPr>
          <w:p>
            <w:r>
              <w:rPr>
                <w:rFonts w:ascii="Calibri" w:cs="Calibri" w:eastAsia="Calibri" w:hAnsi="Calibri"/>
                <w:b w:val="false"/>
                <w:bCs w:val="false"/>
                <w:i w:val="false"/>
                <w:iCs w:val="false"/>
                <w:strike w:val="false"/>
                <w:color w:val="000000"/>
                <w:sz w:val="20"/>
                <w:szCs w:val="20"/>
              </w:rPr>
              <w:t xml:space="preserve">Manages Merkle DAG Provenance Ledger; serves lineage traversal queries; handles tombstoning for erasure</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scale read replicas independently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qb-ncl-engine</w:t>
            </w:r>
          </w:p>
        </w:tc>
        <w:tc>
          <w:tcPr>
            <w:tcW w:type="pct" w:w="37%"/>
          </w:tcPr>
          <w:p>
            <w:r>
              <w:rPr>
                <w:rFonts w:ascii="Calibri" w:cs="Calibri" w:eastAsia="Calibri" w:hAnsi="Calibri"/>
                <w:b w:val="false"/>
                <w:bCs w:val="false"/>
                <w:i w:val="false"/>
                <w:iCs w:val="false"/>
                <w:strike w:val="false"/>
                <w:color w:val="000000"/>
                <w:sz w:val="20"/>
                <w:szCs w:val="20"/>
              </w:rPr>
              <w:t xml:space="preserve">Neuromorphic Cognitive Layer: SDE, TMM, ARE, AN, SWS management; serves associative query processing</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session affinity for CCW state; scale on query latency P99</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qb-pie-engine</w:t>
            </w:r>
          </w:p>
        </w:tc>
        <w:tc>
          <w:tcPr>
            <w:tcW w:type="pct" w:w="37%"/>
          </w:tcPr>
          <w:p>
            <w:r>
              <w:rPr>
                <w:rFonts w:ascii="Calibri" w:cs="Calibri" w:eastAsia="Calibri" w:hAnsi="Calibri"/>
                <w:b w:val="false"/>
                <w:bCs w:val="false"/>
                <w:i w:val="false"/>
                <w:iCs w:val="false"/>
                <w:strike w:val="false"/>
                <w:color w:val="000000"/>
                <w:sz w:val="20"/>
                <w:szCs w:val="20"/>
              </w:rPr>
              <w:t xml:space="preserve">Predictive Inference Engine; generates PREDICTION Fact Units; manages Scenario Graph construction from predictions</w:t>
            </w:r>
          </w:p>
        </w:tc>
        <w:tc>
          <w:tcPr>
            <w:tcW w:type="pct" w:w="26%"/>
          </w:tcPr>
          <w:p>
            <w:r>
              <w:rPr>
                <w:rFonts w:ascii="Calibri" w:cs="Calibri" w:eastAsia="Calibri" w:hAnsi="Calibri"/>
                <w:b w:val="false"/>
                <w:bCs w:val="false"/>
                <w:i w:val="false"/>
                <w:iCs w:val="false"/>
                <w:strike w:val="false"/>
                <w:color w:val="000000"/>
                <w:sz w:val="20"/>
                <w:szCs w:val="20"/>
              </w:rPr>
              <w:t xml:space="preserve">gRPC (internal); consumes Fact Stream from qb-stl-broker</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prediction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qb-mre-engine</w:t>
            </w:r>
          </w:p>
        </w:tc>
        <w:tc>
          <w:tcPr>
            <w:tcW w:type="pct" w:w="37%"/>
          </w:tcPr>
          <w:p>
            <w:r>
              <w:rPr>
                <w:rFonts w:ascii="Calibri" w:cs="Calibri" w:eastAsia="Calibri" w:hAnsi="Calibri"/>
                <w:b w:val="false"/>
                <w:bCs w:val="false"/>
                <w:i w:val="false"/>
                <w:iCs w:val="false"/>
                <w:strike w:val="false"/>
                <w:color w:val="000000"/>
                <w:sz w:val="20"/>
                <w:szCs w:val="20"/>
              </w:rPr>
              <w:t xml:space="preserve">Multilingual Regeneration Engine; Narrative Graph construction and execution; hallucination prevention enforcement</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regeneration request rate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qb-cdre-engine</w:t>
            </w:r>
          </w:p>
        </w:tc>
        <w:tc>
          <w:tcPr>
            <w:tcW w:type="pct" w:w="37%"/>
          </w:tcPr>
          <w:p>
            <w:r>
              <w:rPr>
                <w:rFonts w:ascii="Calibri" w:cs="Calibri" w:eastAsia="Calibri" w:hAnsi="Calibri"/>
                <w:b w:val="false"/>
                <w:bCs w:val="false"/>
                <w:i w:val="false"/>
                <w:iCs w:val="false"/>
                <w:strike w:val="false"/>
                <w:color w:val="000000"/>
                <w:sz w:val="20"/>
                <w:szCs w:val="20"/>
              </w:rPr>
              <w:t xml:space="preserve">Cross-Domain Rule Engine; incremental forward chaining; conflict detection; rule governance API</w:t>
            </w:r>
          </w:p>
        </w:tc>
        <w:tc>
          <w:tcPr>
            <w:tcW w:type="pct" w:w="26%"/>
          </w:tcPr>
          <w:p>
            <w:r>
              <w:rPr>
                <w:rFonts w:ascii="Calibri" w:cs="Calibri" w:eastAsia="Calibri" w:hAnsi="Calibri"/>
                <w:b w:val="false"/>
                <w:bCs w:val="false"/>
                <w:i w:val="false"/>
                <w:iCs w:val="false"/>
                <w:strike w:val="false"/>
                <w:color w:val="000000"/>
                <w:sz w:val="20"/>
                <w:szCs w:val="20"/>
              </w:rPr>
              <w:t xml:space="preserve">gRPC (internal); subscribes to Fact Graph change events</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rule evaluation throughput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qb-aem-service</w:t>
            </w:r>
          </w:p>
        </w:tc>
        <w:tc>
          <w:tcPr>
            <w:tcW w:type="pct" w:w="37%"/>
          </w:tcPr>
          <w:p>
            <w:r>
              <w:rPr>
                <w:rFonts w:ascii="Calibri" w:cs="Calibri" w:eastAsia="Calibri" w:hAnsi="Calibri"/>
                <w:b w:val="false"/>
                <w:bCs w:val="false"/>
                <w:i w:val="false"/>
                <w:iCs w:val="false"/>
                <w:strike w:val="false"/>
                <w:color w:val="000000"/>
                <w:sz w:val="20"/>
                <w:szCs w:val="20"/>
              </w:rPr>
              <w:t xml:space="preserve">Hosts all six AGI Extension Modules; manages AEM job queue; produces AEM-derived Fact Units</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AEM job queue depth</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qb-safety-substrate</w:t>
            </w:r>
          </w:p>
        </w:tc>
        <w:tc>
          <w:tcPr>
            <w:tcW w:type="pct" w:w="37%"/>
          </w:tcPr>
          <w:p>
            <w:r>
              <w:rPr>
                <w:rFonts w:ascii="Calibri" w:cs="Calibri" w:eastAsia="Calibri" w:hAnsi="Calibri"/>
                <w:b w:val="false"/>
                <w:bCs w:val="false"/>
                <w:i w:val="false"/>
                <w:iCs w:val="false"/>
                <w:strike w:val="false"/>
                <w:color w:val="000000"/>
                <w:sz w:val="20"/>
                <w:szCs w:val="20"/>
              </w:rPr>
              <w:t xml:space="preserve">Non-bypassable Safety Substrate enforcement service; manages SafetyFlags; writes to Safety Audit Log</w:t>
            </w:r>
          </w:p>
        </w:tc>
        <w:tc>
          <w:tcPr>
            <w:tcW w:type="pct" w:w="26%"/>
          </w:tcPr>
          <w:p>
            <w:r>
              <w:rPr>
                <w:rFonts w:ascii="Calibri" w:cs="Calibri" w:eastAsia="Calibri" w:hAnsi="Calibri"/>
                <w:b w:val="false"/>
                <w:bCs w:val="false"/>
                <w:i w:val="false"/>
                <w:iCs w:val="false"/>
                <w:strike w:val="false"/>
                <w:color w:val="000000"/>
                <w:sz w:val="20"/>
                <w:szCs w:val="20"/>
              </w:rPr>
              <w:t xml:space="preserve">gRPC (internal); called synchronously by all other services at enforcement points</w:t>
            </w:r>
          </w:p>
        </w:tc>
        <w:tc>
          <w:tcPr>
            <w:tcW w:type="pct" w:w="22%"/>
          </w:tcPr>
          <w:p>
            <w:r>
              <w:rPr>
                <w:rFonts w:ascii="Calibri" w:cs="Calibri" w:eastAsia="Calibri" w:hAnsi="Calibri"/>
                <w:b w:val="false"/>
                <w:bCs w:val="false"/>
                <w:i w:val="false"/>
                <w:iCs w:val="false"/>
                <w:strike w:val="false"/>
                <w:color w:val="000000"/>
                <w:sz w:val="20"/>
                <w:szCs w:val="20"/>
              </w:rPr>
              <w:t xml:space="preserve">Horizontal; active-active; no single point of failure permissible</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qb-stl-broker</w:t>
            </w:r>
          </w:p>
        </w:tc>
        <w:tc>
          <w:tcPr>
            <w:tcW w:type="pct" w:w="37%"/>
          </w:tcPr>
          <w:p>
            <w:r>
              <w:rPr>
                <w:rFonts w:ascii="Calibri" w:cs="Calibri" w:eastAsia="Calibri" w:hAnsi="Calibri"/>
                <w:b w:val="false"/>
                <w:bCs w:val="false"/>
                <w:i w:val="false"/>
                <w:iCs w:val="false"/>
                <w:strike w:val="false"/>
                <w:color w:val="000000"/>
                <w:sz w:val="20"/>
                <w:szCs w:val="20"/>
              </w:rPr>
              <w:t xml:space="preserve">Semantic Transport Layer message broker; manages topic routing, consumer groups, stream partitioning</w:t>
            </w:r>
          </w:p>
        </w:tc>
        <w:tc>
          <w:tcPr>
            <w:tcW w:type="pct" w:w="26%"/>
          </w:tcPr>
          <w:p>
            <w:r>
              <w:rPr>
                <w:rFonts w:ascii="Calibri" w:cs="Calibri" w:eastAsia="Calibri" w:hAnsi="Calibri"/>
                <w:b w:val="false"/>
                <w:bCs w:val="false"/>
                <w:i w:val="false"/>
                <w:iCs w:val="false"/>
                <w:strike w:val="false"/>
                <w:color w:val="000000"/>
                <w:sz w:val="20"/>
                <w:szCs w:val="20"/>
              </w:rPr>
              <w:t xml:space="preserve">QB-Stream Protocol (proprietary); Kafka-compatible consumer API</w:t>
            </w:r>
          </w:p>
        </w:tc>
        <w:tc>
          <w:tcPr>
            <w:tcW w:type="pct" w:w="22%"/>
          </w:tcPr>
          <w:p>
            <w:r>
              <w:rPr>
                <w:rFonts w:ascii="Calibri" w:cs="Calibri" w:eastAsia="Calibri" w:hAnsi="Calibri"/>
                <w:b w:val="false"/>
                <w:bCs w:val="false"/>
                <w:i w:val="false"/>
                <w:iCs w:val="false"/>
                <w:strike w:val="false"/>
                <w:color w:val="000000"/>
                <w:sz w:val="20"/>
                <w:szCs w:val="20"/>
              </w:rPr>
              <w:t xml:space="preserve">Stateful; Kafka-compatible partition rebalancing</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qb-query-gateway</w:t>
            </w:r>
          </w:p>
        </w:tc>
        <w:tc>
          <w:tcPr>
            <w:tcW w:type="pct" w:w="37%"/>
          </w:tcPr>
          <w:p>
            <w:r>
              <w:rPr>
                <w:rFonts w:ascii="Calibri" w:cs="Calibri" w:eastAsia="Calibri" w:hAnsi="Calibri"/>
                <w:b w:val="false"/>
                <w:bCs w:val="false"/>
                <w:i w:val="false"/>
                <w:iCs w:val="false"/>
                <w:strike w:val="false"/>
                <w:color w:val="000000"/>
                <w:sz w:val="20"/>
                <w:szCs w:val="20"/>
              </w:rPr>
              <w:t xml:space="preserve">QB-Query parser, optimizer, and execution coordinator; routes sub-queries to NCL, PIE, Fact Graph Store, and Scenario Graph services</w:t>
            </w:r>
          </w:p>
        </w:tc>
        <w:tc>
          <w:tcPr>
            <w:tcW w:type="pct" w:w="26%"/>
          </w:tcPr>
          <w:p>
            <w:r>
              <w:rPr>
                <w:rFonts w:ascii="Calibri" w:cs="Calibri" w:eastAsia="Calibri" w:hAnsi="Calibri"/>
                <w:b w:val="false"/>
                <w:bCs w:val="false"/>
                <w:i w:val="false"/>
                <w:iCs w:val="false"/>
                <w:strike w:val="false"/>
                <w:color w:val="000000"/>
                <w:sz w:val="20"/>
                <w:szCs w:val="20"/>
              </w:rPr>
              <w:t xml:space="preserve">REST + gRPC (external API); gRPC (internal routing)</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API request rate and active query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qb-scenario-graph-service</w:t>
            </w:r>
          </w:p>
        </w:tc>
        <w:tc>
          <w:tcPr>
            <w:tcW w:type="pct" w:w="37%"/>
          </w:tcPr>
          <w:p>
            <w:r>
              <w:rPr>
                <w:rFonts w:ascii="Calibri" w:cs="Calibri" w:eastAsia="Calibri" w:hAnsi="Calibri"/>
                <w:b w:val="false"/>
                <w:bCs w:val="false"/>
                <w:i w:val="false"/>
                <w:iCs w:val="false"/>
                <w:strike w:val="false"/>
                <w:color w:val="000000"/>
                <w:sz w:val="20"/>
                <w:szCs w:val="20"/>
              </w:rPr>
              <w:t xml:space="preserve">Manages Scenario Graph CRUD; executes cross-branch queries; KSS consistency validation</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scale on active Scenario Graph count</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qb-ontology-mesh-service</w:t>
            </w:r>
          </w:p>
        </w:tc>
        <w:tc>
          <w:tcPr>
            <w:tcW w:type="pct" w:w="37%"/>
          </w:tcPr>
          <w:p>
            <w:r>
              <w:rPr>
                <w:rFonts w:ascii="Calibri" w:cs="Calibri" w:eastAsia="Calibri" w:hAnsi="Calibri"/>
                <w:b w:val="false"/>
                <w:bCs w:val="false"/>
                <w:i w:val="false"/>
                <w:iCs w:val="false"/>
                <w:strike w:val="false"/>
                <w:color w:val="000000"/>
                <w:sz w:val="20"/>
                <w:szCs w:val="20"/>
              </w:rPr>
              <w:t xml:space="preserve">Serves Ontology Mesh type lookups and Predicate Library; manages schema versioning and SCP workflow</w:t>
            </w:r>
          </w:p>
        </w:tc>
        <w:tc>
          <w:tcPr>
            <w:tcW w:type="pct" w:w="26%"/>
          </w:tcPr>
          <w:p>
            <w:r>
              <w:rPr>
                <w:rFonts w:ascii="Calibri" w:cs="Calibri" w:eastAsia="Calibri" w:hAnsi="Calibri"/>
                <w:b w:val="false"/>
                <w:bCs w:val="false"/>
                <w:i w:val="false"/>
                <w:iCs w:val="false"/>
                <w:strike w:val="false"/>
                <w:color w:val="000000"/>
                <w:sz w:val="20"/>
                <w:szCs w:val="20"/>
              </w:rPr>
              <w:t xml:space="preserve">gRPC (internal)</w:t>
            </w:r>
          </w:p>
        </w:tc>
        <w:tc>
          <w:tcPr>
            <w:tcW w:type="pct" w:w="22%"/>
          </w:tcPr>
          <w:p>
            <w:r>
              <w:rPr>
                <w:rFonts w:ascii="Calibri" w:cs="Calibri" w:eastAsia="Calibri" w:hAnsi="Calibri"/>
                <w:b w:val="false"/>
                <w:bCs w:val="false"/>
                <w:i w:val="false"/>
                <w:iCs w:val="false"/>
                <w:strike w:val="false"/>
                <w:color w:val="000000"/>
                <w:sz w:val="20"/>
                <w:szCs w:val="20"/>
              </w:rPr>
              <w:t xml:space="preserve">Horizontal read replicas; single primary for writes</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qb-admin-api</w:t>
            </w:r>
          </w:p>
        </w:tc>
        <w:tc>
          <w:tcPr>
            <w:tcW w:type="pct" w:w="37%"/>
          </w:tcPr>
          <w:p>
            <w:r>
              <w:rPr>
                <w:rFonts w:ascii="Calibri" w:cs="Calibri" w:eastAsia="Calibri" w:hAnsi="Calibri"/>
                <w:b w:val="false"/>
                <w:bCs w:val="false"/>
                <w:i w:val="false"/>
                <w:iCs w:val="false"/>
                <w:strike w:val="false"/>
                <w:color w:val="000000"/>
                <w:sz w:val="20"/>
                <w:szCs w:val="20"/>
              </w:rPr>
              <w:t xml:space="preserve">Administrative API for system configuration, federation management, user management, audit log access</w:t>
            </w:r>
          </w:p>
        </w:tc>
        <w:tc>
          <w:tcPr>
            <w:tcW w:type="pct" w:w="26%"/>
          </w:tcPr>
          <w:p>
            <w:r>
              <w:rPr>
                <w:rFonts w:ascii="Calibri" w:cs="Calibri" w:eastAsia="Calibri" w:hAnsi="Calibri"/>
                <w:b w:val="false"/>
                <w:bCs w:val="false"/>
                <w:i w:val="false"/>
                <w:iCs w:val="false"/>
                <w:strike w:val="false"/>
                <w:color w:val="000000"/>
                <w:sz w:val="20"/>
                <w:szCs w:val="20"/>
              </w:rPr>
              <w:t xml:space="preserve">REST (HTTPS only; mTLS required)</w:t>
            </w:r>
          </w:p>
        </w:tc>
        <w:tc>
          <w:tcPr>
            <w:tcW w:type="pct" w:w="22%"/>
          </w:tcPr>
          <w:p>
            <w:r>
              <w:rPr>
                <w:rFonts w:ascii="Calibri" w:cs="Calibri" w:eastAsia="Calibri" w:hAnsi="Calibri"/>
                <w:b w:val="false"/>
                <w:bCs w:val="false"/>
                <w:i w:val="false"/>
                <w:iCs w:val="false"/>
                <w:strike w:val="false"/>
                <w:color w:val="000000"/>
                <w:sz w:val="20"/>
                <w:szCs w:val="20"/>
              </w:rPr>
              <w:t xml:space="preserve">Low-traffic service; minimal horizontal 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19.2 Kubernetes Deployment</w:t>
      </w:r>
    </w:p>
    <w:p>
      <w:pPr>
        <w:pStyle w:val="Heading3"/>
        <w:spacing w:after="120" w:before="240" w:line="288" w:lineRule="auto"/>
      </w:pPr>
      <w:r>
        <w:rPr>
          <w:rFonts w:ascii="Calibri" w:cs="Calibri" w:eastAsia="Calibri" w:hAnsi="Calibri"/>
          <w:color w:val="000000"/>
          <w:sz w:val="30"/>
          <w:szCs w:val="30"/>
        </w:rPr>
        <w:t xml:space="preserve">19.2.1 Helm Chart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querybook/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Chart.yaml # Chart metadata (version, description, dependencies)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values.yaml # Default configuration values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values-production.yaml # Production overrides (not in VCS)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templates/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namespace.yaml # QueryBook namespace definition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rbac/ # ServiceAccount, ClusterRole, RoleBinding per service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configmaps/ # Per-service configuration ConfigMaps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secrets/ # External secret references (Sealed Secrets)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statefulsets/ # StatefulSets for: fact-graph-store, vector-index,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provenance-ledger, stl-broker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deployments/ # Deployments for all stateless services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services/ # Kubernetes Service definitions (ClusterIP, headless)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ingress/ # Ingress for query-gateway and admin-api (TLS termination)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hpas/ # HorizontalPodAutoscaler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pdbs/ # PodDisruptionBudget definitions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network-policies/ # NetworkPolicy restricting inter-service communication</w:t>
            </w:r>
          </w:p>
        </w:tc>
      </w:tr>
    </w:tbl>
    <w:p>
      <w:pPr>
        <w:spacing w:after="240" w:before="0"/>
      </w:pPr>
    </w:p>
    <w:p>
      <w:pPr>
        <w:pStyle w:val="Heading3"/>
        <w:spacing w:after="120" w:before="240" w:line="288" w:lineRule="auto"/>
      </w:pPr>
      <w:r>
        <w:rPr>
          <w:rFonts w:ascii="Calibri" w:cs="Calibri" w:eastAsia="Calibri" w:hAnsi="Calibri"/>
          <w:color w:val="000000"/>
          <w:sz w:val="30"/>
          <w:szCs w:val="30"/>
        </w:rPr>
        <w:t xml:space="preserve">19.2.2 Resource Requirements (per pod, production)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DCE6F0" w:color="auto" w:val="clear"/>
          </w:tcPr>
          <w:p>
            <w:r>
              <w:rPr>
                <w:rFonts w:ascii="Calibri" w:cs="Calibri" w:eastAsia="Calibri" w:hAnsi="Calibri"/>
                <w:b/>
                <w:bCs/>
                <w:i w:val="false"/>
                <w:iCs w:val="false"/>
                <w:strike w:val="false"/>
                <w:color w:val="0D2A5E"/>
                <w:sz w:val="20"/>
                <w:szCs w:val="20"/>
              </w:rPr>
              <w:t xml:space="preserve">Service</w:t>
            </w:r>
          </w:p>
        </w:tc>
        <w:tc>
          <w:tcPr>
            <w:tcW w:type="pct" w:w="30%"/>
            <w:shd w:fill="DCE6F0" w:color="auto" w:val="clear"/>
          </w:tcPr>
          <w:p>
            <w:r>
              <w:rPr>
                <w:rFonts w:ascii="Calibri" w:cs="Calibri" w:eastAsia="Calibri" w:hAnsi="Calibri"/>
                <w:b/>
                <w:bCs/>
                <w:i w:val="false"/>
                <w:iCs w:val="false"/>
                <w:strike w:val="false"/>
                <w:color w:val="0D2A5E"/>
                <w:sz w:val="20"/>
                <w:szCs w:val="20"/>
              </w:rPr>
              <w:t xml:space="preserve">CPU Request</w:t>
            </w:r>
          </w:p>
        </w:tc>
        <w:tc>
          <w:tcPr>
            <w:tcW w:type="pct" w:w="12%"/>
            <w:shd w:fill="DCE6F0" w:color="auto" w:val="clear"/>
          </w:tcPr>
          <w:p>
            <w:r>
              <w:rPr>
                <w:rFonts w:ascii="Calibri" w:cs="Calibri" w:eastAsia="Calibri" w:hAnsi="Calibri"/>
                <w:b/>
                <w:bCs/>
                <w:i w:val="false"/>
                <w:iCs w:val="false"/>
                <w:strike w:val="false"/>
                <w:color w:val="0D2A5E"/>
                <w:sz w:val="20"/>
                <w:szCs w:val="20"/>
              </w:rPr>
              <w:t xml:space="preserve">CPU Limit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Request</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Memory Limit</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Min Replicas</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qb-ncl-engine</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qb-fact-graph-store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1%"/>
          </w:tcPr>
          <w:p>
            <w:r>
              <w:rPr>
                <w:rFonts w:ascii="Calibri" w:cs="Calibri" w:eastAsia="Calibri" w:hAnsi="Calibri"/>
                <w:b w:val="false"/>
                <w:bCs w:val="false"/>
                <w:i w:val="false"/>
                <w:iCs w:val="false"/>
                <w:strike w:val="false"/>
                <w:color w:val="000000"/>
                <w:sz w:val="20"/>
                <w:szCs w:val="20"/>
              </w:rPr>
              <w:t xml:space="preserve">64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qb-vector-index</w:t>
            </w:r>
          </w:p>
        </w:tc>
        <w:tc>
          <w:tcPr>
            <w:tcW w:type="pct" w:w="30%"/>
          </w:tcPr>
          <w:p>
            <w:r>
              <w:rPr>
                <w:rFonts w:ascii="Calibri" w:cs="Calibri" w:eastAsia="Calibri" w:hAnsi="Calibri"/>
                <w:b w:val="false"/>
                <w:bCs w:val="false"/>
                <w:i w:val="false"/>
                <w:iCs w:val="false"/>
                <w:strike w:val="false"/>
                <w:color w:val="000000"/>
                <w:sz w:val="20"/>
                <w:szCs w:val="20"/>
              </w:rPr>
              <w:t xml:space="preserve">8 cores</w:t>
            </w:r>
          </w:p>
        </w:tc>
        <w:tc>
          <w:tcPr>
            <w:tcW w:type="pct" w:w="12%"/>
          </w:tcPr>
          <w:p>
            <w:r>
              <w:rPr>
                <w:rFonts w:ascii="Calibri" w:cs="Calibri" w:eastAsia="Calibri" w:hAnsi="Calibri"/>
                <w:b w:val="false"/>
                <w:bCs w:val="false"/>
                <w:i w:val="false"/>
                <w:iCs w:val="false"/>
                <w:strike w:val="false"/>
                <w:color w:val="000000"/>
                <w:sz w:val="20"/>
                <w:szCs w:val="20"/>
              </w:rPr>
              <w:t xml:space="preserve">16 cores</w:t>
            </w:r>
          </w:p>
        </w:tc>
        <w:tc>
          <w:tcPr>
            <w:tcW w:type="pct" w:w="11%"/>
          </w:tcPr>
          <w:p>
            <w:r>
              <w:rPr>
                <w:rFonts w:ascii="Calibri" w:cs="Calibri" w:eastAsia="Calibri" w:hAnsi="Calibri"/>
                <w:b w:val="false"/>
                <w:bCs w:val="false"/>
                <w:i w:val="false"/>
                <w:iCs w:val="false"/>
                <w:strike w:val="false"/>
                <w:color w:val="000000"/>
                <w:sz w:val="20"/>
                <w:szCs w:val="20"/>
              </w:rPr>
              <w:t xml:space="preserve">128 GB</w:t>
            </w:r>
          </w:p>
        </w:tc>
        <w:tc>
          <w:tcPr>
            <w:tcW w:type="pct" w:w="11%"/>
          </w:tcPr>
          <w:p>
            <w:r>
              <w:rPr>
                <w:rFonts w:ascii="Calibri" w:cs="Calibri" w:eastAsia="Calibri" w:hAnsi="Calibri"/>
                <w:b w:val="false"/>
                <w:bCs w:val="false"/>
                <w:i w:val="false"/>
                <w:iCs w:val="false"/>
                <w:strike w:val="false"/>
                <w:color w:val="000000"/>
                <w:sz w:val="20"/>
                <w:szCs w:val="20"/>
              </w:rPr>
              <w:t xml:space="preserve">256 GB</w:t>
            </w:r>
          </w:p>
        </w:tc>
        <w:tc>
          <w:tcPr>
            <w:tcW w:type="pct" w:w="16%"/>
          </w:tcPr>
          <w:p>
            <w:r>
              <w:rPr>
                <w:rFonts w:ascii="Calibri" w:cs="Calibri" w:eastAsia="Calibri" w:hAnsi="Calibri"/>
                <w:b w:val="false"/>
                <w:bCs w:val="false"/>
                <w:i w:val="false"/>
                <w:iCs w:val="false"/>
                <w:strike w:val="false"/>
                <w:color w:val="000000"/>
                <w:sz w:val="20"/>
                <w:szCs w:val="20"/>
              </w:rPr>
              <w:t xml:space="preserve">3 (per shard)</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qb-mre-engine</w:t>
            </w:r>
          </w:p>
        </w:tc>
        <w:tc>
          <w:tcPr>
            <w:tcW w:type="pct" w:w="30%"/>
          </w:tcPr>
          <w:p>
            <w:r>
              <w:rPr>
                <w:rFonts w:ascii="Calibri" w:cs="Calibri" w:eastAsia="Calibri" w:hAnsi="Calibri"/>
                <w:b w:val="false"/>
                <w:bCs w:val="false"/>
                <w:i w:val="false"/>
                <w:iCs w:val="false"/>
                <w:strike w:val="false"/>
                <w:color w:val="000000"/>
                <w:sz w:val="20"/>
                <w:szCs w:val="20"/>
              </w:rPr>
              <w:t xml:space="preserve">4 cores</w:t>
            </w:r>
          </w:p>
        </w:tc>
        <w:tc>
          <w:tcPr>
            <w:tcW w:type="pct" w:w="12%"/>
          </w:tcPr>
          <w:p>
            <w:r>
              <w:rPr>
                <w:rFonts w:ascii="Calibri" w:cs="Calibri" w:eastAsia="Calibri" w:hAnsi="Calibri"/>
                <w:b w:val="false"/>
                <w:bCs w:val="false"/>
                <w:i w:val="false"/>
                <w:iCs w:val="false"/>
                <w:strike w:val="false"/>
                <w:color w:val="000000"/>
                <w:sz w:val="20"/>
                <w:szCs w:val="20"/>
              </w:rPr>
              <w:t xml:space="preserve">8 cores</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1%"/>
          </w:tcPr>
          <w:p>
            <w:r>
              <w:rPr>
                <w:rFonts w:ascii="Calibri" w:cs="Calibri" w:eastAsia="Calibri" w:hAnsi="Calibri"/>
                <w:b w:val="false"/>
                <w:bCs w:val="false"/>
                <w:i w:val="false"/>
                <w:iCs w:val="false"/>
                <w:strike w:val="false"/>
                <w:color w:val="000000"/>
                <w:sz w:val="20"/>
                <w:szCs w:val="20"/>
              </w:rPr>
              <w:t xml:space="preserve">32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qb-safety-substrate</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1%"/>
          </w:tcPr>
          <w:p>
            <w:r>
              <w:rPr>
                <w:rFonts w:ascii="Calibri" w:cs="Calibri" w:eastAsia="Calibri" w:hAnsi="Calibri"/>
                <w:b w:val="false"/>
                <w:bCs w:val="false"/>
                <w:i w:val="false"/>
                <w:iCs w:val="false"/>
                <w:strike w:val="false"/>
                <w:color w:val="000000"/>
                <w:sz w:val="20"/>
                <w:szCs w:val="20"/>
              </w:rPr>
              <w:t xml:space="preserve">16 GB</w:t>
            </w:r>
          </w:p>
        </w:tc>
        <w:tc>
          <w:tcPr>
            <w:tcW w:type="pct" w:w="16%"/>
          </w:tcPr>
          <w:p>
            <w:r>
              <w:rPr>
                <w:rFonts w:ascii="Calibri" w:cs="Calibri" w:eastAsia="Calibri" w:hAnsi="Calibri"/>
                <w:b w:val="false"/>
                <w:bCs w:val="false"/>
                <w:i w:val="false"/>
                <w:iCs w:val="false"/>
                <w:strike w:val="false"/>
                <w:color w:val="000000"/>
                <w:sz w:val="20"/>
                <w:szCs w:val="20"/>
              </w:rPr>
              <w:t xml:space="preserve">5 (high availability)</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qb-query-gateway</w:t>
            </w:r>
          </w:p>
        </w:tc>
        <w:tc>
          <w:tcPr>
            <w:tcW w:type="pct" w:w="30%"/>
          </w:tcPr>
          <w:p>
            <w:r>
              <w:rPr>
                <w:rFonts w:ascii="Calibri" w:cs="Calibri" w:eastAsia="Calibri" w:hAnsi="Calibri"/>
                <w:b w:val="false"/>
                <w:bCs w:val="false"/>
                <w:i w:val="false"/>
                <w:iCs w:val="false"/>
                <w:strike w:val="false"/>
                <w:color w:val="000000"/>
                <w:sz w:val="20"/>
                <w:szCs w:val="20"/>
              </w:rPr>
              <w:t xml:space="preserve">2 cores</w:t>
            </w:r>
          </w:p>
        </w:tc>
        <w:tc>
          <w:tcPr>
            <w:tcW w:type="pct" w:w="12%"/>
          </w:tcPr>
          <w:p>
            <w:r>
              <w:rPr>
                <w:rFonts w:ascii="Calibri" w:cs="Calibri" w:eastAsia="Calibri" w:hAnsi="Calibri"/>
                <w:b w:val="false"/>
                <w:bCs w:val="false"/>
                <w:i w:val="false"/>
                <w:iCs w:val="false"/>
                <w:strike w:val="false"/>
                <w:color w:val="000000"/>
                <w:sz w:val="20"/>
                <w:szCs w:val="20"/>
              </w:rPr>
              <w:t xml:space="preserve">4 cores</w:t>
            </w:r>
          </w:p>
        </w:tc>
        <w:tc>
          <w:tcPr>
            <w:tcW w:type="pct" w:w="11%"/>
          </w:tcPr>
          <w:p>
            <w:r>
              <w:rPr>
                <w:rFonts w:ascii="Calibri" w:cs="Calibri" w:eastAsia="Calibri" w:hAnsi="Calibri"/>
                <w:b w:val="false"/>
                <w:bCs w:val="false"/>
                <w:i w:val="false"/>
                <w:iCs w:val="false"/>
                <w:strike w:val="false"/>
                <w:color w:val="000000"/>
                <w:sz w:val="20"/>
                <w:szCs w:val="20"/>
              </w:rPr>
              <w:t xml:space="preserve">4 GB</w:t>
            </w:r>
          </w:p>
        </w:tc>
        <w:tc>
          <w:tcPr>
            <w:tcW w:type="pct" w:w="11%"/>
          </w:tcPr>
          <w:p>
            <w:r>
              <w:rPr>
                <w:rFonts w:ascii="Calibri" w:cs="Calibri" w:eastAsia="Calibri" w:hAnsi="Calibri"/>
                <w:b w:val="false"/>
                <w:bCs w:val="false"/>
                <w:i w:val="false"/>
                <w:iCs w:val="false"/>
                <w:strike w:val="false"/>
                <w:color w:val="000000"/>
                <w:sz w:val="20"/>
                <w:szCs w:val="20"/>
              </w:rPr>
              <w:t xml:space="preserve">8 GB</w:t>
            </w:r>
          </w:p>
        </w:tc>
        <w:tc>
          <w:tcPr>
            <w:tcW w:type="pct" w:w="16%"/>
          </w:tcPr>
          <w:p>
            <w:r>
              <w:rPr>
                <w:rFonts w:ascii="Calibri" w:cs="Calibri" w:eastAsia="Calibri" w:hAnsi="Calibri"/>
                <w:b w:val="false"/>
                <w:bCs w:val="false"/>
                <w:i w:val="false"/>
                <w:iCs w:val="false"/>
                <w:strike w:val="false"/>
                <w:color w:val="000000"/>
                <w:sz w:val="20"/>
                <w:szCs w:val="20"/>
              </w:rPr>
              <w:t xml:space="preserve">3</w:t>
            </w:r>
          </w:p>
        </w:tc>
      </w:tr>
      <w:tr>
        <w:trPr>
          <w:tblHeader w:val="false"/>
        </w:trPr>
        <w:tc>
          <w:tcPr>
            <w:tcW w:type="pct" w:w="20%"/>
          </w:tcPr>
          <w:p>
            <w:r>
              <w:rPr>
                <w:rFonts w:ascii="Calibri" w:cs="Calibri" w:eastAsia="Calibri" w:hAnsi="Calibri"/>
                <w:b w:val="false"/>
                <w:bCs w:val="false"/>
                <w:i w:val="false"/>
                <w:iCs w:val="false"/>
                <w:strike w:val="false"/>
                <w:color w:val="000000"/>
                <w:sz w:val="20"/>
                <w:szCs w:val="20"/>
              </w:rPr>
              <w:t xml:space="preserve">qb-ingestion-worker-{modality}</w:t>
            </w:r>
          </w:p>
        </w:tc>
        <w:tc>
          <w:tcPr>
            <w:tcW w:type="pct" w:w="30%"/>
          </w:tcPr>
          <w:p>
            <w:r>
              <w:rPr>
                <w:rFonts w:ascii="Calibri" w:cs="Calibri" w:eastAsia="Calibri" w:hAnsi="Calibri"/>
                <w:b w:val="false"/>
                <w:bCs w:val="false"/>
                <w:i w:val="false"/>
                <w:iCs w:val="false"/>
                <w:strike w:val="false"/>
                <w:color w:val="000000"/>
                <w:sz w:val="20"/>
                <w:szCs w:val="20"/>
              </w:rPr>
              <w:t xml:space="preserve">2 cores (text/structured); 8 cores (audio/video/image)</w:t>
            </w:r>
          </w:p>
        </w:tc>
        <w:tc>
          <w:tcPr>
            <w:tcW w:type="pct" w:w="12%"/>
          </w:tcPr>
          <w:p>
            <w:r>
              <w:rPr>
                <w:rFonts w:ascii="Calibri" w:cs="Calibri" w:eastAsia="Calibri" w:hAnsi="Calibri"/>
                <w:b w:val="false"/>
                <w:bCs w:val="false"/>
                <w:i w:val="false"/>
                <w:iCs w:val="false"/>
                <w:strike w:val="false"/>
                <w:color w:val="000000"/>
                <w:sz w:val="20"/>
                <w:szCs w:val="20"/>
              </w:rPr>
              <w:t xml:space="preserve">4–16 cores</w:t>
            </w:r>
          </w:p>
        </w:tc>
        <w:tc>
          <w:tcPr>
            <w:tcW w:type="pct" w:w="11%"/>
          </w:tcPr>
          <w:p>
            <w:r>
              <w:rPr>
                <w:rFonts w:ascii="Calibri" w:cs="Calibri" w:eastAsia="Calibri" w:hAnsi="Calibri"/>
                <w:b w:val="false"/>
                <w:bCs w:val="false"/>
                <w:i w:val="false"/>
                <w:iCs w:val="false"/>
                <w:strike w:val="false"/>
                <w:color w:val="000000"/>
                <w:sz w:val="20"/>
                <w:szCs w:val="20"/>
              </w:rPr>
              <w:t xml:space="preserve">8–32 GB</w:t>
            </w:r>
          </w:p>
        </w:tc>
        <w:tc>
          <w:tcPr>
            <w:tcW w:type="pct" w:w="11%"/>
          </w:tcPr>
          <w:p>
            <w:r>
              <w:rPr>
                <w:rFonts w:ascii="Calibri" w:cs="Calibri" w:eastAsia="Calibri" w:hAnsi="Calibri"/>
                <w:b w:val="false"/>
                <w:bCs w:val="false"/>
                <w:i w:val="false"/>
                <w:iCs w:val="false"/>
                <w:strike w:val="false"/>
                <w:color w:val="000000"/>
                <w:sz w:val="20"/>
                <w:szCs w:val="20"/>
              </w:rPr>
              <w:t xml:space="preserve">16–64 GB</w:t>
            </w:r>
          </w:p>
        </w:tc>
        <w:tc>
          <w:tcPr>
            <w:tcW w:type="pct" w:w="16%"/>
          </w:tcPr>
          <w:p>
            <w:r>
              <w:rPr>
                <w:rFonts w:ascii="Calibri" w:cs="Calibri" w:eastAsia="Calibri" w:hAnsi="Calibri"/>
                <w:b w:val="false"/>
                <w:bCs w:val="false"/>
                <w:i w:val="false"/>
                <w:iCs w:val="false"/>
                <w:strike w:val="false"/>
                <w:color w:val="000000"/>
                <w:sz w:val="20"/>
                <w:szCs w:val="20"/>
              </w:rPr>
              <w:t xml:space="preserve">2 per modality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19.3 Observability Stack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Signal Type</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Technology</w:t>
            </w:r>
          </w:p>
        </w:tc>
        <w:tc>
          <w:tcPr>
            <w:tcW w:type="pct" w:w="40%"/>
            <w:shd w:fill="DCE6F0" w:color="auto" w:val="clear"/>
          </w:tcPr>
          <w:p>
            <w:r>
              <w:rPr>
                <w:rFonts w:ascii="Calibri" w:cs="Calibri" w:eastAsia="Calibri" w:hAnsi="Calibri"/>
                <w:b/>
                <w:bCs/>
                <w:i w:val="false"/>
                <w:iCs w:val="false"/>
                <w:strike w:val="false"/>
                <w:color w:val="0D2A5E"/>
                <w:sz w:val="20"/>
                <w:szCs w:val="20"/>
              </w:rPr>
              <w:t xml:space="preserve">Key Metrics / Signals</w:t>
            </w:r>
          </w:p>
        </w:tc>
        <w:tc>
          <w:tcPr>
            <w:tcW w:type="pct" w:w="24%"/>
            <w:shd w:fill="DCE6F0" w:color="auto" w:val="clear"/>
          </w:tcPr>
          <w:p>
            <w:r>
              <w:rPr>
                <w:rFonts w:ascii="Calibri" w:cs="Calibri" w:eastAsia="Calibri" w:hAnsi="Calibri"/>
                <w:b/>
                <w:bCs/>
                <w:i w:val="false"/>
                <w:iCs w:val="false"/>
                <w:strike w:val="false"/>
                <w:color w:val="0D2A5E"/>
                <w:sz w:val="20"/>
                <w:szCs w:val="20"/>
              </w:rPr>
              <w:t xml:space="preserve">SLO</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Metrics</w:t>
            </w:r>
          </w:p>
        </w:tc>
        <w:tc>
          <w:tcPr>
            <w:tcW w:type="pct" w:w="24%"/>
          </w:tcPr>
          <w:p>
            <w:r>
              <w:rPr>
                <w:rFonts w:ascii="Calibri" w:cs="Calibri" w:eastAsia="Calibri" w:hAnsi="Calibri"/>
                <w:b w:val="false"/>
                <w:bCs w:val="false"/>
                <w:i w:val="false"/>
                <w:iCs w:val="false"/>
                <w:strike w:val="false"/>
                <w:color w:val="000000"/>
                <w:sz w:val="20"/>
                <w:szCs w:val="20"/>
              </w:rPr>
              <w:t xml:space="preserve">Prometheus (scrape interval: 15s); Grafana dashboards</w:t>
            </w:r>
          </w:p>
        </w:tc>
        <w:tc>
          <w:tcPr>
            <w:tcW w:type="pct" w:w="40%"/>
          </w:tcPr>
          <w:p>
            <w:r>
              <w:rPr>
                <w:rFonts w:ascii="Calibri" w:cs="Calibri" w:eastAsia="Calibri" w:hAnsi="Calibri"/>
                <w:b w:val="false"/>
                <w:bCs w:val="false"/>
                <w:i w:val="false"/>
                <w:iCs w:val="false"/>
                <w:strike w:val="false"/>
                <w:color w:val="000000"/>
                <w:sz w:val="20"/>
                <w:szCs w:val="20"/>
              </w:rPr>
              <w:t xml:space="preserve">qb_query_latency_ms (p50, p99), qb_fact_unit_ingestion_rate, qb_safety_enforcement_events_total, qb_conflict_index_size, qb_ncl_attractor_convergence_iterations</w:t>
            </w:r>
          </w:p>
        </w:tc>
        <w:tc>
          <w:tcPr>
            <w:tcW w:type="pct" w:w="24%"/>
          </w:tcPr>
          <w:p>
            <w:r>
              <w:rPr>
                <w:rFonts w:ascii="Calibri" w:cs="Calibri" w:eastAsia="Calibri" w:hAnsi="Calibri"/>
                <w:b w:val="false"/>
                <w:bCs w:val="false"/>
                <w:i w:val="false"/>
                <w:iCs w:val="false"/>
                <w:strike w:val="false"/>
                <w:color w:val="000000"/>
                <w:sz w:val="20"/>
                <w:szCs w:val="20"/>
              </w:rPr>
              <w:t xml:space="preserve">Query p99 &lt; 200ms; ingestion rate &gt; 10k FU/s; safety enforcement error rate = 0</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Distributed Tracing</w:t>
            </w:r>
          </w:p>
        </w:tc>
        <w:tc>
          <w:tcPr>
            <w:tcW w:type="pct" w:w="24%"/>
          </w:tcPr>
          <w:p>
            <w:r>
              <w:rPr>
                <w:rFonts w:ascii="Calibri" w:cs="Calibri" w:eastAsia="Calibri" w:hAnsi="Calibri"/>
                <w:b w:val="false"/>
                <w:bCs w:val="false"/>
                <w:i w:val="false"/>
                <w:iCs w:val="false"/>
                <w:strike w:val="false"/>
                <w:color w:val="000000"/>
                <w:sz w:val="20"/>
                <w:szCs w:val="20"/>
              </w:rPr>
              <w:t xml:space="preserve">OpenTelemetry SDK (all services); Jaeger backend</w:t>
            </w:r>
          </w:p>
        </w:tc>
        <w:tc>
          <w:tcPr>
            <w:tcW w:type="pct" w:w="40%"/>
          </w:tcPr>
          <w:p>
            <w:r>
              <w:rPr>
                <w:rFonts w:ascii="Calibri" w:cs="Calibri" w:eastAsia="Calibri" w:hAnsi="Calibri"/>
                <w:b w:val="false"/>
                <w:bCs w:val="false"/>
                <w:i w:val="false"/>
                <w:iCs w:val="false"/>
                <w:strike w:val="false"/>
                <w:color w:val="000000"/>
                <w:sz w:val="20"/>
                <w:szCs w:val="20"/>
              </w:rPr>
              <w:t xml:space="preserve">Full trace per QB-Query; per-stage ingestion pipeline spans; Safety Substrate enforcement spans</w:t>
            </w:r>
          </w:p>
        </w:tc>
        <w:tc>
          <w:tcPr>
            <w:tcW w:type="pct" w:w="24%"/>
          </w:tcPr>
          <w:p>
            <w:r>
              <w:rPr>
                <w:rFonts w:ascii="Calibri" w:cs="Calibri" w:eastAsia="Calibri" w:hAnsi="Calibri"/>
                <w:b w:val="false"/>
                <w:bCs w:val="false"/>
                <w:i w:val="false"/>
                <w:iCs w:val="false"/>
                <w:strike w:val="false"/>
                <w:color w:val="000000"/>
                <w:sz w:val="20"/>
                <w:szCs w:val="20"/>
              </w:rPr>
              <w:t xml:space="preserve">100% of queries traced; trace sampling rate for high-volume services: 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Logging</w:t>
            </w:r>
          </w:p>
        </w:tc>
        <w:tc>
          <w:tcPr>
            <w:tcW w:type="pct" w:w="24%"/>
          </w:tcPr>
          <w:p>
            <w:r>
              <w:rPr>
                <w:rFonts w:ascii="Calibri" w:cs="Calibri" w:eastAsia="Calibri" w:hAnsi="Calibri"/>
                <w:b w:val="false"/>
                <w:bCs w:val="false"/>
                <w:i w:val="false"/>
                <w:iCs w:val="false"/>
                <w:strike w:val="false"/>
                <w:color w:val="000000"/>
                <w:sz w:val="20"/>
                <w:szCs w:val="20"/>
              </w:rPr>
              <w:t xml:space="preserve">Structured JSON logs; Fluentd collection; Elasticsearch storage; Kibana dashboards</w:t>
            </w:r>
          </w:p>
        </w:tc>
        <w:tc>
          <w:tcPr>
            <w:tcW w:type="pct" w:w="40%"/>
          </w:tcPr>
          <w:p>
            <w:r>
              <w:rPr>
                <w:rFonts w:ascii="Calibri" w:cs="Calibri" w:eastAsia="Calibri" w:hAnsi="Calibri"/>
                <w:b w:val="false"/>
                <w:bCs w:val="false"/>
                <w:i w:val="false"/>
                <w:iCs w:val="false"/>
                <w:strike w:val="false"/>
                <w:color w:val="000000"/>
                <w:sz w:val="20"/>
                <w:szCs w:val="20"/>
              </w:rPr>
              <w:t xml:space="preserve">All logs include: service_name, pod_id, trace_id, span_id, caller_id, fuid (where applicable), severity, message</w:t>
            </w:r>
          </w:p>
        </w:tc>
        <w:tc>
          <w:tcPr>
            <w:tcW w:type="pct" w:w="24%"/>
          </w:tcPr>
          <w:p>
            <w:r>
              <w:rPr>
                <w:rFonts w:ascii="Calibri" w:cs="Calibri" w:eastAsia="Calibri" w:hAnsi="Calibri"/>
                <w:b w:val="false"/>
                <w:bCs w:val="false"/>
                <w:i w:val="false"/>
                <w:iCs w:val="false"/>
                <w:strike w:val="false"/>
                <w:color w:val="000000"/>
                <w:sz w:val="20"/>
                <w:szCs w:val="20"/>
              </w:rPr>
              <w:t xml:space="preserve">Log retention: 90 days hot; 7 years archive</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Alerting</w:t>
            </w:r>
          </w:p>
        </w:tc>
        <w:tc>
          <w:tcPr>
            <w:tcW w:type="pct" w:w="24%"/>
          </w:tcPr>
          <w:p>
            <w:r>
              <w:rPr>
                <w:rFonts w:ascii="Calibri" w:cs="Calibri" w:eastAsia="Calibri" w:hAnsi="Calibri"/>
                <w:b w:val="false"/>
                <w:bCs w:val="false"/>
                <w:i w:val="false"/>
                <w:iCs w:val="false"/>
                <w:strike w:val="false"/>
                <w:color w:val="000000"/>
                <w:sz w:val="20"/>
                <w:szCs w:val="20"/>
              </w:rPr>
              <w:t xml:space="preserve">Prometheus Alertmanager; PagerDuty integration for P0/P1</w:t>
            </w:r>
          </w:p>
        </w:tc>
        <w:tc>
          <w:tcPr>
            <w:tcW w:type="pct" w:w="40%"/>
          </w:tcPr>
          <w:p>
            <w:r>
              <w:rPr>
                <w:rFonts w:ascii="Calibri" w:cs="Calibri" w:eastAsia="Calibri" w:hAnsi="Calibri"/>
                <w:b w:val="false"/>
                <w:bCs w:val="false"/>
                <w:i w:val="false"/>
                <w:iCs w:val="false"/>
                <w:strike w:val="false"/>
                <w:color w:val="000000"/>
                <w:sz w:val="20"/>
                <w:szCs w:val="20"/>
              </w:rPr>
              <w:t xml:space="preserve">Alerts on: query p99 &gt; 200ms sustained 5m; ingestion lag &gt; 30m; safety enforcement failures; replication lag &gt; 1m; Provenance Ledger write failures</w:t>
            </w:r>
          </w:p>
        </w:tc>
        <w:tc>
          <w:tcPr>
            <w:tcW w:type="pct" w:w="24%"/>
          </w:tcPr>
          <w:p>
            <w:r>
              <w:rPr>
                <w:rFonts w:ascii="Calibri" w:cs="Calibri" w:eastAsia="Calibri" w:hAnsi="Calibri"/>
                <w:b w:val="false"/>
                <w:bCs w:val="false"/>
                <w:i w:val="false"/>
                <w:iCs w:val="false"/>
                <w:strike w:val="false"/>
                <w:color w:val="000000"/>
                <w:sz w:val="20"/>
                <w:szCs w:val="20"/>
              </w:rPr>
              <w:t xml:space="preserve">P0 alert page within 2 minutes; P1 within 10 minutes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19.4 SDK and Integration Libraries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Language</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Package Name</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Key Features</w:t>
            </w:r>
          </w:p>
        </w:tc>
        <w:tc>
          <w:tcPr>
            <w:tcW w:type="pct" w:w="23%"/>
            <w:shd w:fill="DCE6F0" w:color="auto" w:val="clear"/>
          </w:tcPr>
          <w:p>
            <w:r>
              <w:rPr>
                <w:rFonts w:ascii="Calibri" w:cs="Calibri" w:eastAsia="Calibri" w:hAnsi="Calibri"/>
                <w:b/>
                <w:bCs/>
                <w:i w:val="false"/>
                <w:iCs w:val="false"/>
                <w:strike w:val="false"/>
                <w:color w:val="0D2A5E"/>
                <w:sz w:val="20"/>
                <w:szCs w:val="20"/>
              </w:rPr>
              <w:t xml:space="preserve">Auth Support</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Python</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(PyPI)</w:t>
            </w:r>
          </w:p>
        </w:tc>
        <w:tc>
          <w:tcPr>
            <w:tcW w:type="pct" w:w="46%"/>
          </w:tcPr>
          <w:p>
            <w:r>
              <w:rPr>
                <w:rFonts w:ascii="Calibri" w:cs="Calibri" w:eastAsia="Calibri" w:hAnsi="Calibri"/>
                <w:b w:val="false"/>
                <w:bCs w:val="false"/>
                <w:i w:val="false"/>
                <w:iCs w:val="false"/>
                <w:strike w:val="false"/>
                <w:color w:val="000000"/>
                <w:sz w:val="20"/>
                <w:szCs w:val="20"/>
              </w:rPr>
              <w:t xml:space="preserve">Sync and async clients; QB-Query builder DSL; QBF serialization/deserialization; Fact Stream consumer; pandas DataFrame integration for structured data ingestion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OIDC device flow</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TypeScript / JavaScript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@querybook/sdk</w:t>
            </w:r>
            <w:r>
              <w:rPr>
                <w:rFonts w:ascii="Calibri" w:cs="Calibri" w:eastAsia="Calibri" w:hAnsi="Calibri"/>
                <w:b w:val="false"/>
                <w:bCs w:val="false"/>
                <w:i w:val="false"/>
                <w:iCs w:val="false"/>
                <w:strike w:val="false"/>
                <w:color w:val="000000"/>
                <w:sz w:val="20"/>
                <w:szCs w:val="20"/>
              </w:rPr>
              <w:t xml:space="preserve"> (npm)</w:t>
            </w:r>
          </w:p>
        </w:tc>
        <w:tc>
          <w:tcPr>
            <w:tcW w:type="pct" w:w="46%"/>
          </w:tcPr>
          <w:p>
            <w:r>
              <w:rPr>
                <w:rFonts w:ascii="Calibri" w:cs="Calibri" w:eastAsia="Calibri" w:hAnsi="Calibri"/>
                <w:b w:val="false"/>
                <w:bCs w:val="false"/>
                <w:i w:val="false"/>
                <w:iCs w:val="false"/>
                <w:strike w:val="false"/>
                <w:color w:val="000000"/>
                <w:sz w:val="20"/>
                <w:szCs w:val="20"/>
              </w:rPr>
              <w:t xml:space="preserve">Promise and async/generator based API; QB-Query template literals; browser and Node.js support; React hooks for reactive Fact Stream subscriptions</w:t>
            </w:r>
          </w:p>
        </w:tc>
        <w:tc>
          <w:tcPr>
            <w:tcW w:type="pct" w:w="23%"/>
          </w:tcPr>
          <w:p>
            <w:r>
              <w:rPr>
                <w:rFonts w:ascii="Calibri" w:cs="Calibri" w:eastAsia="Calibri" w:hAnsi="Calibri"/>
                <w:b w:val="false"/>
                <w:bCs w:val="false"/>
                <w:i w:val="false"/>
                <w:iCs w:val="false"/>
                <w:strike w:val="false"/>
                <w:color w:val="000000"/>
                <w:sz w:val="20"/>
                <w:szCs w:val="20"/>
              </w:rPr>
              <w:t xml:space="preserve">OAuth 2.0 PKCE for browser; client credentials for Node.js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Java</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com.querybook:querybook-sdk</w:t>
            </w:r>
            <w:r>
              <w:rPr>
                <w:rFonts w:ascii="Calibri" w:cs="Calibri" w:eastAsia="Calibri" w:hAnsi="Calibri"/>
                <w:b w:val="false"/>
                <w:bCs w:val="false"/>
                <w:i w:val="false"/>
                <w:iCs w:val="false"/>
                <w:strike w:val="false"/>
                <w:color w:val="000000"/>
                <w:sz w:val="20"/>
                <w:szCs w:val="20"/>
              </w:rPr>
              <w:t xml:space="preserve"> (Maven Central)</w:t>
            </w:r>
          </w:p>
        </w:tc>
        <w:tc>
          <w:tcPr>
            <w:tcW w:type="pct" w:w="46%"/>
          </w:tcPr>
          <w:p>
            <w:r>
              <w:rPr>
                <w:rFonts w:ascii="Calibri" w:cs="Calibri" w:eastAsia="Calibri" w:hAnsi="Calibri"/>
                <w:b w:val="false"/>
                <w:bCs w:val="false"/>
                <w:i w:val="false"/>
                <w:iCs w:val="false"/>
                <w:strike w:val="false"/>
                <w:color w:val="000000"/>
                <w:sz w:val="20"/>
                <w:szCs w:val="20"/>
              </w:rPr>
              <w:t xml:space="preserve">Reactive (Project Reactor) and blocking clients; Spring Boot auto-configuration starter; JPA-inspired Fact Unit repository pattern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Spring Security integration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Go</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github.com/querybook/querybook-go</w:t>
            </w:r>
          </w:p>
        </w:tc>
        <w:tc>
          <w:tcPr>
            <w:tcW w:type="pct" w:w="46%"/>
          </w:tcPr>
          <w:p>
            <w:r>
              <w:rPr>
                <w:rFonts w:ascii="Calibri" w:cs="Calibri" w:eastAsia="Calibri" w:hAnsi="Calibri"/>
                <w:b w:val="false"/>
                <w:bCs w:val="false"/>
                <w:i w:val="false"/>
                <w:iCs w:val="false"/>
                <w:strike w:val="false"/>
                <w:color w:val="000000"/>
                <w:sz w:val="20"/>
                <w:szCs w:val="20"/>
              </w:rPr>
              <w:t xml:space="preserve">Idiomatic Go interfaces; goroutine-safe Fact Stream consumer; QBF codec; context-based cancellation</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 token refresh middleware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Rust</w:t>
            </w:r>
          </w:p>
        </w:tc>
        <w:tc>
          <w:tcPr>
            <w:tcW w:type="pct" w:w="18%"/>
          </w:tcPr>
          <w:p>
            <w:r>
              <w:rPr>
                <w:rFonts w:ascii="Calibri" w:cs="Calibri" w:eastAsia="Calibri" w:hAnsi="Calibri"/>
                <w:b w:val="false"/>
                <w:bCs w:val="false"/>
                <w:i w:val="false"/>
                <w:iCs w:val="false"/>
                <w:strike w:val="false"/>
                <w:color w:val="000000"/>
                <w:sz w:val="18"/>
                <w:szCs w:val="18"/>
                <w:shd w:fill="F3F4F6" w:color="auto" w:val="clear"/>
              </w:rPr>
              <w:t xml:space="preserve">querybook</w:t>
            </w:r>
            <w:r>
              <w:rPr>
                <w:rFonts w:ascii="Calibri" w:cs="Calibri" w:eastAsia="Calibri" w:hAnsi="Calibri"/>
                <w:b w:val="false"/>
                <w:bCs w:val="false"/>
                <w:i w:val="false"/>
                <w:iCs w:val="false"/>
                <w:strike w:val="false"/>
                <w:color w:val="000000"/>
                <w:sz w:val="20"/>
                <w:szCs w:val="20"/>
              </w:rPr>
              <w:t xml:space="preserve"> (crates.io)</w:t>
            </w:r>
          </w:p>
        </w:tc>
        <w:tc>
          <w:tcPr>
            <w:tcW w:type="pct" w:w="46%"/>
          </w:tcPr>
          <w:p>
            <w:r>
              <w:rPr>
                <w:rFonts w:ascii="Calibri" w:cs="Calibri" w:eastAsia="Calibri" w:hAnsi="Calibri"/>
                <w:b w:val="false"/>
                <w:bCs w:val="false"/>
                <w:i w:val="false"/>
                <w:iCs w:val="false"/>
                <w:strike w:val="false"/>
                <w:color w:val="000000"/>
                <w:sz w:val="20"/>
                <w:szCs w:val="20"/>
              </w:rPr>
              <w:t xml:space="preserve">Zero-copy QBF deserialization using serde; async Tokio-based client; memory-safe Fact Unit manipulation; WebAssembly compilation target for browser-embedded use</w:t>
            </w:r>
          </w:p>
        </w:tc>
        <w:tc>
          <w:tcPr>
            <w:tcW w:type="pct" w:w="23%"/>
          </w:tcPr>
          <w:p>
            <w:r>
              <w:rPr>
                <w:rFonts w:ascii="Calibri" w:cs="Calibri" w:eastAsia="Calibri" w:hAnsi="Calibri"/>
                <w:b w:val="false"/>
                <w:bCs w:val="false"/>
                <w:i w:val="false"/>
                <w:iCs w:val="false"/>
                <w:strike w:val="false"/>
                <w:color w:val="000000"/>
                <w:sz w:val="20"/>
                <w:szCs w:val="20"/>
              </w:rPr>
              <w:t xml:space="preserve">OAuth 2.0 client credentials</w:t>
            </w:r>
          </w:p>
        </w:tc>
      </w:tr>
    </w:tbl>
    <w:p>
      <w:pPr>
        <w:pStyle w:val="Heading1"/>
        <w:spacing w:after="120" w:before="240" w:line="288" w:lineRule="auto"/>
      </w:pPr>
      <w:r>
        <w:rPr>
          <w:rFonts w:ascii="Calibri" w:cs="Calibri" w:eastAsia="Calibri" w:hAnsi="Calibri"/>
          <w:color w:val="000000"/>
          <w:sz w:val="48"/>
          <w:szCs w:val="48"/>
        </w:rPr>
        <w:t xml:space="preserve">19.8 Q&amp;A — The Specification Assistant Agent (added in Version 1.0 merge review, Pass 2)</w:t>
      </w:r>
    </w:p>
    <w:p>
      <w:pPr>
        <w:pStyle w:val="Heading2"/>
        <w:spacing w:after="120" w:before="240" w:line="288" w:lineRule="auto"/>
      </w:pPr>
      <w:r>
        <w:rPr>
          <w:rFonts w:ascii="Calibri" w:cs="Calibri" w:eastAsia="Calibri" w:hAnsi="Calibri"/>
          <w:color w:val="000000"/>
          <w:sz w:val="36"/>
          <w:szCs w:val="36"/>
        </w:rPr>
        <w:t xml:space="preserve">19.8.1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 dedicated AI agent chatbot, distinct from QueryBook's own product-facing query interface, whose sole job is to answer questions about this Bible itself — its architecture, terminology, chapter cross-references, and open gaps (such as the ones logged in the Merge Revision Note at the front of this document). Q&amp;A exists because a specification of this size is hard for a new engineer, patent attorney, or architect to navigate by reading linearly; Q&amp;A lets them ask a question in plain language and get an answer grounded in the actual chapter and section text, with a citation back to it.</w:t>
      </w:r>
    </w:p>
    <w:p>
      <w:pPr>
        <w:pStyle w:val="Heading2"/>
        <w:spacing w:after="120" w:before="240" w:line="288" w:lineRule="auto"/>
      </w:pPr>
      <w:r>
        <w:rPr>
          <w:rFonts w:ascii="Calibri" w:cs="Calibri" w:eastAsia="Calibri" w:hAnsi="Calibri"/>
          <w:color w:val="000000"/>
          <w:sz w:val="36"/>
          <w:szCs w:val="36"/>
        </w:rPr>
        <w:t xml:space="preserve">19.8.2 Why It Is Built on QueryBook's Own Stack</w:t>
      </w:r>
    </w:p>
    <w:p>
      <w:pPr>
        <w:spacing w:after="120" w:line="360" w:lineRule="auto"/>
      </w:pPr>
      <w:r>
        <w:rPr>
          <w:rFonts w:ascii="Calibri" w:cs="Calibri" w:eastAsia="Calibri" w:hAnsi="Calibri"/>
          <w:b w:val="false"/>
          <w:bCs w:val="false"/>
          <w:i w:val="false"/>
          <w:iCs w:val="false"/>
          <w:strike w:val="false"/>
          <w:color w:val="000000"/>
          <w:sz w:val="22"/>
          <w:szCs w:val="22"/>
        </w:rPr>
        <w:t xml:space="preserve">Rather than building a separate document-QA tool, Q&amp;A is implemented as a self-referential QueryBook deployment: this Bible is ingested as its own Fact Graph, and Q&amp;A is the Adaptive Response Engine (Chapter 52) and Multilingual Regeneration Engine (Chapter 16) pointed at that graph. This is a deliberate design choice, not a shortcut — it means Q&amp;A inherits the Factual Groundedness metric already specified for the Narrative Graph (§12, per-sentence proposition-to-Fact-Unit tracing), so every answer it gives can be traced back to a specific chapter and section rather than being generated from general knowledge about QueryBook. It also means Q&amp;A is a living demonstration of the architecture it explains.</w:t>
      </w:r>
    </w:p>
    <w:p>
      <w:pPr>
        <w:pStyle w:val="Heading2"/>
        <w:spacing w:after="120" w:before="240" w:line="288" w:lineRule="auto"/>
      </w:pPr>
      <w:r>
        <w:rPr>
          <w:rFonts w:ascii="Calibri" w:cs="Calibri" w:eastAsia="Calibri" w:hAnsi="Calibri"/>
          <w:color w:val="000000"/>
          <w:sz w:val="36"/>
          <w:szCs w:val="36"/>
        </w:rPr>
        <w:t xml:space="preserve">19.8.3 Ingestion of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Source: the Bible is ingested as a single BATCH source (§49.3.2.1) through the Unstructured Text Extraction branch (§4.3.1), chapter by chapter, with each numbered section (e.g. §3.1, §8.5.1, §9.5.3) becoming its own Fact Bundle (§3.4) so that a retrieved answer can cite a specific section rather than an entire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Re-ingestion on edit: every merge or amendment to this Bible (see the Merge Revision Note) triggers re-ingestion of the changed sections only, keyed by section number, so Q&amp;A's answers stay current with the latest merged version without a full re-index.</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Cross-references preserved: section cross-references already present in the text (for example, "see §8.1") are extracted as RelationSet edges (§3.1) between the corresponding Fact Bundles, so Q&amp;A can follow a cross-reference the same way a human reader would flip to another chapter.</w:t>
      </w:r>
    </w:p>
    <w:p>
      <w:pPr>
        <w:pStyle w:val="Heading2"/>
        <w:spacing w:after="120" w:before="240" w:line="288" w:lineRule="auto"/>
      </w:pPr>
      <w:r>
        <w:rPr>
          <w:rFonts w:ascii="Calibri" w:cs="Calibri" w:eastAsia="Calibri" w:hAnsi="Calibri"/>
          <w:color w:val="000000"/>
          <w:sz w:val="36"/>
          <w:szCs w:val="36"/>
        </w:rPr>
        <w:t xml:space="preserve">19.8.4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is available as a chat interface alongside the document (embedded panel in the QueryBook documentation viewer) and as an API, described below. A typical interaction: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User asks: “Why does the FUID use UUID v7 if it also has to be deterministic?”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Q&amp;A retrieves the relevant Fact Bundles (§2.1 glossary entry, §3.1 Fact Unit Schema, §3.1.1 Implementation Note) via the same Associative Recall Engine described in §7.2.3, applies the Adaptive Response Engine's Response Profile for the asking user's role (Chapter 52), and returns an answer that cites §3.1.1 directly — the same implementation note added in the first merge review pass.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Fact Bundle in the ingested Bible supports an answer, Q&amp;A says so explicitly rather than filling the gap from general knowledge — the same Without-Information Rule preference for partial-but-grounded answers established in D0.4 applies here: Q&amp;A will point to the nearest related section rather than staying silent, but it will not present an ungrounded guess as if it were specification text.</w:t>
      </w:r>
    </w:p>
    <w:p>
      <w:pPr>
        <w:pStyle w:val="Heading2"/>
        <w:spacing w:after="120" w:before="240" w:line="288" w:lineRule="auto"/>
      </w:pPr>
      <w:r>
        <w:rPr>
          <w:rFonts w:ascii="Calibri" w:cs="Calibri" w:eastAsia="Calibri" w:hAnsi="Calibri"/>
          <w:color w:val="000000"/>
          <w:sz w:val="36"/>
          <w:szCs w:val="36"/>
        </w:rPr>
        <w:t xml:space="preserve">19.8.5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Q&amp;A adds one endpoint to the API surface specified in §9.5.1, following the same table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POST /v1/qa/ask: </w:t>
      </w:r>
      <w:r>
        <w:rPr>
          <w:rFonts w:ascii="Calibri" w:cs="Calibri" w:eastAsia="Calibri" w:hAnsi="Calibri"/>
          <w:b w:val="false"/>
          <w:bCs w:val="false"/>
          <w:i w:val="false"/>
          <w:iCs w:val="false"/>
          <w:strike w:val="false"/>
          <w:color w:val="000000"/>
          <w:sz w:val="22"/>
          <w:szCs w:val="22"/>
        </w:rPr>
        <w:t xml:space="preserve">submits a natural-language question about this Bible; returns a generated answer plus the list of section numbers (FUIDs of the supporting Fact Bundles) it was grounded in. Requires a Bearer token; no elevated role is required, since Q&amp;A only ever answers from this Bible's own already-public-to-the-reader content and never has access to a live QueryBook deployment's ingested customer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GET /v1/qa/sections/{section_id}: </w:t>
      </w:r>
      <w:r>
        <w:rPr>
          <w:rFonts w:ascii="Calibri" w:cs="Calibri" w:eastAsia="Calibri" w:hAnsi="Calibri"/>
          <w:b w:val="false"/>
          <w:bCs w:val="false"/>
          <w:i w:val="false"/>
          <w:iCs w:val="false"/>
          <w:strike w:val="false"/>
          <w:color w:val="000000"/>
          <w:sz w:val="22"/>
          <w:szCs w:val="22"/>
        </w:rPr>
        <w:t xml:space="preserve">returns the Fact Bundle for a given section number directly, without going through natural-language generation — useful for building a “jump to source” link under a Q&amp;A answer. Requires a Bearer token.</w:t>
      </w:r>
    </w:p>
    <w:p>
      <w:pPr>
        <w:pStyle w:val="Heading2"/>
        <w:spacing w:after="120" w:before="240" w:line="288" w:lineRule="auto"/>
      </w:pPr>
      <w:r>
        <w:rPr>
          <w:rFonts w:ascii="Calibri" w:cs="Calibri" w:eastAsia="Calibri" w:hAnsi="Calibri"/>
          <w:color w:val="000000"/>
          <w:sz w:val="36"/>
          <w:szCs w:val="36"/>
        </w:rPr>
        <w:t xml:space="preserve">19.8.6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Q&amp;A GOVERNANCE NOTE</w:t>
            </w:r>
            <w:r>
              <w:rPr>
                <w:rFonts w:ascii="Calibri" w:cs="Calibri" w:eastAsia="Calibri" w:hAnsi="Calibri"/>
                <w:b/>
                <w:bCs/>
                <w:i w:val="false"/>
                <w:iCs w:val="false"/>
                <w:strike w:val="false"/>
                <w:color w:val="333333"/>
                <w:sz w:val="24"/>
                <w:szCs w:val="24"/>
              </w:rPr>
              <w:t xml:space="preserve">Q&amp;A is a Regeneration Gate consumer like any other MRE-driven output (§8.1, enforcement point 46) and is subject to the Prime Directive (Domain 0) and standard Safety Substrate enforcement. Because Q&amp;A's Fact Graph is this Bible rather than a customer deployment's data, its practical exposure is limited to the SafetyFlags already assigned to Bible content itself (§8.2) — for example, if a future chapter marks a subsection RESTRICTED, Q&amp;A enforces that the same way it would for any other Fact Unit.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Q&amp;A does not replace product-facing QueryBook query access (§9.5.1, §18 QB-Query Language) — it is scoped specifically to this specification document and is intended for the audiences named on this Bible's title page: patent attorneys, senior engineers, AI researchers, and product architects.</w:t>
      </w:r>
    </w:p>
    <w:p>
      <w:pPr>
        <w:pStyle w:val="Heading2"/>
        <w:spacing w:after="120" w:before="240" w:line="288" w:lineRule="auto"/>
      </w:pPr>
      <w:r>
        <w:rPr>
          <w:rFonts w:ascii="Calibri" w:cs="Calibri" w:eastAsia="Calibri" w:hAnsi="Calibri"/>
          <w:color w:val="000000"/>
          <w:sz w:val="36"/>
          <w:szCs w:val="36"/>
        </w:rPr>
        <w:t xml:space="preserve">19.9 Fact Graph Domain Sharding at High Query Volume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specifies a concrete sharding key and replica topology for the Fact Graph at high query volume, closing a gap identified directly: §19.1's microservices architecture specifies per-service horizontal scaling policies but did not previously specify how the Fact Graph itself is partitioned for read scaling. This section adds a partitioning scheme; it modifies no existing service's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DOMAIN-SHARDED, USING STRUCTURE THAT ALREADY EXISTS</w:t>
            </w:r>
            <w:r>
              <w:rPr>
                <w:rFonts w:ascii="Calibri" w:cs="Calibri" w:eastAsia="Calibri" w:hAnsi="Calibri"/>
                <w:b/>
                <w:bCs/>
                <w:i w:val="false"/>
                <w:iCs w:val="false"/>
                <w:strike w:val="false"/>
                <w:color w:val="333333"/>
                <w:sz w:val="24"/>
                <w:szCs w:val="24"/>
              </w:rPr>
              <w:t xml:space="preserve">The Ontology Mesh's federated domain sub-ontologies (§6.1, §20.1 of the patent) already classify every Fact Unit by domain. This section reuses that existing classification as the shard key, rather than introducing a new partitioning scheme — a Finance-domain-heavy query load and a Medicine-domain-heavy query load route to independently-scaled replica pools without any new metadata or reclassification.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19.9.1 Replica Topology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Layer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Partitioning</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Scaling Trigger</w:t>
            </w:r>
          </w:p>
        </w:tc>
      </w:tr>
      <w:tr>
        <w:tc>
          <w:tcPr>
            <w:tcW w:type="pct" w:w="33%"/>
          </w:tcPr>
          <w:p>
            <w:r>
              <w:rPr>
                <w:rFonts w:ascii="Calibri" w:cs="Calibri" w:eastAsia="Calibri" w:hAnsi="Calibri"/>
                <w:b w:val="false"/>
                <w:bCs w:val="false"/>
                <w:i w:val="false"/>
                <w:iCs w:val="false"/>
                <w:strike w:val="false"/>
                <w:color w:val="000000"/>
                <w:sz w:val="19"/>
                <w:szCs w:val="19"/>
              </w:rPr>
              <w:t xml:space="preserve">Write path</w:t>
            </w:r>
          </w:p>
        </w:tc>
        <w:tc>
          <w:tcPr>
            <w:tcW w:type="pct" w:w="33%"/>
          </w:tcPr>
          <w:p>
            <w:r>
              <w:rPr>
                <w:rFonts w:ascii="Calibri" w:cs="Calibri" w:eastAsia="Calibri" w:hAnsi="Calibri"/>
                <w:b w:val="false"/>
                <w:bCs w:val="false"/>
                <w:i w:val="false"/>
                <w:iCs w:val="false"/>
                <w:strike w:val="false"/>
                <w:color w:val="000000"/>
                <w:sz w:val="19"/>
                <w:szCs w:val="19"/>
              </w:rPr>
              <w:t xml:space="preserve">Single authoritative store per Fact Unit, unpartitioned by domain — consistent with the Provenance Ledger's existing requirement for one canonical record (Chapter 5).</w:t>
            </w:r>
          </w:p>
        </w:tc>
        <w:tc>
          <w:tcPr>
            <w:tcW w:type="pct" w:w="33%"/>
          </w:tcPr>
          <w:p>
            <w:r>
              <w:rPr>
                <w:rFonts w:ascii="Calibri" w:cs="Calibri" w:eastAsia="Calibri" w:hAnsi="Calibri"/>
                <w:b w:val="false"/>
                <w:bCs w:val="false"/>
                <w:i w:val="false"/>
                <w:iCs w:val="false"/>
                <w:strike w:val="false"/>
                <w:color w:val="000000"/>
                <w:sz w:val="19"/>
                <w:szCs w:val="19"/>
              </w:rPr>
              <w:t xml:space="preserve">N/A — write volume is orders of magnitude lower than read volume at this scale and is not the bottleneck this section addresses.</w:t>
            </w:r>
          </w:p>
        </w:tc>
      </w:tr>
      <w:tr>
        <w:tc>
          <w:tcPr>
            <w:tcW w:type="pct" w:w="33%"/>
          </w:tcPr>
          <w:p>
            <w:r>
              <w:rPr>
                <w:rFonts w:ascii="Calibri" w:cs="Calibri" w:eastAsia="Calibri" w:hAnsi="Calibri"/>
                <w:b w:val="false"/>
                <w:bCs w:val="false"/>
                <w:i w:val="false"/>
                <w:iCs w:val="false"/>
                <w:strike w:val="false"/>
                <w:color w:val="000000"/>
                <w:sz w:val="19"/>
                <w:szCs w:val="19"/>
              </w:rPr>
              <w:t xml:space="preserve">Read replica pools</w:t>
            </w:r>
          </w:p>
        </w:tc>
        <w:tc>
          <w:tcPr>
            <w:tcW w:type="pct" w:w="33%"/>
          </w:tcPr>
          <w:p>
            <w:r>
              <w:rPr>
                <w:rFonts w:ascii="Calibri" w:cs="Calibri" w:eastAsia="Calibri" w:hAnsi="Calibri"/>
                <w:b w:val="false"/>
                <w:bCs w:val="false"/>
                <w:i w:val="false"/>
                <w:iCs w:val="false"/>
                <w:strike w:val="false"/>
                <w:color w:val="000000"/>
                <w:sz w:val="19"/>
                <w:szCs w:val="19"/>
              </w:rPr>
              <w:t xml:space="preserve">Sharded by a Fact Unit's primary domain classification (§6.1); a Fact Unit registered under multiple domains is replicated to each relevant pool.</w:t>
            </w:r>
          </w:p>
        </w:tc>
        <w:tc>
          <w:tcPr>
            <w:tcW w:type="pct" w:w="33%"/>
          </w:tcPr>
          <w:p>
            <w:r>
              <w:rPr>
                <w:rFonts w:ascii="Calibri" w:cs="Calibri" w:eastAsia="Calibri" w:hAnsi="Calibri"/>
                <w:b w:val="false"/>
                <w:bCs w:val="false"/>
                <w:i w:val="false"/>
                <w:iCs w:val="false"/>
                <w:strike w:val="false"/>
                <w:color w:val="000000"/>
                <w:sz w:val="19"/>
                <w:szCs w:val="19"/>
              </w:rPr>
              <w:t xml:space="preserve">Per-pool horizontal scaling on query queue depth, following the same policy pattern already specified for other services at §19.1.</w:t>
            </w:r>
          </w:p>
        </w:tc>
      </w:tr>
      <w:tr>
        <w:tc>
          <w:tcPr>
            <w:tcW w:type="pct" w:w="33%"/>
          </w:tcPr>
          <w:p>
            <w:r>
              <w:rPr>
                <w:rFonts w:ascii="Calibri" w:cs="Calibri" w:eastAsia="Calibri" w:hAnsi="Calibri"/>
                <w:b w:val="false"/>
                <w:bCs w:val="false"/>
                <w:i w:val="false"/>
                <w:iCs w:val="false"/>
                <w:strike w:val="false"/>
                <w:color w:val="000000"/>
                <w:sz w:val="19"/>
                <w:szCs w:val="19"/>
              </w:rPr>
              <w:t xml:space="preserve">Cross-domain query fan-out</w:t>
            </w:r>
          </w:p>
        </w:tc>
        <w:tc>
          <w:tcPr>
            <w:tcW w:type="pct" w:w="33%"/>
          </w:tcPr>
          <w:p>
            <w:r>
              <w:rPr>
                <w:rFonts w:ascii="Calibri" w:cs="Calibri" w:eastAsia="Calibri" w:hAnsi="Calibri"/>
                <w:b w:val="false"/>
                <w:bCs w:val="false"/>
                <w:i w:val="false"/>
                <w:iCs w:val="false"/>
                <w:strike w:val="false"/>
                <w:color w:val="000000"/>
                <w:sz w:val="19"/>
                <w:szCs w:val="19"/>
              </w:rPr>
              <w:t xml:space="preserve">A query spanning multiple domains (reusing AEM's existing cross-domain synthesis, Chapter 15) fans out to each relevant pool and merges results before Safety Substrate evaluation.</w:t>
            </w:r>
          </w:p>
        </w:tc>
        <w:tc>
          <w:tcPr>
            <w:tcW w:type="pct" w:w="33%"/>
          </w:tcPr>
          <w:p>
            <w:r>
              <w:rPr>
                <w:rFonts w:ascii="Calibri" w:cs="Calibri" w:eastAsia="Calibri" w:hAnsi="Calibri"/>
                <w:b w:val="false"/>
                <w:bCs w:val="false"/>
                <w:i w:val="false"/>
                <w:iCs w:val="false"/>
                <w:strike w:val="false"/>
                <w:color w:val="000000"/>
                <w:sz w:val="19"/>
                <w:szCs w:val="19"/>
              </w:rPr>
              <w:t xml:space="preserve">N/A — fan-out is bounded by the query's own resolved domain set, not a separate scaling dimension.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19.9.2 Cache Invalidation Keyed to Fact Unit Version, Not Time</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grounded output is deterministic given a fixed Fact Graph state (Claim 8), a cached response remains valid until its specific underlying Fact Unit's version changes — not on a fixed time-to-live. A cache entry is invalidated by the same Provenance Ledger event that records a Fact Unit's revision (Chapter 5), giving exact, immediate invalidation rather than approximate, time-based staleness. This is a structural consequence of the grounding guarantee already established; it is not a new consistency mechanism.</w:t>
      </w:r>
    </w:p>
    <w:p>
      <w:pPr>
        <w:pStyle w:val="Heading2"/>
        <w:spacing w:after="120" w:before="240" w:line="288" w:lineRule="auto"/>
      </w:pPr>
      <w:r>
        <w:rPr>
          <w:rFonts w:ascii="Calibri" w:cs="Calibri" w:eastAsia="Calibri" w:hAnsi="Calibri"/>
          <w:color w:val="000000"/>
          <w:sz w:val="36"/>
          <w:szCs w:val="36"/>
        </w:rPr>
        <w:t xml:space="preserve">19.9.3 Safety Substrate Capacity as the Throughput Floor</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Safety Substrate evaluation remains synchronous and mandatory for every query regardless of scale (Chapter 8), its replica capacity is the effective ceiling on total system throughput, not a service sized after the rest of the architecture. Capacity planning for this section treats Safety Gate throughput as the binding constraint and sizes every other layer's target capacity to remain non-limiting relative to it.</w:t>
      </w:r>
    </w:p>
    <w:p>
      <w:pPr>
        <w:pStyle w:val="Heading2"/>
        <w:spacing w:after="120" w:before="240" w:line="288" w:lineRule="auto"/>
      </w:pPr>
      <w:r>
        <w:rPr>
          <w:rFonts w:ascii="Calibri" w:cs="Calibri" w:eastAsia="Calibri" w:hAnsi="Calibri"/>
          <w:color w:val="000000"/>
          <w:sz w:val="36"/>
          <w:szCs w:val="36"/>
        </w:rPr>
        <w:t xml:space="preserve">19.9.4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Ontology Mesh's federated domain classification (§6.1, §20.1 of the patent); the Provenance Ledger (Chapter 5, Claim 2); AEM's cross-domain synthesis (Chapter 15); the Safety Substrate (Chapter 8); and §19.1's existing per-service scaling policy pattern. It modifies none of their specifications.</w:t>
      </w:r>
    </w:p>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PART XIX — PATENT REFERENCE FRAMEWORK</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XIX Executive Summary</w:t>
            </w:r>
            <w:r>
              <w:rPr>
                <w:rFonts w:ascii="Calibri" w:cs="Calibri" w:eastAsia="Calibri" w:hAnsi="Calibri"/>
                <w:b/>
                <w:bCs/>
                <w:i w:val="false"/>
                <w:iCs w:val="false"/>
                <w:strike w:val="false"/>
                <w:color w:val="333333"/>
                <w:sz w:val="24"/>
                <w:szCs w:val="24"/>
              </w:rPr>
              <w:t xml:space="preserve">Part XIX constitutes the patent reference framework — the organized inventory of QueryBook's patentable innovations, differentiation from prior art, and the claim dependency map for portfolio strategy. Each innovation cluster is traced to the technical chapters where it is specified, enabling patent attorneys to construct claims with precise cross-references to this Bible.</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Part XIX: Patent Reference Framework</w:t>
      </w:r>
    </w:p>
    <w:p>
      <w:pPr>
        <w:pStyle w:val="Heading1"/>
        <w:spacing w:after="120" w:before="240" w:line="288" w:lineRule="auto"/>
      </w:pPr>
      <w:r>
        <w:rPr>
          <w:rFonts w:ascii="Calibri" w:cs="Calibri" w:eastAsia="Calibri" w:hAnsi="Calibri"/>
          <w:color w:val="000000"/>
          <w:sz w:val="48"/>
          <w:szCs w:val="48"/>
        </w:rPr>
        <w:t xml:space="preserve">Chapter 20: Patent Claim Reference Index</w:t>
      </w:r>
    </w:p>
    <w:p>
      <w:pPr>
        <w:pStyle w:val="Heading2"/>
        <w:spacing w:after="120" w:before="240" w:line="288" w:lineRule="auto"/>
      </w:pPr>
      <w:r>
        <w:rPr>
          <w:rFonts w:ascii="Calibri" w:cs="Calibri" w:eastAsia="Calibri" w:hAnsi="Calibri"/>
          <w:color w:val="000000"/>
          <w:sz w:val="36"/>
          <w:szCs w:val="36"/>
        </w:rPr>
        <w:t xml:space="preserve">20.1 Patentable Innovation Clusters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Title</w:t>
            </w:r>
          </w:p>
        </w:tc>
        <w:tc>
          <w:tcPr>
            <w:tcW w:type="pct" w:w="67%"/>
            <w:shd w:fill="DCE6F0" w:color="auto" w:val="clear"/>
          </w:tcPr>
          <w:p>
            <w:r>
              <w:rPr>
                <w:rFonts w:ascii="Calibri" w:cs="Calibri" w:eastAsia="Calibri" w:hAnsi="Calibri"/>
                <w:b/>
                <w:bCs/>
                <w:i w:val="false"/>
                <w:iCs w:val="false"/>
                <w:strike w:val="false"/>
                <w:color w:val="0D2A5E"/>
                <w:sz w:val="20"/>
                <w:szCs w:val="20"/>
              </w:rPr>
              <w:t xml:space="preserve">Core Novel Elements</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Specified In</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A</w:t>
            </w:r>
          </w:p>
        </w:tc>
        <w:tc>
          <w:tcPr>
            <w:tcW w:type="pct" w:w="15%"/>
          </w:tcPr>
          <w:p>
            <w:r>
              <w:rPr>
                <w:rFonts w:ascii="Calibri" w:cs="Calibri" w:eastAsia="Calibri" w:hAnsi="Calibri"/>
                <w:b w:val="false"/>
                <w:bCs w:val="false"/>
                <w:i w:val="false"/>
                <w:iCs w:val="false"/>
                <w:strike w:val="false"/>
                <w:color w:val="000000"/>
                <w:sz w:val="20"/>
                <w:szCs w:val="20"/>
              </w:rPr>
              <w:t xml:space="preserve">Fact Unit Schema and FUID Generation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combination of 20+ typed fields in a single atomic knowledge unit; the deterministic FUID generation algorithm from content+source+timestamp; the SemanticHash language-independent fingerprinting method; the SafetyFlags bitmask as an inseparable field of the knowledge atom itself</w:t>
            </w:r>
          </w:p>
        </w:tc>
        <w:tc>
          <w:tcPr>
            <w:tcW w:type="pct" w:w="10%"/>
          </w:tcPr>
          <w:p>
            <w:r>
              <w:rPr>
                <w:rFonts w:ascii="Calibri" w:cs="Calibri" w:eastAsia="Calibri" w:hAnsi="Calibri"/>
                <w:b w:val="false"/>
                <w:bCs w:val="false"/>
                <w:i w:val="false"/>
                <w:iCs w:val="false"/>
                <w:strike w:val="false"/>
                <w:color w:val="000000"/>
                <w:sz w:val="20"/>
                <w:szCs w:val="20"/>
              </w:rPr>
              <w:t xml:space="preserve">Chapter 3, Appendix A</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B</w:t>
            </w:r>
          </w:p>
        </w:tc>
        <w:tc>
          <w:tcPr>
            <w:tcW w:type="pct" w:w="15%"/>
          </w:tcPr>
          <w:p>
            <w:r>
              <w:rPr>
                <w:rFonts w:ascii="Calibri" w:cs="Calibri" w:eastAsia="Calibri" w:hAnsi="Calibri"/>
                <w:b w:val="false"/>
                <w:bCs w:val="false"/>
                <w:i w:val="false"/>
                <w:iCs w:val="false"/>
                <w:strike w:val="false"/>
                <w:color w:val="000000"/>
                <w:sz w:val="20"/>
                <w:szCs w:val="20"/>
              </w:rPr>
              <w:t xml:space="preserve">Neuromorphic Cognitive Layer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application of Sparse Distributed Representations to knowledge graph nodes at scale; the STDP-inspired learning algorithm applied to knowledge graph edge weights; the Attractor Network convergence mechanism for knowledge query stabilization; the EWC analog preventing catastrophic forgetting in a knowledge graph setting; the CCW as a queryable, persistable working memory for knowledge sessions</w:t>
            </w:r>
          </w:p>
        </w:tc>
        <w:tc>
          <w:tcPr>
            <w:tcW w:type="pct" w:w="10%"/>
          </w:tcPr>
          <w:p>
            <w:r>
              <w:rPr>
                <w:rFonts w:ascii="Calibri" w:cs="Calibri" w:eastAsia="Calibri" w:hAnsi="Calibri"/>
                <w:b w:val="false"/>
                <w:bCs w:val="false"/>
                <w:i w:val="false"/>
                <w:iCs w:val="false"/>
                <w:strike w:val="false"/>
                <w:color w:val="000000"/>
                <w:sz w:val="20"/>
                <w:szCs w:val="20"/>
              </w:rPr>
              <w:t xml:space="preserve">Chapter 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C</w:t>
            </w:r>
          </w:p>
        </w:tc>
        <w:tc>
          <w:tcPr>
            <w:tcW w:type="pct" w:w="15%"/>
          </w:tcPr>
          <w:p>
            <w:r>
              <w:rPr>
                <w:rFonts w:ascii="Calibri" w:cs="Calibri" w:eastAsia="Calibri" w:hAnsi="Calibri"/>
                <w:b w:val="false"/>
                <w:bCs w:val="false"/>
                <w:i w:val="false"/>
                <w:iCs w:val="false"/>
                <w:strike w:val="false"/>
                <w:color w:val="000000"/>
                <w:sz w:val="20"/>
                <w:szCs w:val="20"/>
              </w:rPr>
              <w:t xml:space="preserve">Multimodal Ingestion and Semantic Extraction Pipeline</w:t>
            </w:r>
          </w:p>
        </w:tc>
        <w:tc>
          <w:tcPr>
            <w:tcW w:type="pct" w:w="67%"/>
          </w:tcPr>
          <w:p>
            <w:r>
              <w:rPr>
                <w:rFonts w:ascii="Calibri" w:cs="Calibri" w:eastAsia="Calibri" w:hAnsi="Calibri"/>
                <w:b w:val="false"/>
                <w:bCs w:val="false"/>
                <w:i w:val="false"/>
                <w:iCs w:val="false"/>
                <w:strike w:val="false"/>
                <w:color w:val="000000"/>
                <w:sz w:val="20"/>
                <w:szCs w:val="20"/>
              </w:rPr>
              <w:t xml:space="preserve">The unified six-stage sequential pipeline architecture accepting eight distinct modalities; the cross-modal confidence bonus for multi-modal corroboration; the per-modality branch processor architecture with independent failure isolation; the composite confidence calibration model integrating extraction confidence, source reliability, modality coefficient, and temporal decay</w:t>
            </w:r>
          </w:p>
        </w:tc>
        <w:tc>
          <w:tcPr>
            <w:tcW w:type="pct" w:w="10%"/>
          </w:tcPr>
          <w:p>
            <w:r>
              <w:rPr>
                <w:rFonts w:ascii="Calibri" w:cs="Calibri" w:eastAsia="Calibri" w:hAnsi="Calibri"/>
                <w:b w:val="false"/>
                <w:bCs w:val="false"/>
                <w:i w:val="false"/>
                <w:iCs w:val="false"/>
                <w:strike w:val="false"/>
                <w:color w:val="000000"/>
                <w:sz w:val="20"/>
                <w:szCs w:val="20"/>
              </w:rPr>
              <w:t xml:space="preserve">Chapter 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D</w:t>
            </w:r>
          </w:p>
        </w:tc>
        <w:tc>
          <w:tcPr>
            <w:tcW w:type="pct" w:w="15%"/>
          </w:tcPr>
          <w:p>
            <w:r>
              <w:rPr>
                <w:rFonts w:ascii="Calibri" w:cs="Calibri" w:eastAsia="Calibri" w:hAnsi="Calibri"/>
                <w:b w:val="false"/>
                <w:bCs w:val="false"/>
                <w:i w:val="false"/>
                <w:iCs w:val="false"/>
                <w:strike w:val="false"/>
                <w:color w:val="000000"/>
                <w:sz w:val="20"/>
                <w:szCs w:val="20"/>
              </w:rPr>
              <w:t xml:space="preserve">QueryBook Format (QBF) Binary Specification</w:t>
            </w:r>
          </w:p>
        </w:tc>
        <w:tc>
          <w:tcPr>
            <w:tcW w:type="pct" w:w="67%"/>
          </w:tcPr>
          <w:p>
            <w:r>
              <w:rPr>
                <w:rFonts w:ascii="Calibri" w:cs="Calibri" w:eastAsia="Calibri" w:hAnsi="Calibri"/>
                <w:b w:val="false"/>
                <w:bCs w:val="false"/>
                <w:i w:val="false"/>
                <w:iCs w:val="false"/>
                <w:strike w:val="false"/>
                <w:color w:val="000000"/>
                <w:sz w:val="20"/>
                <w:szCs w:val="20"/>
              </w:rPr>
              <w:t xml:space="preserve">The specific file structure with magic bytes, header, schema, payload, index, and trailer blocks; the streaming frame format with 1-byte record type and 4-byte length prefix enabling re-synchronization after corruption; the EmbeddingVector sidecar storage mechanism; the backward-compatibility rules for optional field addition without version increment</w:t>
            </w:r>
          </w:p>
        </w:tc>
        <w:tc>
          <w:tcPr>
            <w:tcW w:type="pct" w:w="10%"/>
          </w:tcPr>
          <w:p>
            <w:r>
              <w:rPr>
                <w:rFonts w:ascii="Calibri" w:cs="Calibri" w:eastAsia="Calibri" w:hAnsi="Calibri"/>
                <w:b w:val="false"/>
                <w:bCs w:val="false"/>
                <w:i w:val="false"/>
                <w:iCs w:val="false"/>
                <w:strike w:val="false"/>
                <w:color w:val="000000"/>
                <w:sz w:val="20"/>
                <w:szCs w:val="20"/>
              </w:rPr>
              <w:t xml:space="preserve">Chapter 13, Appendix C</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E</w:t>
            </w:r>
          </w:p>
        </w:tc>
        <w:tc>
          <w:tcPr>
            <w:tcW w:type="pct" w:w="15%"/>
          </w:tcPr>
          <w:p>
            <w:r>
              <w:rPr>
                <w:rFonts w:ascii="Calibri" w:cs="Calibri" w:eastAsia="Calibri" w:hAnsi="Calibri"/>
                <w:b w:val="false"/>
                <w:bCs w:val="false"/>
                <w:i w:val="false"/>
                <w:iCs w:val="false"/>
                <w:strike w:val="false"/>
                <w:color w:val="000000"/>
                <w:sz w:val="20"/>
                <w:szCs w:val="20"/>
              </w:rPr>
              <w:t xml:space="preserve">Semantic Transport Layer Protocol</w:t>
            </w:r>
          </w:p>
        </w:tc>
        <w:tc>
          <w:tcPr>
            <w:tcW w:type="pct" w:w="67%"/>
          </w:tcPr>
          <w:p>
            <w:r>
              <w:rPr>
                <w:rFonts w:ascii="Calibri" w:cs="Calibri" w:eastAsia="Calibri" w:hAnsi="Calibri"/>
                <w:b w:val="false"/>
                <w:bCs w:val="false"/>
                <w:i w:val="false"/>
                <w:iCs w:val="false"/>
                <w:strike w:val="false"/>
                <w:color w:val="000000"/>
                <w:sz w:val="20"/>
                <w:szCs w:val="20"/>
              </w:rPr>
              <w:t xml:space="preserve">The six-layer protocol stack specifically designed for Fact Unit transmission; the FactType-to-topic routing rule in Layer 5; the SubjectRef-hash partition assignment ensuring related facts are co-located in the same stream partition; the QB-Streaming subscription filter language combining FactType, domain, confidence, and SafetyFlags predicates in a single filter expression</w:t>
            </w:r>
          </w:p>
        </w:tc>
        <w:tc>
          <w:tcPr>
            <w:tcW w:type="pct" w:w="10%"/>
          </w:tcPr>
          <w:p>
            <w:r>
              <w:rPr>
                <w:rFonts w:ascii="Calibri" w:cs="Calibri" w:eastAsia="Calibri" w:hAnsi="Calibri"/>
                <w:b w:val="false"/>
                <w:bCs w:val="false"/>
                <w:i w:val="false"/>
                <w:iCs w:val="false"/>
                <w:strike w:val="false"/>
                <w:color w:val="000000"/>
                <w:sz w:val="20"/>
                <w:szCs w:val="20"/>
              </w:rPr>
              <w:t xml:space="preserve">Chapter 9</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F</w:t>
            </w:r>
          </w:p>
        </w:tc>
        <w:tc>
          <w:tcPr>
            <w:tcW w:type="pct" w:w="15%"/>
          </w:tcPr>
          <w:p>
            <w:r>
              <w:rPr>
                <w:rFonts w:ascii="Calibri" w:cs="Calibri" w:eastAsia="Calibri" w:hAnsi="Calibri"/>
                <w:b w:val="false"/>
                <w:bCs w:val="false"/>
                <w:i w:val="false"/>
                <w:iCs w:val="false"/>
                <w:strike w:val="false"/>
                <w:color w:val="000000"/>
                <w:sz w:val="20"/>
                <w:szCs w:val="20"/>
              </w:rPr>
              <w:t xml:space="preserve">Scenario Graph Construction and Probabilistic Traversal</w:t>
            </w:r>
          </w:p>
        </w:tc>
        <w:tc>
          <w:tcPr>
            <w:tcW w:type="pct" w:w="67%"/>
          </w:tcPr>
          <w:p>
            <w:r>
              <w:rPr>
                <w:rFonts w:ascii="Calibri" w:cs="Calibri" w:eastAsia="Calibri" w:hAnsi="Calibri"/>
                <w:b w:val="false"/>
                <w:bCs w:val="false"/>
                <w:i w:val="false"/>
                <w:iCs w:val="false"/>
                <w:strike w:val="false"/>
                <w:color w:val="000000"/>
                <w:sz w:val="20"/>
                <w:szCs w:val="20"/>
              </w:rPr>
              <w:t xml:space="preserve">The Scenario Graph as a first-class system object with persistent storage and versioning; the Knowledge State Snapshot (KSS) as a delta representation (OverrideFacts + RemovedFUIDs + BaseFUIDs) enabling memory-efficient hypothetical state representation; the PruningThreshold-based branch elimination; the Robust Fact identification algorithm via probabilistically weighted intersection across branches</w:t>
            </w:r>
          </w:p>
        </w:tc>
        <w:tc>
          <w:tcPr>
            <w:tcW w:type="pct" w:w="10%"/>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G</w:t>
            </w:r>
          </w:p>
        </w:tc>
        <w:tc>
          <w:tcPr>
            <w:tcW w:type="pct" w:w="15%"/>
          </w:tcPr>
          <w:p>
            <w:r>
              <w:rPr>
                <w:rFonts w:ascii="Calibri" w:cs="Calibri" w:eastAsia="Calibri" w:hAnsi="Calibri"/>
                <w:b w:val="false"/>
                <w:bCs w:val="false"/>
                <w:i w:val="false"/>
                <w:iCs w:val="false"/>
                <w:strike w:val="false"/>
                <w:color w:val="000000"/>
                <w:sz w:val="20"/>
                <w:szCs w:val="20"/>
              </w:rPr>
              <w:t xml:space="preserve">Narrative Graph Construction and Hallucination-Prevented Regeneration</w:t>
            </w:r>
          </w:p>
        </w:tc>
        <w:tc>
          <w:tcPr>
            <w:tcW w:type="pct" w:w="67%"/>
          </w:tcPr>
          <w:p>
            <w:r>
              <w:rPr>
                <w:rFonts w:ascii="Calibri" w:cs="Calibri" w:eastAsia="Calibri" w:hAnsi="Calibri"/>
                <w:b w:val="false"/>
                <w:bCs w:val="false"/>
                <w:i w:val="false"/>
                <w:iCs w:val="false"/>
                <w:strike w:val="false"/>
                <w:color w:val="000000"/>
                <w:sz w:val="20"/>
                <w:szCs w:val="20"/>
              </w:rPr>
              <w:t xml:space="preserve">The Narrative Graph as a distinct system object mediating between Fact Graph and natural language output; the nine Narrative Edge Types (TEMPORAL_FOLLOWS, CAUSES, CONTRASTS_WITH, ELABORATES, EXEMPLIFIES, SUMMARIZES, QUOTES, SUPPORTS, QUALIFIES); the gap detection and gap-filling algorithm; the Factual Groundedness metric (per-sentence proposition-to-Fact-Unit tracing); the architectural hallucination prevention via constrained generation vocabulary derived from Narrative Graph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Chapters 12,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H</w:t>
            </w:r>
          </w:p>
        </w:tc>
        <w:tc>
          <w:tcPr>
            <w:tcW w:type="pct" w:w="15%"/>
          </w:tcPr>
          <w:p>
            <w:r>
              <w:rPr>
                <w:rFonts w:ascii="Calibri" w:cs="Calibri" w:eastAsia="Calibri" w:hAnsi="Calibri"/>
                <w:b w:val="false"/>
                <w:bCs w:val="false"/>
                <w:i w:val="false"/>
                <w:iCs w:val="false"/>
                <w:strike w:val="false"/>
                <w:color w:val="000000"/>
                <w:sz w:val="20"/>
                <w:szCs w:val="20"/>
              </w:rPr>
              <w:t xml:space="preserve">Safety Substrate Architecture and Non-Bypassable Enforcement</w:t>
            </w:r>
          </w:p>
        </w:tc>
        <w:tc>
          <w:tcPr>
            <w:tcW w:type="pct" w:w="67%"/>
          </w:tcPr>
          <w:p>
            <w:r>
              <w:rPr>
                <w:rFonts w:ascii="Calibri" w:cs="Calibri" w:eastAsia="Calibri" w:hAnsi="Calibri"/>
                <w:b w:val="false"/>
                <w:bCs w:val="false"/>
                <w:i w:val="false"/>
                <w:iCs w:val="false"/>
                <w:strike w:val="false"/>
                <w:color w:val="000000"/>
                <w:sz w:val="20"/>
                <w:szCs w:val="20"/>
              </w:rPr>
              <w:t xml:space="preserve">The embedding of safety enforcement as a synchronous mandatory gate at eight specific system layers; the SafetyFlags bitmask as an inseparable, Safety-Substrate-controlled Fact Unit field; the canary Fact Unit mechanism for exfiltration and poisoning detection; the statistical watermarking of exports for forensic attribution; the cryptographic tombstoning mechanism satisfying GDPR erasure without Merkle DAG integrity disruption</w:t>
            </w:r>
          </w:p>
        </w:tc>
        <w:tc>
          <w:tcPr>
            <w:tcW w:type="pct" w:w="10%"/>
          </w:tcPr>
          <w:p>
            <w:r>
              <w:rPr>
                <w:rFonts w:ascii="Calibri" w:cs="Calibri" w:eastAsia="Calibri" w:hAnsi="Calibri"/>
                <w:b w:val="false"/>
                <w:bCs w:val="false"/>
                <w:i w:val="false"/>
                <w:iCs w:val="false"/>
                <w:strike w:val="false"/>
                <w:color w:val="000000"/>
                <w:sz w:val="20"/>
                <w:szCs w:val="20"/>
              </w:rPr>
              <w:t xml:space="preserve">Chapter 8, Appendix D</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I</w:t>
            </w:r>
          </w:p>
        </w:tc>
        <w:tc>
          <w:tcPr>
            <w:tcW w:type="pct" w:w="15%"/>
          </w:tcPr>
          <w:p>
            <w:r>
              <w:rPr>
                <w:rFonts w:ascii="Calibri" w:cs="Calibri" w:eastAsia="Calibri" w:hAnsi="Calibri"/>
                <w:b w:val="false"/>
                <w:bCs w:val="false"/>
                <w:i w:val="false"/>
                <w:iCs w:val="false"/>
                <w:strike w:val="false"/>
                <w:color w:val="000000"/>
                <w:sz w:val="20"/>
                <w:szCs w:val="20"/>
              </w:rPr>
              <w:t xml:space="preserve">AGI Extension Modules</w:t>
            </w:r>
          </w:p>
        </w:tc>
        <w:tc>
          <w:tcPr>
            <w:tcW w:type="pct" w:w="67%"/>
          </w:tcPr>
          <w:p>
            <w:r>
              <w:rPr>
                <w:rFonts w:ascii="Calibri" w:cs="Calibri" w:eastAsia="Calibri" w:hAnsi="Calibri"/>
                <w:b w:val="false"/>
                <w:bCs w:val="false"/>
                <w:i w:val="false"/>
                <w:iCs w:val="false"/>
                <w:strike w:val="false"/>
                <w:color w:val="000000"/>
                <w:sz w:val="20"/>
                <w:szCs w:val="20"/>
              </w:rPr>
              <w:t xml:space="preserve">AEM-1: Bayesian posterior-ranked abductive hypothesis generation from Fact Graph observations; AEM-2: Structure-mapping-theory-based analogical reasoning at Fact Graph subgraph level with three-dimensional quality scoring; AEM-3: Integration of PC, FCI, NOTEARS, and do-calculus causal discovery methods over typed Fact Units; AEM-4: Minimum-intervention counterfactual planning using causal Fact Graph traversal; AEM-5: Meta-cognitive monitoring producing Meta-Fact Units describing the system's own epistemic state; AEM-6: Backward-chaining goal-directed knowledge synthesis planner producing GOAL_PLAN Fact Units</w:t>
            </w:r>
          </w:p>
        </w:tc>
        <w:tc>
          <w:tcPr>
            <w:tcW w:type="pct" w:w="10%"/>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J</w:t>
            </w:r>
          </w:p>
        </w:tc>
        <w:tc>
          <w:tcPr>
            <w:tcW w:type="pct" w:w="15%"/>
          </w:tcPr>
          <w:p>
            <w:r>
              <w:rPr>
                <w:rFonts w:ascii="Calibri" w:cs="Calibri" w:eastAsia="Calibri" w:hAnsi="Calibri"/>
                <w:b w:val="false"/>
                <w:bCs w:val="false"/>
                <w:i w:val="false"/>
                <w:iCs w:val="false"/>
                <w:strike w:val="false"/>
                <w:color w:val="000000"/>
                <w:sz w:val="20"/>
                <w:szCs w:val="20"/>
              </w:rPr>
              <w:t xml:space="preserve">Multilingual Regeneration Engine with Factual Grounding</w:t>
            </w:r>
          </w:p>
        </w:tc>
        <w:tc>
          <w:tcPr>
            <w:tcW w:type="pct" w:w="67%"/>
          </w:tcPr>
          <w:p>
            <w:r>
              <w:rPr>
                <w:rFonts w:ascii="Calibri" w:cs="Calibri" w:eastAsia="Calibri" w:hAnsi="Calibri"/>
                <w:b w:val="false"/>
                <w:bCs w:val="false"/>
                <w:i w:val="false"/>
                <w:iCs w:val="false"/>
                <w:strike w:val="false"/>
                <w:color w:val="000000"/>
                <w:sz w:val="20"/>
                <w:szCs w:val="20"/>
              </w:rPr>
              <w:t xml:space="preserve">The language-independent Semantic Hash guaranteeing cross-lingual fact identity; the six-stage grounded regeneration pipeline; the Factual Groundedness metric enforced as a mandatory gate at Stage 6; the constrained generation vocabulary architecture preventing hallucination; the simultaneous multi-language regeneration from a single Narrative Graph</w:t>
            </w:r>
          </w:p>
        </w:tc>
        <w:tc>
          <w:tcPr>
            <w:tcW w:type="pct" w:w="10%"/>
          </w:tcPr>
          <w:p>
            <w:r>
              <w:rPr>
                <w:rFonts w:ascii="Calibri" w:cs="Calibri" w:eastAsia="Calibri" w:hAnsi="Calibri"/>
                <w:b w:val="false"/>
                <w:bCs w:val="false"/>
                <w:i w:val="false"/>
                <w:iCs w:val="false"/>
                <w:strike w:val="false"/>
                <w:color w:val="000000"/>
                <w:sz w:val="20"/>
                <w:szCs w:val="20"/>
              </w:rPr>
              <w:t xml:space="preserve">Chapter 16</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K</w:t>
            </w:r>
          </w:p>
        </w:tc>
        <w:tc>
          <w:tcPr>
            <w:tcW w:type="pct" w:w="15%"/>
          </w:tcPr>
          <w:p>
            <w:r>
              <w:rPr>
                <w:rFonts w:ascii="Calibri" w:cs="Calibri" w:eastAsia="Calibri" w:hAnsi="Calibri"/>
                <w:b w:val="false"/>
                <w:bCs w:val="false"/>
                <w:i w:val="false"/>
                <w:iCs w:val="false"/>
                <w:strike w:val="false"/>
                <w:color w:val="000000"/>
                <w:sz w:val="20"/>
                <w:szCs w:val="20"/>
              </w:rPr>
              <w:t xml:space="preserve">Cross-Domain Rule Engine and Cross-Ontology Consistency</w:t>
            </w:r>
          </w:p>
        </w:tc>
        <w:tc>
          <w:tcPr>
            <w:tcW w:type="pct" w:w="67%"/>
          </w:tcPr>
          <w:p>
            <w:r>
              <w:rPr>
                <w:rFonts w:ascii="Calibri" w:cs="Calibri" w:eastAsia="Calibri" w:hAnsi="Calibri"/>
                <w:b w:val="false"/>
                <w:bCs w:val="false"/>
                <w:i w:val="false"/>
                <w:iCs w:val="false"/>
                <w:strike w:val="false"/>
                <w:color w:val="000000"/>
                <w:sz w:val="20"/>
                <w:szCs w:val="20"/>
              </w:rPr>
              <w:t xml:space="preserve">The QB-Datalog rule language with probabilistic weight extensions and temporal scoping operators; the incremental forward chaining implementation via Differential Dataflow; the Conflict Index as a persistent, queryable record of all active Fact Graph contradictions; the staged rule deployment workflow with impact analysis and shadow mode</w:t>
            </w:r>
          </w:p>
        </w:tc>
        <w:tc>
          <w:tcPr>
            <w:tcW w:type="pct" w:w="10%"/>
          </w:tcPr>
          <w:p>
            <w:r>
              <w:rPr>
                <w:rFonts w:ascii="Calibri" w:cs="Calibri" w:eastAsia="Calibri" w:hAnsi="Calibri"/>
                <w:b w:val="false"/>
                <w:bCs w:val="false"/>
                <w:i w:val="false"/>
                <w:iCs w:val="false"/>
                <w:strike w:val="false"/>
                <w:color w:val="000000"/>
                <w:sz w:val="20"/>
                <w:szCs w:val="20"/>
              </w:rPr>
              <w:t xml:space="preserve">Chapter 17</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L</w:t>
            </w:r>
          </w:p>
        </w:tc>
        <w:tc>
          <w:tcPr>
            <w:tcW w:type="pct" w:w="15%"/>
          </w:tcPr>
          <w:p>
            <w:r>
              <w:rPr>
                <w:rFonts w:ascii="Calibri" w:cs="Calibri" w:eastAsia="Calibri" w:hAnsi="Calibri"/>
                <w:b w:val="false"/>
                <w:bCs w:val="false"/>
                <w:i w:val="false"/>
                <w:iCs w:val="false"/>
                <w:strike w:val="false"/>
                <w:color w:val="000000"/>
                <w:sz w:val="20"/>
                <w:szCs w:val="20"/>
              </w:rPr>
              <w:t xml:space="preserve">Predictive Inference Engine and Prediction Fact Units</w:t>
            </w:r>
          </w:p>
        </w:tc>
        <w:tc>
          <w:tcPr>
            <w:tcW w:type="pct" w:w="67%"/>
          </w:tcPr>
          <w:p>
            <w:r>
              <w:rPr>
                <w:rFonts w:ascii="Calibri" w:cs="Calibri" w:eastAsia="Calibri" w:hAnsi="Calibri"/>
                <w:b w:val="false"/>
                <w:bCs w:val="false"/>
                <w:i w:val="false"/>
                <w:iCs w:val="false"/>
                <w:strike w:val="false"/>
                <w:color w:val="000000"/>
                <w:sz w:val="20"/>
                <w:szCs w:val="20"/>
              </w:rPr>
              <w:t xml:space="preserve">The representation of predictions as first-class Fact Units of FactType PREDICTION with full provenance and lifecycle tracking; the automatic archival with outcome determination after the prediction horizon passes; the continuous calibration evaluation against subsequently ingested ground truth; the Monte Carlo sampling over Scenario Graphs as a prediction confidence interval method</w:t>
            </w:r>
          </w:p>
        </w:tc>
        <w:tc>
          <w:tcPr>
            <w:tcW w:type="pct" w:w="10%"/>
          </w:tcPr>
          <w:p>
            <w:r>
              <w:rPr>
                <w:rFonts w:ascii="Calibri" w:cs="Calibri" w:eastAsia="Calibri" w:hAnsi="Calibri"/>
                <w:b w:val="false"/>
                <w:bCs w:val="false"/>
                <w:i w:val="false"/>
                <w:iCs w:val="false"/>
                <w:strike w:val="false"/>
                <w:color w:val="000000"/>
                <w:sz w:val="20"/>
                <w:szCs w:val="20"/>
              </w:rPr>
              <w:t xml:space="preserve">Chapter 10</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M</w:t>
            </w:r>
          </w:p>
        </w:tc>
        <w:tc>
          <w:tcPr>
            <w:tcW w:type="pct" w:w="15%"/>
          </w:tcPr>
          <w:p>
            <w:r>
              <w:rPr>
                <w:rFonts w:ascii="Calibri" w:cs="Calibri" w:eastAsia="Calibri" w:hAnsi="Calibri"/>
                <w:b w:val="false"/>
                <w:bCs w:val="false"/>
                <w:i w:val="false"/>
                <w:iCs w:val="false"/>
                <w:strike w:val="false"/>
                <w:color w:val="000000"/>
                <w:sz w:val="20"/>
                <w:szCs w:val="20"/>
              </w:rPr>
              <w:t xml:space="preserve">Provenance Ledger Merkle DAG Architecture</w:t>
            </w:r>
          </w:p>
        </w:tc>
        <w:tc>
          <w:tcPr>
            <w:tcW w:type="pct" w:w="67%"/>
          </w:tcPr>
          <w:p>
            <w:r>
              <w:rPr>
                <w:rFonts w:ascii="Calibri" w:cs="Calibri" w:eastAsia="Calibri" w:hAnsi="Calibri"/>
                <w:b w:val="false"/>
                <w:bCs w:val="false"/>
                <w:i w:val="false"/>
                <w:iCs w:val="false"/>
                <w:strike w:val="false"/>
                <w:color w:val="000000"/>
                <w:sz w:val="20"/>
                <w:szCs w:val="20"/>
              </w:rPr>
              <w:t xml:space="preserve">The Merkle DAG structure applied to a knowledge system's operation log; the SafetyChecksum HMAC on every Provenance Record enabling Safety Substrate bypass detection; the CORROBORATION event type linking independently derived Provenance chains; the cryptographic tombstoning mechanism for GDPR-compliant erasure that preserves Merkle DAG integrity; the RawSourceRef content-addressed link to source archive material enabling full reproducibility</w:t>
            </w:r>
          </w:p>
        </w:tc>
        <w:tc>
          <w:tcPr>
            <w:tcW w:type="pct" w:w="10%"/>
          </w:tcPr>
          <w:p>
            <w:r>
              <w:rPr>
                <w:rFonts w:ascii="Calibri" w:cs="Calibri" w:eastAsia="Calibri" w:hAnsi="Calibri"/>
                <w:b w:val="false"/>
                <w:bCs w:val="false"/>
                <w:i w:val="false"/>
                <w:iCs w:val="false"/>
                <w:strike w:val="false"/>
                <w:color w:val="000000"/>
                <w:sz w:val="20"/>
                <w:szCs w:val="20"/>
              </w:rPr>
              <w:t xml:space="preserve">Chapter 5</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N</w:t>
            </w:r>
          </w:p>
        </w:tc>
        <w:tc>
          <w:tcPr>
            <w:tcW w:type="pct" w:w="15%"/>
          </w:tcPr>
          <w:p>
            <w:r>
              <w:rPr>
                <w:rFonts w:ascii="Calibri" w:cs="Calibri" w:eastAsia="Calibri" w:hAnsi="Calibri"/>
                <w:b w:val="false"/>
                <w:bCs w:val="false"/>
                <w:i w:val="false"/>
                <w:iCs w:val="false"/>
                <w:strike w:val="false"/>
                <w:color w:val="000000"/>
                <w:sz w:val="20"/>
                <w:szCs w:val="20"/>
              </w:rPr>
              <w:t xml:space="preserve">Five-Tier Storage Architecture and HNSW Vector Indexing</w:t>
            </w:r>
          </w:p>
        </w:tc>
        <w:tc>
          <w:tcPr>
            <w:tcW w:type="pct" w:w="67%"/>
          </w:tcPr>
          <w:p>
            <w:r>
              <w:rPr>
                <w:rFonts w:ascii="Calibri" w:cs="Calibri" w:eastAsia="Calibri" w:hAnsi="Calibri"/>
                <w:b w:val="false"/>
                <w:bCs w:val="false"/>
                <w:i w:val="false"/>
                <w:iCs w:val="false"/>
                <w:strike w:val="false"/>
                <w:color w:val="000000"/>
                <w:sz w:val="20"/>
                <w:szCs w:val="20"/>
              </w:rPr>
              <w:t xml:space="preserve">The five-tier temperature-stratified storage architecture with automated promotion/demotion between tiers based on access patterns and lifecycle state; the application of HNSW at 10B+ Fact Unit scale with shard-parallel ANN search; the separate SDR index with SIMD-optimized Hamming distance computation as the NCL's primary search structure; the CRDT-based multi-region convergence with SafetyFlags max-bitmask CRDT preventing cross-region flag downgrade</w:t>
            </w:r>
          </w:p>
        </w:tc>
        <w:tc>
          <w:tcPr>
            <w:tcW w:type="pct" w:w="10%"/>
          </w:tcPr>
          <w:p>
            <w:r>
              <w:rPr>
                <w:rFonts w:ascii="Calibri" w:cs="Calibri" w:eastAsia="Calibri" w:hAnsi="Calibri"/>
                <w:b w:val="false"/>
                <w:bCs w:val="false"/>
                <w:i w:val="false"/>
                <w:iCs w:val="false"/>
                <w:strike w:val="false"/>
                <w:color w:val="000000"/>
                <w:sz w:val="20"/>
                <w:szCs w:val="20"/>
              </w:rPr>
              <w:t xml:space="preserve">Chapter 14</w:t>
            </w:r>
          </w:p>
        </w:tc>
      </w:tr>
      <w:tr>
        <w:trPr>
          <w:tblHeader w:val="false"/>
        </w:trPr>
        <w:tc>
          <w:tcPr>
            <w:tcW w:type="pct" w:w="8%"/>
          </w:tcPr>
          <w:p>
            <w:r>
              <w:rPr>
                <w:rFonts w:ascii="Calibri" w:cs="Calibri" w:eastAsia="Calibri" w:hAnsi="Calibri"/>
                <w:b/>
                <w:bCs/>
                <w:i w:val="false"/>
                <w:iCs w:val="false"/>
                <w:strike w:val="false"/>
                <w:color w:val="000000"/>
                <w:sz w:val="22"/>
                <w:szCs w:val="22"/>
              </w:rPr>
              <w:t xml:space="preserve">O</w:t>
            </w:r>
          </w:p>
        </w:tc>
        <w:tc>
          <w:tcPr>
            <w:tcW w:type="pct" w:w="15%"/>
          </w:tcPr>
          <w:p>
            <w:r>
              <w:rPr>
                <w:rFonts w:ascii="Calibri" w:cs="Calibri" w:eastAsia="Calibri" w:hAnsi="Calibri"/>
                <w:b w:val="false"/>
                <w:bCs w:val="false"/>
                <w:i w:val="false"/>
                <w:iCs w:val="false"/>
                <w:strike w:val="false"/>
                <w:color w:val="000000"/>
                <w:sz w:val="20"/>
                <w:szCs w:val="20"/>
              </w:rPr>
              <w:t xml:space="preserve">QB-Query Language with Novel Clauses</w:t>
            </w:r>
          </w:p>
        </w:tc>
        <w:tc>
          <w:tcPr>
            <w:tcW w:type="pct" w:w="67%"/>
          </w:tcPr>
          <w:p>
            <w:r>
              <w:rPr>
                <w:rFonts w:ascii="Calibri" w:cs="Calibri" w:eastAsia="Calibri" w:hAnsi="Calibri"/>
                <w:b w:val="false"/>
                <w:bCs w:val="false"/>
                <w:i w:val="false"/>
                <w:iCs w:val="false"/>
                <w:strike w:val="false"/>
                <w:color w:val="000000"/>
                <w:sz w:val="20"/>
                <w:szCs w:val="20"/>
              </w:rPr>
              <w:t xml:space="preserve">The ACROSS SCENARIOS clause enabling declarative multi-branch Scenario Graph querying; the REGENERATE AS clause invoking the MRE from within a declarative query; the SEMANTIC_SIMILAR_TO predicate combining vector similarity with Fact Unit field filters in a unified WHERE clause; the EXPLAIN LINEAGE clause appending configurable-depth Provenance chains to query results; the integrated cost model unifying graph traversal, vector search, temporal range, and scenario graph cardinality estimation</w:t>
            </w:r>
          </w:p>
        </w:tc>
        <w:tc>
          <w:tcPr>
            <w:tcW w:type="pct" w:w="10%"/>
          </w:tcPr>
          <w:p>
            <w:r>
              <w:rPr>
                <w:rFonts w:ascii="Calibri" w:cs="Calibri" w:eastAsia="Calibri" w:hAnsi="Calibri"/>
                <w:b w:val="false"/>
                <w:bCs w:val="false"/>
                <w:i w:val="false"/>
                <w:iCs w:val="false"/>
                <w:strike w:val="false"/>
                <w:color w:val="000000"/>
                <w:sz w:val="20"/>
                <w:szCs w:val="20"/>
              </w:rPr>
              <w:t xml:space="preserve">Chapter 18</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20.2 Prior Art Differentiation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DCE6F0" w:color="auto" w:val="clear"/>
          </w:tcPr>
          <w:p>
            <w:r>
              <w:rPr>
                <w:rFonts w:ascii="Calibri" w:cs="Calibri" w:eastAsia="Calibri" w:hAnsi="Calibri"/>
                <w:b/>
                <w:bCs/>
                <w:i w:val="false"/>
                <w:iCs w:val="false"/>
                <w:strike w:val="false"/>
                <w:color w:val="0D2A5E"/>
                <w:sz w:val="20"/>
                <w:szCs w:val="20"/>
              </w:rPr>
              <w:t xml:space="preserve">Cluster</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Closest Prior Art</w:t>
            </w:r>
          </w:p>
        </w:tc>
        <w:tc>
          <w:tcPr>
            <w:tcW w:type="pct" w:w="69%"/>
            <w:shd w:fill="DCE6F0" w:color="auto" w:val="clear"/>
          </w:tcPr>
          <w:p>
            <w:r>
              <w:rPr>
                <w:rFonts w:ascii="Calibri" w:cs="Calibri" w:eastAsia="Calibri" w:hAnsi="Calibri"/>
                <w:b/>
                <w:bCs/>
                <w:i w:val="false"/>
                <w:iCs w:val="false"/>
                <w:strike w:val="false"/>
                <w:color w:val="0D2A5E"/>
                <w:sz w:val="20"/>
                <w:szCs w:val="20"/>
              </w:rPr>
              <w:t xml:space="preserve">Key Differentiators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A (Fact Unit)</w:t>
            </w:r>
          </w:p>
        </w:tc>
        <w:tc>
          <w:tcPr>
            <w:tcW w:type="pct" w:w="18%"/>
          </w:tcPr>
          <w:p>
            <w:r>
              <w:rPr>
                <w:rFonts w:ascii="Calibri" w:cs="Calibri" w:eastAsia="Calibri" w:hAnsi="Calibri"/>
                <w:b w:val="false"/>
                <w:bCs w:val="false"/>
                <w:i w:val="false"/>
                <w:iCs w:val="false"/>
                <w:strike w:val="false"/>
                <w:color w:val="000000"/>
                <w:sz w:val="20"/>
                <w:szCs w:val="20"/>
              </w:rPr>
              <w:t xml:space="preserve">RDF Triple (Subject, Predicate, Object) in W3C standards; property graph nodes in Neo4j</w:t>
            </w:r>
          </w:p>
        </w:tc>
        <w:tc>
          <w:tcPr>
            <w:tcW w:type="pct" w:w="69%"/>
          </w:tcPr>
          <w:p>
            <w:r>
              <w:rPr>
                <w:rFonts w:ascii="Calibri" w:cs="Calibri" w:eastAsia="Calibri" w:hAnsi="Calibri"/>
                <w:b w:val="false"/>
                <w:bCs w:val="false"/>
                <w:i w:val="false"/>
                <w:iCs w:val="false"/>
                <w:strike w:val="false"/>
                <w:color w:val="000000"/>
                <w:sz w:val="20"/>
                <w:szCs w:val="20"/>
              </w:rPr>
              <w:t xml:space="preserve">RDF triples have no native ConfidenceScore, SafetyFlags, EmbeddingVector, TemporalAnchor with confidence, SemanticHash, or VersionChain. No prior art combines all 20 fields into a single atomic unit designed for multi-modal, multi-source, provenance-tracked knowledge representation at AGI scale.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B (NCL)</w:t>
            </w:r>
          </w:p>
        </w:tc>
        <w:tc>
          <w:tcPr>
            <w:tcW w:type="pct" w:w="18%"/>
          </w:tcPr>
          <w:p>
            <w:r>
              <w:rPr>
                <w:rFonts w:ascii="Calibri" w:cs="Calibri" w:eastAsia="Calibri" w:hAnsi="Calibri"/>
                <w:b w:val="false"/>
                <w:bCs w:val="false"/>
                <w:i w:val="false"/>
                <w:iCs w:val="false"/>
                <w:strike w:val="false"/>
                <w:color w:val="000000"/>
                <w:sz w:val="20"/>
                <w:szCs w:val="20"/>
              </w:rPr>
              <w:t xml:space="preserve">Numenta's HTM theory; Hopfield Networks; FAISS vector indexes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applies SDRs, STDP, Attractor Networks, and HTM to a typed knowledge graph with structured Fact Units (as opposed to raw embedding vectors). The EWC analog applied to SWS weights is novel. The integration with FUID-typed graph structure (as opposed to untyped embedding space)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C (Ingestion)</w:t>
            </w:r>
          </w:p>
        </w:tc>
        <w:tc>
          <w:tcPr>
            <w:tcW w:type="pct" w:w="18%"/>
          </w:tcPr>
          <w:p>
            <w:r>
              <w:rPr>
                <w:rFonts w:ascii="Calibri" w:cs="Calibri" w:eastAsia="Calibri" w:hAnsi="Calibri"/>
                <w:b w:val="false"/>
                <w:bCs w:val="false"/>
                <w:i w:val="false"/>
                <w:iCs w:val="false"/>
                <w:strike w:val="false"/>
                <w:color w:val="000000"/>
                <w:sz w:val="20"/>
                <w:szCs w:val="20"/>
              </w:rPr>
              <w:t xml:space="preserve">Apache NiFi (data flow); LlamaIndex (RAG ingestion); LangChain document loaders</w:t>
            </w:r>
          </w:p>
        </w:tc>
        <w:tc>
          <w:tcPr>
            <w:tcW w:type="pct" w:w="69%"/>
          </w:tcPr>
          <w:p>
            <w:r>
              <w:rPr>
                <w:rFonts w:ascii="Calibri" w:cs="Calibri" w:eastAsia="Calibri" w:hAnsi="Calibri"/>
                <w:b w:val="false"/>
                <w:bCs w:val="false"/>
                <w:i w:val="false"/>
                <w:iCs w:val="false"/>
                <w:strike w:val="false"/>
                <w:color w:val="000000"/>
                <w:sz w:val="20"/>
                <w:szCs w:val="20"/>
              </w:rPr>
              <w:t xml:space="preserve">No prior system unifies 8 modalities into a single typed Fact Unit schema with per-modality confidence calibration, cross-modal corroboration bonus, and mandatory Safety Substrate gates at each stage. RAG systems do not produce typed, provenance-tracked, semantically hashed knowledge atoms.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F (Scenario Graph)</w:t>
            </w:r>
          </w:p>
        </w:tc>
        <w:tc>
          <w:tcPr>
            <w:tcW w:type="pct" w:w="18%"/>
          </w:tcPr>
          <w:p>
            <w:r>
              <w:rPr>
                <w:rFonts w:ascii="Calibri" w:cs="Calibri" w:eastAsia="Calibri" w:hAnsi="Calibri"/>
                <w:b w:val="false"/>
                <w:bCs w:val="false"/>
                <w:i w:val="false"/>
                <w:iCs w:val="false"/>
                <w:strike w:val="false"/>
                <w:color w:val="000000"/>
                <w:sz w:val="20"/>
                <w:szCs w:val="20"/>
              </w:rPr>
              <w:t xml:space="preserve">Bayesian Networks; decision trees; Monte Carlo simulation</w:t>
            </w:r>
          </w:p>
        </w:tc>
        <w:tc>
          <w:tcPr>
            <w:tcW w:type="pct" w:w="69%"/>
          </w:tcPr>
          <w:p>
            <w:r>
              <w:rPr>
                <w:rFonts w:ascii="Calibri" w:cs="Calibri" w:eastAsia="Calibri" w:hAnsi="Calibri"/>
                <w:b w:val="false"/>
                <w:bCs w:val="false"/>
                <w:i w:val="false"/>
                <w:iCs w:val="false"/>
                <w:strike w:val="false"/>
                <w:color w:val="000000"/>
                <w:sz w:val="20"/>
                <w:szCs w:val="20"/>
              </w:rPr>
              <w:t xml:space="preserve">Scenario Graphs represent states as KSS delta objects over the live Fact Graph (not independent probability tables), enabling dynamic reuse of current knowledge and real-time update as the Fact Graph evolves. The KSS delta representation (BaseFUIDs + OverrideFacts + RemovedFUIDs) is novel. No prior system integrates Scenario Graph construction directly with a PIE prediction engine and makes scenarios queryable via a declarative query language clause.</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G (Narrative Graph + Hallucination Prevention)</w:t>
            </w:r>
          </w:p>
        </w:tc>
        <w:tc>
          <w:tcPr>
            <w:tcW w:type="pct" w:w="18%"/>
          </w:tcPr>
          <w:p>
            <w:r>
              <w:rPr>
                <w:rFonts w:ascii="Calibri" w:cs="Calibri" w:eastAsia="Calibri" w:hAnsi="Calibri"/>
                <w:b w:val="false"/>
                <w:bCs w:val="false"/>
                <w:i w:val="false"/>
                <w:iCs w:val="false"/>
                <w:strike w:val="false"/>
                <w:color w:val="000000"/>
                <w:sz w:val="20"/>
                <w:szCs w:val="20"/>
              </w:rPr>
              <w:t xml:space="preserve">Natural Language Generation (NLG) systems; RAG with citation; GPT-4 with tool use</w:t>
            </w:r>
          </w:p>
        </w:tc>
        <w:tc>
          <w:tcPr>
            <w:tcW w:type="pct" w:w="69%"/>
          </w:tcPr>
          <w:p>
            <w:r>
              <w:rPr>
                <w:rFonts w:ascii="Calibri" w:cs="Calibri" w:eastAsia="Calibri" w:hAnsi="Calibri"/>
                <w:b w:val="false"/>
                <w:bCs w:val="false"/>
                <w:i w:val="false"/>
                <w:iCs w:val="false"/>
                <w:strike w:val="false"/>
                <w:color w:val="000000"/>
                <w:sz w:val="20"/>
                <w:szCs w:val="20"/>
              </w:rPr>
              <w:t xml:space="preserve">All prior NLG and LLM-based systems are probabilistic at the token level and cannot provide an architectural hallucination prevention guarantee. QueryBook's hallucination prevention is structural: the generation vocabulary is derived from Narrative Graph Fact Units, making it impossible (not merely unlikely) to generate ungrounded claims. No prior system has implemented a Factual Groundedness metric as a mandatory gate in an NLG pipeline with automatic ungrounded-sentence rejection and graceful degradation.</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H (Safety Substrate)</w:t>
            </w:r>
          </w:p>
        </w:tc>
        <w:tc>
          <w:tcPr>
            <w:tcW w:type="pct" w:w="18%"/>
          </w:tcPr>
          <w:p>
            <w:r>
              <w:rPr>
                <w:rFonts w:ascii="Calibri" w:cs="Calibri" w:eastAsia="Calibri" w:hAnsi="Calibri"/>
                <w:b w:val="false"/>
                <w:bCs w:val="false"/>
                <w:i w:val="false"/>
                <w:iCs w:val="false"/>
                <w:strike w:val="false"/>
                <w:color w:val="000000"/>
                <w:sz w:val="20"/>
                <w:szCs w:val="20"/>
              </w:rPr>
              <w:t xml:space="preserve">AWS IAM; RBAC systems; OpenAI content filters; Anthropic Constitutional AI</w:t>
            </w:r>
          </w:p>
        </w:tc>
        <w:tc>
          <w:tcPr>
            <w:tcW w:type="pct" w:w="69%"/>
          </w:tcPr>
          <w:p>
            <w:r>
              <w:rPr>
                <w:rFonts w:ascii="Calibri" w:cs="Calibri" w:eastAsia="Calibri" w:hAnsi="Calibri"/>
                <w:b w:val="false"/>
                <w:bCs w:val="false"/>
                <w:i w:val="false"/>
                <w:iCs w:val="false"/>
                <w:strike w:val="false"/>
                <w:color w:val="000000"/>
                <w:sz w:val="20"/>
                <w:szCs w:val="20"/>
              </w:rPr>
              <w:t xml:space="preserve">Prior safety systems are optional wrappers or soft constraints that can be bypassed via prompt injection, API key compromise, or configuration change. The QueryBook Safety Substrate is embedded synchronously in the execution path of every Fact Unit operation, making bypass architecturally impossible rather than merely difficult. The canary Fact Unit mechanism and statistical watermarking for forensic attribution are novel. The SafetyFlags bitmask as an inseparable, Safety-Substrate-controlled field of the knowledge atom is non-obvious.</w:t>
            </w:r>
          </w:p>
        </w:tc>
      </w:tr>
      <w:tr>
        <w:trPr>
          <w:tblHeader w:val="false"/>
        </w:trPr>
        <w:tc>
          <w:tcPr>
            <w:tcW w:type="pct" w:w="13%"/>
          </w:tcPr>
          <w:p>
            <w:r>
              <w:rPr>
                <w:rFonts w:ascii="Calibri" w:cs="Calibri" w:eastAsia="Calibri" w:hAnsi="Calibri"/>
                <w:b w:val="false"/>
                <w:bCs w:val="false"/>
                <w:i w:val="false"/>
                <w:iCs w:val="false"/>
                <w:strike w:val="false"/>
                <w:color w:val="000000"/>
                <w:sz w:val="20"/>
                <w:szCs w:val="20"/>
              </w:rPr>
              <w:t xml:space="preserve">O (QB-Query)</w:t>
            </w:r>
          </w:p>
        </w:tc>
        <w:tc>
          <w:tcPr>
            <w:tcW w:type="pct" w:w="18%"/>
          </w:tcPr>
          <w:p>
            <w:r>
              <w:rPr>
                <w:rFonts w:ascii="Calibri" w:cs="Calibri" w:eastAsia="Calibri" w:hAnsi="Calibri"/>
                <w:b w:val="false"/>
                <w:bCs w:val="false"/>
                <w:i w:val="false"/>
                <w:iCs w:val="false"/>
                <w:strike w:val="false"/>
                <w:color w:val="000000"/>
                <w:sz w:val="20"/>
                <w:szCs w:val="20"/>
              </w:rPr>
              <w:t xml:space="preserve">SPARQL 1.1; openCypher; SQL</w:t>
            </w:r>
          </w:p>
        </w:tc>
        <w:tc>
          <w:tcPr>
            <w:tcW w:type="pct" w:w="69%"/>
          </w:tcPr>
          <w:p>
            <w:r>
              <w:rPr>
                <w:rFonts w:ascii="Calibri" w:cs="Calibri" w:eastAsia="Calibri" w:hAnsi="Calibri"/>
                <w:b w:val="false"/>
                <w:bCs w:val="false"/>
                <w:i w:val="false"/>
                <w:iCs w:val="false"/>
                <w:strike w:val="false"/>
                <w:color w:val="000000"/>
                <w:sz w:val="20"/>
                <w:szCs w:val="20"/>
              </w:rPr>
              <w:t xml:space="preserve">No prior query language for knowledge systems includes: (1) an ACROSS SCENARIOS clause for probabilistic multi-branch querying, (2) a REGENERATE AS clause invoking grounded NLG within a declarative query, (3) native CONFIDENCE predicates in a standard WHERE clause, or (4) an EXPLAIN LINEAGE clause for in-query provenance retrieval. The integration of graph pattern matching, temporal predicates, vector similarity, and Scenario Graph traversal in a single unified syntax with a cost-model-based optimizer is non-obvious.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20.3 Claim Dependency Map</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table describes the layered patent portfolio strategy. Claims in higher-level clusters depend on the foundational claims in lower-level clusters, enabling a stratified defense-in-depth patent portfolio.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0" w:color="auto" w:val="clear"/>
          </w:tcPr>
          <w:p>
            <w:r>
              <w:rPr>
                <w:rFonts w:ascii="Calibri" w:cs="Calibri" w:eastAsia="Calibri" w:hAnsi="Calibri"/>
                <w:b/>
                <w:bCs/>
                <w:i w:val="false"/>
                <w:iCs w:val="false"/>
                <w:strike w:val="false"/>
                <w:color w:val="0D2A5E"/>
                <w:sz w:val="20"/>
                <w:szCs w:val="20"/>
              </w:rPr>
              <w:t xml:space="preserve">Portfolio Layer</w:t>
            </w:r>
          </w:p>
        </w:tc>
        <w:tc>
          <w:tcPr>
            <w:tcW w:type="pct" w:w="15%"/>
            <w:shd w:fill="DCE6F0" w:color="auto" w:val="clear"/>
          </w:tcPr>
          <w:p>
            <w:r>
              <w:rPr>
                <w:rFonts w:ascii="Calibri" w:cs="Calibri" w:eastAsia="Calibri" w:hAnsi="Calibri"/>
                <w:b/>
                <w:bCs/>
                <w:i w:val="false"/>
                <w:iCs w:val="false"/>
                <w:strike w:val="false"/>
                <w:color w:val="0D2A5E"/>
                <w:sz w:val="20"/>
                <w:szCs w:val="20"/>
              </w:rPr>
              <w:t xml:space="preserve">Clusters</w:t>
            </w:r>
          </w:p>
        </w:tc>
        <w:tc>
          <w:tcPr>
            <w:tcW w:type="pct" w:w="5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Dependency</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1 — Foundational</w:t>
            </w:r>
          </w:p>
        </w:tc>
        <w:tc>
          <w:tcPr>
            <w:tcW w:type="pct" w:w="15%"/>
          </w:tcPr>
          <w:p>
            <w:r>
              <w:rPr>
                <w:rFonts w:ascii="Calibri" w:cs="Calibri" w:eastAsia="Calibri" w:hAnsi="Calibri"/>
                <w:b w:val="false"/>
                <w:bCs w:val="false"/>
                <w:i w:val="false"/>
                <w:iCs w:val="false"/>
                <w:strike w:val="false"/>
                <w:color w:val="000000"/>
                <w:sz w:val="20"/>
                <w:szCs w:val="20"/>
              </w:rPr>
              <w:t xml:space="preserve">A, D, M</w:t>
            </w:r>
          </w:p>
        </w:tc>
        <w:tc>
          <w:tcPr>
            <w:tcW w:type="pct" w:w="56%"/>
          </w:tcPr>
          <w:p>
            <w:r>
              <w:rPr>
                <w:rFonts w:ascii="Calibri" w:cs="Calibri" w:eastAsia="Calibri" w:hAnsi="Calibri"/>
                <w:b w:val="false"/>
                <w:bCs w:val="false"/>
                <w:i w:val="false"/>
                <w:iCs w:val="false"/>
                <w:strike w:val="false"/>
                <w:color w:val="000000"/>
                <w:sz w:val="20"/>
                <w:szCs w:val="20"/>
              </w:rPr>
              <w:t xml:space="preserve">The Fact Unit schema (A), QBF binary format (D), and Provenance Ledger Merkle DAG (M) are the foundational claims on which all other QueryBook capabilities depend. These claims are narrowest but most defensible as the essential substrate.</w:t>
            </w:r>
          </w:p>
        </w:tc>
        <w:tc>
          <w:tcPr>
            <w:tcW w:type="pct" w:w="14%"/>
          </w:tcPr>
          <w:p>
            <w:r>
              <w:rPr>
                <w:rFonts w:ascii="Calibri" w:cs="Calibri" w:eastAsia="Calibri" w:hAnsi="Calibri"/>
                <w:b w:val="false"/>
                <w:bCs w:val="false"/>
                <w:i w:val="false"/>
                <w:iCs w:val="false"/>
                <w:strike w:val="false"/>
                <w:color w:val="000000"/>
                <w:sz w:val="20"/>
                <w:szCs w:val="20"/>
              </w:rPr>
              <w:t xml:space="preserve">No dependencies — foundational</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2 — Knowledge Infrastructure</w:t>
            </w:r>
          </w:p>
        </w:tc>
        <w:tc>
          <w:tcPr>
            <w:tcW w:type="pct" w:w="15%"/>
          </w:tcPr>
          <w:p>
            <w:r>
              <w:rPr>
                <w:rFonts w:ascii="Calibri" w:cs="Calibri" w:eastAsia="Calibri" w:hAnsi="Calibri"/>
                <w:b w:val="false"/>
                <w:bCs w:val="false"/>
                <w:i w:val="false"/>
                <w:iCs w:val="false"/>
                <w:strike w:val="false"/>
                <w:color w:val="000000"/>
                <w:sz w:val="20"/>
                <w:szCs w:val="20"/>
              </w:rPr>
              <w:t xml:space="preserve">C, E, H, N</w:t>
            </w:r>
          </w:p>
        </w:tc>
        <w:tc>
          <w:tcPr>
            <w:tcW w:type="pct" w:w="56%"/>
          </w:tcPr>
          <w:p>
            <w:r>
              <w:rPr>
                <w:rFonts w:ascii="Calibri" w:cs="Calibri" w:eastAsia="Calibri" w:hAnsi="Calibri"/>
                <w:b w:val="false"/>
                <w:bCs w:val="false"/>
                <w:i w:val="false"/>
                <w:iCs w:val="false"/>
                <w:strike w:val="false"/>
                <w:color w:val="000000"/>
                <w:sz w:val="20"/>
                <w:szCs w:val="20"/>
              </w:rPr>
              <w:t xml:space="preserve">Ingestion Pipeline (C), Semantic Transport Layer (E), Safety Substrate (H), and Storage Architecture (N) depend on Layer 1's Fact Unit and QBF definitions and constitute the knowledge acquisition and persistence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 1 (A, D, M)</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3 — Semantic Structure</w:t>
            </w:r>
          </w:p>
        </w:tc>
        <w:tc>
          <w:tcPr>
            <w:tcW w:type="pct" w:w="15%"/>
          </w:tcPr>
          <w:p>
            <w:r>
              <w:rPr>
                <w:rFonts w:ascii="Calibri" w:cs="Calibri" w:eastAsia="Calibri" w:hAnsi="Calibri"/>
                <w:b w:val="false"/>
                <w:bCs w:val="false"/>
                <w:i w:val="false"/>
                <w:iCs w:val="false"/>
                <w:strike w:val="false"/>
                <w:color w:val="000000"/>
                <w:sz w:val="20"/>
                <w:szCs w:val="20"/>
              </w:rPr>
              <w:t xml:space="preserve">K, G (Narrative Graph component)</w:t>
            </w:r>
          </w:p>
        </w:tc>
        <w:tc>
          <w:tcPr>
            <w:tcW w:type="pct" w:w="56%"/>
          </w:tcPr>
          <w:p>
            <w:r>
              <w:rPr>
                <w:rFonts w:ascii="Calibri" w:cs="Calibri" w:eastAsia="Calibri" w:hAnsi="Calibri"/>
                <w:b w:val="false"/>
                <w:bCs w:val="false"/>
                <w:i w:val="false"/>
                <w:iCs w:val="false"/>
                <w:strike w:val="false"/>
                <w:color w:val="000000"/>
                <w:sz w:val="20"/>
                <w:szCs w:val="20"/>
              </w:rPr>
              <w:t xml:space="preserve">The Cross-Domain Rule Engine (K) and Narrative Graph (part of G) provide the semantic organization layer over the knowledge infrastructure.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1–2</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4 — Cognitive Reasoning</w:t>
            </w:r>
          </w:p>
        </w:tc>
        <w:tc>
          <w:tcPr>
            <w:tcW w:type="pct" w:w="15%"/>
          </w:tcPr>
          <w:p>
            <w:r>
              <w:rPr>
                <w:rFonts w:ascii="Calibri" w:cs="Calibri" w:eastAsia="Calibri" w:hAnsi="Calibri"/>
                <w:b w:val="false"/>
                <w:bCs w:val="false"/>
                <w:i w:val="false"/>
                <w:iCs w:val="false"/>
                <w:strike w:val="false"/>
                <w:color w:val="000000"/>
                <w:sz w:val="20"/>
                <w:szCs w:val="20"/>
              </w:rPr>
              <w:t xml:space="preserve">B, F, L, I</w:t>
            </w:r>
          </w:p>
        </w:tc>
        <w:tc>
          <w:tcPr>
            <w:tcW w:type="pct" w:w="56%"/>
          </w:tcPr>
          <w:p>
            <w:r>
              <w:rPr>
                <w:rFonts w:ascii="Calibri" w:cs="Calibri" w:eastAsia="Calibri" w:hAnsi="Calibri"/>
                <w:b w:val="false"/>
                <w:bCs w:val="false"/>
                <w:i w:val="false"/>
                <w:iCs w:val="false"/>
                <w:strike w:val="false"/>
                <w:color w:val="000000"/>
                <w:sz w:val="20"/>
                <w:szCs w:val="20"/>
              </w:rPr>
              <w:t xml:space="preserve">The Neuromorphic Cognitive Layer (B), Scenario Graph System (F), Predictive Inference Engine (L), and AGI Extension Modules (I) constitute the reasoning layer operating over the knowledge infrastructure and semantic structure.</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1–3</w:t>
            </w:r>
          </w:p>
        </w:tc>
      </w:tr>
      <w:tr>
        <w:trPr>
          <w:tblHeader w:val="false"/>
        </w:trPr>
        <w:tc>
          <w:tcPr>
            <w:tcW w:type="pct" w:w="15%"/>
          </w:tcPr>
          <w:p>
            <w:r>
              <w:rPr>
                <w:rFonts w:ascii="Calibri" w:cs="Calibri" w:eastAsia="Calibri" w:hAnsi="Calibri"/>
                <w:b/>
                <w:bCs/>
                <w:i w:val="false"/>
                <w:iCs w:val="false"/>
                <w:strike w:val="false"/>
                <w:color w:val="000000"/>
                <w:sz w:val="22"/>
                <w:szCs w:val="22"/>
              </w:rPr>
              <w:t xml:space="preserve">Layer 5 — Human Interface</w:t>
            </w:r>
          </w:p>
        </w:tc>
        <w:tc>
          <w:tcPr>
            <w:tcW w:type="pct" w:w="15%"/>
          </w:tcPr>
          <w:p>
            <w:r>
              <w:rPr>
                <w:rFonts w:ascii="Calibri" w:cs="Calibri" w:eastAsia="Calibri" w:hAnsi="Calibri"/>
                <w:b w:val="false"/>
                <w:bCs w:val="false"/>
                <w:i w:val="false"/>
                <w:iCs w:val="false"/>
                <w:strike w:val="false"/>
                <w:color w:val="000000"/>
                <w:sz w:val="20"/>
                <w:szCs w:val="20"/>
              </w:rPr>
              <w:t xml:space="preserve">G (MRE component), J, O</w:t>
            </w:r>
          </w:p>
        </w:tc>
        <w:tc>
          <w:tcPr>
            <w:tcW w:type="pct" w:w="56%"/>
          </w:tcPr>
          <w:p>
            <w:r>
              <w:rPr>
                <w:rFonts w:ascii="Calibri" w:cs="Calibri" w:eastAsia="Calibri" w:hAnsi="Calibri"/>
                <w:b w:val="false"/>
                <w:bCs w:val="false"/>
                <w:i w:val="false"/>
                <w:iCs w:val="false"/>
                <w:strike w:val="false"/>
                <w:color w:val="000000"/>
                <w:sz w:val="20"/>
                <w:szCs w:val="20"/>
              </w:rPr>
              <w:t xml:space="preserve">The Multilingual Regeneration Engine (G, J) and QB-Query Language (O) constitute the human interface layer, enabling users and agents to interact with the full cognitive system via grounded natural language and declarative queries.</w:t>
            </w:r>
          </w:p>
        </w:tc>
        <w:tc>
          <w:tcPr>
            <w:tcW w:type="pct" w:w="14%"/>
          </w:tcPr>
          <w:p>
            <w:r>
              <w:rPr>
                <w:rFonts w:ascii="Calibri" w:cs="Calibri" w:eastAsia="Calibri" w:hAnsi="Calibri"/>
                <w:b w:val="false"/>
                <w:bCs w:val="false"/>
                <w:i w:val="false"/>
                <w:iCs w:val="false"/>
                <w:strike w:val="false"/>
                <w:color w:val="000000"/>
                <w:sz w:val="20"/>
                <w:szCs w:val="20"/>
              </w:rPr>
              <w:t xml:space="preserve">Depends on Layers 1–4</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333333"/>
                <w:sz w:val="24"/>
                <w:szCs w:val="24"/>
              </w:rPr>
              <w:t xml:space="preserve">APPENDICES</w:t>
            </w:r>
          </w:p>
        </w:tc>
      </w:tr>
    </w:tbl>
    <w:p>
      <w:pPr>
        <w:spacing w:after="200" w:before="0"/>
      </w:pPr>
    </w:p>
    <w:p>
      <w:pPr>
        <w:spacing w:after="400" w:line="360" w:lineRule="auto"/>
        <w:jc w:val="right"/>
      </w:pPr>
      <w:r>
        <w:rPr>
          <w:rFonts w:ascii="Calibri" w:cs="Calibri" w:eastAsia="Calibri" w:hAnsi="Calibri"/>
          <w:b w:val="false"/>
          <w:bCs w:val="false"/>
          <w:i/>
          <w:iCs/>
          <w:strike w:val="false"/>
          <w:color w:val="555555"/>
          <w:sz w:val="18"/>
          <w:szCs w:val="18"/>
        </w:rPr>
        <w:t xml:space="preserve">QueryBook Bible — CONFIDENTIAL — Appendices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tcPr>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6"/>
                      <w:szCs w:val="26"/>
                    </w:rPr>
                    <w:t xml:space="preserve">PART X — RESPONSE ARCHITECTURE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D2A5E"/>
                      <w:sz w:val="22"/>
                      <w:szCs w:val="22"/>
                    </w:rPr>
                    <w:t xml:space="preserve">Part X Executive Summary</w:t>
                  </w:r>
                  <w:r>
                    <w:rPr>
                      <w:rFonts w:ascii="Calibri" w:cs="Calibri" w:eastAsia="Calibri" w:hAnsi="Calibri"/>
                      <w:b/>
                      <w:bCs/>
                      <w:i w:val="false"/>
                      <w:iCs w:val="false"/>
                      <w:strike w:val="false"/>
                      <w:color w:val="000000"/>
                      <w:sz w:val="22"/>
                      <w:szCs w:val="22"/>
                    </w:rPr>
                    <w:t xml:space="preserve">Part X defines the Response Architecture of the QueryBook system — the pipeline stage responsible for transforming a verified fact retrieval result set into an audience-calibrated, discipline-appropriate, expertise-levelled natural language response. Chapter 52 specifies the Adaptive Response Engine (ARE), the formal Stage 6 layer of the QB response pipeline, including its Response Profile data structure, Expertise Level Taxonomy, Discipline Mode Registry, three-tier governance cascade, five-stage processing pipeline, and Generation Directive output. Part X is essential reading for engineers implementing the NLGE interface, patent attorneys constructing claims around audience-adaptive knowledge generation, and product architects designing operator and subscriber configuration systems.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PASS 3 — NEWLY DRAFTED CONTENT</w:t>
                  </w:r>
                  <w:r>
                    <w:rPr>
                      <w:rFonts w:ascii="Calibri" w:cs="Calibri" w:eastAsia="Calibri" w:hAnsi="Calibri"/>
                      <w:b/>
                      <w:bCs/>
                      <w:i w:val="false"/>
                      <w:iCs w:val="false"/>
                      <w:strike w:val="false"/>
                      <w:color w:val="333333"/>
                      <w:sz w:val="24"/>
                      <w:szCs w:val="24"/>
                    </w:rPr>
                    <w:t xml:space="preserve">Chapters 48–51 below were absent from every prior draft of this Bible under any numbering scheme. They are drafted here for the first time, grounded in the specific section numbers already cited from Chapter 52 and elsewhere, and inserted as new chapters — not modifying any existing chapter.</w:t>
                  </w:r>
                </w:p>
              </w:tc>
            </w:tr>
          </w:tbl>
          <w:p>
            <w:pPr>
              <w:spacing w:after="200" w:before="0"/>
            </w:pPr>
          </w:p>
          <w:p>
            <w:pPr>
              <w:pStyle w:val="Heading1"/>
              <w:spacing w:after="120" w:before="240" w:line="288" w:lineRule="auto"/>
            </w:pPr>
            <w:r>
              <w:rPr>
                <w:rFonts w:ascii="Calibri" w:cs="Calibri" w:eastAsia="Calibri" w:hAnsi="Calibri"/>
                <w:color w:val="000000"/>
                <w:sz w:val="48"/>
                <w:szCs w:val="48"/>
              </w:rPr>
              <w:t xml:space="preserve">Chapter 48: QueryBook as a Semantic Programming Platform — QBQL, QBPL, and NLPL</w:t>
            </w:r>
          </w:p>
          <w:p>
            <w:pPr>
              <w:pStyle w:val="Heading2"/>
              <w:spacing w:after="120" w:before="240" w:line="288" w:lineRule="auto"/>
            </w:pPr>
            <w:r>
              <w:rPr>
                <w:rFonts w:ascii="Calibri" w:cs="Calibri" w:eastAsia="Calibri" w:hAnsi="Calibri"/>
                <w:color w:val="000000"/>
                <w:sz w:val="36"/>
                <w:szCs w:val="36"/>
              </w:rPr>
              <w:t xml:space="preserve">48.1 Introduction — The Three Language Forms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exposes the same Fact Graph substrate through three progressively more expressive language forms: QBQL (query), QBPL (programming), and NLPL (natural language). A QBPL program compiles to a sequence of QBQL-equivalent graph operations plus two additional primitives (§48.3.1); an NLPL program compiles to a QBPL program via the five-stage pipeline in §48.4.2. QBQL is the semantic floor of the platform; NLPL is its ceiling.</w:t>
            </w:r>
          </w:p>
          <w:p>
            <w:pPr>
              <w:pStyle w:val="Heading2"/>
              <w:spacing w:after="120" w:before="240" w:line="288" w:lineRule="auto"/>
            </w:pPr>
            <w:r>
              <w:rPr>
                <w:rFonts w:ascii="Calibri" w:cs="Calibri" w:eastAsia="Calibri" w:hAnsi="Calibri"/>
                <w:color w:val="000000"/>
                <w:sz w:val="36"/>
                <w:szCs w:val="36"/>
              </w:rPr>
              <w:t xml:space="preserve">48.2 QBQL — QueryBook Query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formal grammar, keyword set, data types, and execution model are fully specified in Chapter 18 and are not repeated here. In this chapter's context, QBQL is Layer 1 of the platform: a declarative, read-oriented language over the Fact Graph with no mutation or control-flow primitives of its own.</w:t>
            </w:r>
          </w:p>
          <w:p>
            <w:pPr>
              <w:pStyle w:val="Heading2"/>
              <w:spacing w:after="120" w:before="240" w:line="288" w:lineRule="auto"/>
            </w:pPr>
            <w:r>
              <w:rPr>
                <w:rFonts w:ascii="Calibri" w:cs="Calibri" w:eastAsia="Calibri" w:hAnsi="Calibri"/>
                <w:color w:val="000000"/>
                <w:sz w:val="36"/>
                <w:szCs w:val="36"/>
              </w:rPr>
              <w:t xml:space="preserve">48.3 QBPL — QueryBook Programming Language</w:t>
            </w:r>
          </w:p>
          <w:p>
            <w:pPr>
              <w:pStyle w:val="Heading3"/>
              <w:spacing w:after="120" w:before="200" w:line="288" w:lineRule="auto"/>
            </w:pPr>
            <w:r>
              <w:rPr>
                <w:rFonts w:ascii="Calibri" w:cs="Calibri" w:eastAsia="Calibri" w:hAnsi="Calibri"/>
                <w:color w:val="000000"/>
                <w:sz w:val="28"/>
                <w:szCs w:val="28"/>
              </w:rPr>
              <w:t xml:space="preserve">48.3.1 The Two Added Primitives — Completing Turing Completeness</w:t>
            </w:r>
          </w:p>
          <w:p>
            <w:pPr>
              <w:spacing w:after="120" w:line="360" w:lineRule="auto"/>
            </w:pPr>
            <w:r>
              <w:rPr>
                <w:rFonts w:ascii="Calibri" w:cs="Calibri" w:eastAsia="Calibri" w:hAnsi="Calibri"/>
                <w:b w:val="false"/>
                <w:bCs w:val="false"/>
                <w:i w:val="false"/>
                <w:iCs w:val="false"/>
                <w:strike w:val="false"/>
                <w:color w:val="000000"/>
                <w:sz w:val="22"/>
                <w:szCs w:val="22"/>
              </w:rPr>
              <w:t xml:space="preserve">QBQL's operations are read-only and non-recursive — decidable, but not Turing-complete. QBPL adds exactly two primitives on top of the full QBQL operation set, and no others,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ASSERT / RETRACT: </w:t>
            </w:r>
            <w:r>
              <w:rPr>
                <w:rFonts w:ascii="Calibri" w:cs="Calibri" w:eastAsia="Calibri" w:hAnsi="Calibri"/>
                <w:b w:val="false"/>
                <w:bCs w:val="false"/>
                <w:i w:val="false"/>
                <w:iCs w:val="false"/>
                <w:strike w:val="false"/>
                <w:color w:val="000000"/>
                <w:sz w:val="22"/>
                <w:szCs w:val="22"/>
              </w:rPr>
              <w:t xml:space="preserve">writes or tombstones a Fact Unit as a single atomic operation, subject to the same Safety Substrate and Prime Directive review as any other Fact Graph write (§8.1, Domain 0). The only QBPL primitive capable of changing graph 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REPEAT-UNTIL-BOUND: </w:t>
            </w:r>
            <w:r>
              <w:rPr>
                <w:rFonts w:ascii="Calibri" w:cs="Calibri" w:eastAsia="Calibri" w:hAnsi="Calibri"/>
                <w:b w:val="false"/>
                <w:bCs w:val="false"/>
                <w:i w:val="false"/>
                <w:iCs w:val="false"/>
                <w:strike w:val="false"/>
                <w:color w:val="000000"/>
                <w:sz w:val="22"/>
                <w:szCs w:val="22"/>
              </w:rPr>
              <w:t xml:space="preserve">loops over a QBQL result set until a QBQL-expressible termination predicate is satisfied or a mandatory iteration ceiling (default 100,000, operator-configurable) is reached, whichever comes first, enforced by the runtime rather than convention.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QBPL is deliberately not Turing-complete in the unbounded classical sense — an unbounded halting problem inside a production query runtime is a liability, not a feature.</w:t>
            </w:r>
          </w:p>
          <w:p>
            <w:pPr>
              <w:pStyle w:val="Heading3"/>
              <w:spacing w:after="120" w:before="200" w:line="288" w:lineRule="auto"/>
            </w:pPr>
            <w:r>
              <w:rPr>
                <w:rFonts w:ascii="Calibri" w:cs="Calibri" w:eastAsia="Calibri" w:hAnsi="Calibri"/>
                <w:color w:val="000000"/>
                <w:sz w:val="28"/>
                <w:szCs w:val="28"/>
              </w:rPr>
              <w:t xml:space="preserve">48.3.2 QBPL Program Structure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QBPL program is a Fact Unit of FactType PROGRAM, versioned like any other Fact Unit (VersionChain, Appendix A), containing an ordered list of QBQL-derived statements and the two added primitives, a declared input parameter schema, and a declared output Fact Bundle shape. Programs are stored and access-controlled exactly like any other Fact Unit — there is no separate program store.</w:t>
            </w:r>
          </w:p>
          <w:p>
            <w:pPr>
              <w:pStyle w:val="Heading3"/>
              <w:spacing w:after="120" w:before="200" w:line="288" w:lineRule="auto"/>
            </w:pPr>
            <w:r>
              <w:rPr>
                <w:rFonts w:ascii="Calibri" w:cs="Calibri" w:eastAsia="Calibri" w:hAnsi="Calibri"/>
                <w:color w:val="000000"/>
                <w:sz w:val="28"/>
                <w:szCs w:val="28"/>
              </w:rPr>
              <w:t xml:space="preserve">48.3.3 QBPL Execution Model — Semantic Execution Plan and Program State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At invocation, a QBPL program compiles into a Semantic Execution Plan (SEP) — a DAG of QBQL operations and primitive calls, with REPEAT-UNTIL-BOUND flattened to its iteration ceiling for cost estimation. Execution proceeds against a Program State Register (PSR), a bounded scratch space (default 4,096 entries) holding intermediate bindings between statements. The PSR is discarded at completion; only ASSERT/RETRACT effects and the declared output persist.</w:t>
            </w:r>
          </w:p>
          <w:p>
            <w:pPr>
              <w:pStyle w:val="Heading2"/>
              <w:spacing w:after="120" w:before="240" w:line="288" w:lineRule="auto"/>
            </w:pPr>
            <w:r>
              <w:rPr>
                <w:rFonts w:ascii="Calibri" w:cs="Calibri" w:eastAsia="Calibri" w:hAnsi="Calibri"/>
                <w:color w:val="000000"/>
                <w:sz w:val="36"/>
                <w:szCs w:val="36"/>
              </w:rPr>
              <w:t xml:space="preserve">48.4 NLPL — Natural Language as Source Code</w:t>
            </w:r>
          </w:p>
          <w:p>
            <w:pPr>
              <w:spacing w:after="120" w:line="360" w:lineRule="auto"/>
            </w:pPr>
            <w:r>
              <w:rPr>
                <w:rFonts w:ascii="Calibri" w:cs="Calibri" w:eastAsia="Calibri" w:hAnsi="Calibri"/>
                <w:b w:val="false"/>
                <w:bCs w:val="false"/>
                <w:i w:val="false"/>
                <w:iCs w:val="false"/>
                <w:strike w:val="false"/>
                <w:color w:val="000000"/>
                <w:sz w:val="22"/>
                <w:szCs w:val="22"/>
              </w:rPr>
              <w:t xml:space="preserve">NLPL treats a natural-language instruction as directly compilable source code rather than a one-shot question. Compiled through NLPL, a standing instruction becomes a QBPL program — typically a WATCH program (§49.4).</w:t>
            </w:r>
          </w:p>
          <w:p>
            <w:pPr>
              <w:pStyle w:val="Heading3"/>
              <w:spacing w:after="120" w:before="200" w:line="288" w:lineRule="auto"/>
            </w:pPr>
            <w:r>
              <w:rPr>
                <w:rFonts w:ascii="Calibri" w:cs="Calibri" w:eastAsia="Calibri" w:hAnsi="Calibri"/>
                <w:color w:val="000000"/>
                <w:sz w:val="28"/>
                <w:szCs w:val="28"/>
              </w:rPr>
              <w:t xml:space="preserve">48.4.1 The Five-Stage NLPL Compilation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Intent Decomposition Engine (IDE): </w:t>
            </w:r>
            <w:r>
              <w:rPr>
                <w:rFonts w:ascii="Calibri" w:cs="Calibri" w:eastAsia="Calibri" w:hAnsi="Calibri"/>
                <w:b w:val="false"/>
                <w:bCs w:val="false"/>
                <w:i w:val="false"/>
                <w:iCs w:val="false"/>
                <w:strike w:val="false"/>
                <w:color w:val="000000"/>
                <w:sz w:val="22"/>
                <w:szCs w:val="22"/>
              </w:rPr>
              <w:t xml:space="preserve">decomposes the instruction into discrete operational intents, each tagged with the QBQL/QBPL primitive category it maps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Program Structure Synthesizer (PSS): </w:t>
            </w:r>
            <w:r>
              <w:rPr>
                <w:rFonts w:ascii="Calibri" w:cs="Calibri" w:eastAsia="Calibri" w:hAnsi="Calibri"/>
                <w:b w:val="false"/>
                <w:bCs w:val="false"/>
                <w:i w:val="false"/>
                <w:iCs w:val="false"/>
                <w:strike w:val="false"/>
                <w:color w:val="000000"/>
                <w:sz w:val="22"/>
                <w:szCs w:val="22"/>
              </w:rPr>
              <w:t xml:space="preserve">arranges decomposed intents into a candidate program structure before any binding to concrete entities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Semantic Binding Resolver (SBR) and Ambiguity Resolution: </w:t>
            </w:r>
            <w:r>
              <w:rPr>
                <w:rFonts w:ascii="Calibri" w:cs="Calibri" w:eastAsia="Calibri" w:hAnsi="Calibri"/>
                <w:b w:val="false"/>
                <w:bCs w:val="false"/>
                <w:i w:val="false"/>
                <w:iCs w:val="false"/>
                <w:strike w:val="false"/>
                <w:color w:val="000000"/>
                <w:sz w:val="22"/>
                <w:szCs w:val="22"/>
              </w:rPr>
              <w:t xml:space="preserve">resolves each natural-language reference to concrete FactType, EntityRef, and PredicateRef values via the same entity resolution used in ingestion (§4.5). Ambiguous resolution halts compilation and returns to the requester through the same Clarification Generation Engine already specified for ordinary queries (§37.4) — not a separate, unspecified halt-and-return format — rather than guessing; this is the NLPL-level implementation of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QBPL Program Emitter (QPE): </w:t>
            </w:r>
            <w:r>
              <w:rPr>
                <w:rFonts w:ascii="Calibri" w:cs="Calibri" w:eastAsia="Calibri" w:hAnsi="Calibri"/>
                <w:b w:val="false"/>
                <w:bCs w:val="false"/>
                <w:i w:val="false"/>
                <w:iCs w:val="false"/>
                <w:strike w:val="false"/>
                <w:color w:val="000000"/>
                <w:sz w:val="22"/>
                <w:szCs w:val="22"/>
              </w:rPr>
              <w:t xml:space="preserve">emits a syntactically valid QBPL program from the fully-bound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5 — Verification and Confirmation Gate (VCG): </w:t>
            </w:r>
            <w:r>
              <w:rPr>
                <w:rFonts w:ascii="Calibri" w:cs="Calibri" w:eastAsia="Calibri" w:hAnsi="Calibri"/>
                <w:b w:val="false"/>
                <w:bCs w:val="false"/>
                <w:i w:val="false"/>
                <w:iCs w:val="false"/>
                <w:strike w:val="false"/>
                <w:color w:val="000000"/>
                <w:sz w:val="22"/>
                <w:szCs w:val="22"/>
              </w:rPr>
              <w:t xml:space="preserve">runs the emitted program against Safety Substrate and Prime Directive review (§8.1, Domain 0); any program containing ASSERT/RETRACT requires explicit human confirmation before registration, regardless of requester role.</w:t>
            </w:r>
          </w:p>
          <w:p>
            <w:pPr>
              <w:pStyle w:val="Heading3"/>
              <w:spacing w:after="120" w:before="200" w:line="288" w:lineRule="auto"/>
            </w:pPr>
            <w:r>
              <w:rPr>
                <w:rFonts w:ascii="Calibri" w:cs="Calibri" w:eastAsia="Calibri" w:hAnsi="Calibri"/>
                <w:color w:val="000000"/>
                <w:sz w:val="28"/>
                <w:szCs w:val="28"/>
              </w:rPr>
              <w:t xml:space="preserve">48.4.2 Multilingual NLPL</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Stage 1 decomposes intent rather than surface phrasing, NLPL compilation is available in every MRE-supported language (§16.2) — the same instruction compiles to an identical QBPL program regardless of source language, verifiable directly since QBPL programs are content-addressable (SemanticHash, Appendix A). All five compilation stages execute as a Response Generation Slice (§69.2) — the same category the ARE Pipeline uses — making NLPL compilation measurable under Chapter 69's model like every other operation in this Bible, not an unmeasured exception.</w:t>
            </w:r>
          </w:p>
          <w:p>
            <w:pPr>
              <w:pStyle w:val="Heading2"/>
              <w:spacing w:after="120" w:before="240" w:line="288" w:lineRule="auto"/>
            </w:pPr>
            <w:r>
              <w:rPr>
                <w:rFonts w:ascii="Calibri" w:cs="Calibri" w:eastAsia="Calibri" w:hAnsi="Calibri"/>
                <w:color w:val="000000"/>
                <w:sz w:val="36"/>
                <w:szCs w:val="36"/>
              </w:rPr>
              <w:t xml:space="preserve">48.5 The Nine Programming Primitives — QueryBook Status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1–7: Traverse, Filter, Aggregate, Project, Sort/Rank, Join, Bind — all QBQL, fully specified in Chapter 18.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8–9: ASSERT/RETRACT and REPEAT-UNTIL-BOUND — QBPL, defined in §48.3.1 above.</w:t>
            </w:r>
          </w:p>
          <w:p>
            <w:pPr>
              <w:pStyle w:val="Heading2"/>
              <w:spacing w:after="120" w:before="240" w:line="288" w:lineRule="auto"/>
            </w:pPr>
            <w:r>
              <w:rPr>
                <w:rFonts w:ascii="Calibri" w:cs="Calibri" w:eastAsia="Calibri" w:hAnsi="Calibri"/>
                <w:color w:val="000000"/>
                <w:sz w:val="36"/>
                <w:szCs w:val="36"/>
              </w:rPr>
              <w:t xml:space="preserve">48.6 Patent Significance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patentable surface is the specific combination of a bounded, deliberately-non-unbounded-Turing-complete primitive set (two additions over an existing query language), a five-stage natural-language-to-program pipeline with an explicit ambiguity-halting stage, and content-addressable program identity via SemanticHash. Recommended addition to the Patent Claim Reference Index (Chapter 20): a cluster tying §48.3.1, §48.4.1, and Appendix A's SemanticHash field together.</w:t>
            </w:r>
          </w:p>
          <w:p>
            <w:pPr>
              <w:pStyle w:val="Heading1"/>
              <w:spacing w:after="120" w:before="240" w:line="288" w:lineRule="auto"/>
            </w:pPr>
            <w:r>
              <w:rPr>
                <w:rFonts w:ascii="Calibri" w:cs="Calibri" w:eastAsia="Calibri" w:hAnsi="Calibri"/>
                <w:color w:val="000000"/>
                <w:sz w:val="48"/>
                <w:szCs w:val="48"/>
              </w:rPr>
              <w:t xml:space="preserve">Chapter 49: The Live Fact Graph, Universal Ingestion Architecture, and Continuous Query Engine</w:t>
            </w:r>
          </w:p>
          <w:p>
            <w:pPr>
              <w:pStyle w:val="Heading2"/>
              <w:spacing w:after="120" w:before="240" w:line="288" w:lineRule="auto"/>
            </w:pPr>
            <w:r>
              <w:rPr>
                <w:rFonts w:ascii="Calibri" w:cs="Calibri" w:eastAsia="Calibri" w:hAnsi="Calibri"/>
                <w:color w:val="000000"/>
                <w:sz w:val="36"/>
                <w:szCs w:val="36"/>
              </w:rPr>
              <w:t xml:space="preserve">49.1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describes how the Fact Graph stays current. The Live Fact Graph is the always-current view as new evidence arrives; the Universal Ingestion Architecture (UIA) is the single pipeline all six source types pass through to reach it; the Continuous Query Engine (CQE) lets a QBPL program subscribe to changes in that view rather than polling it.</w:t>
            </w:r>
          </w:p>
          <w:p>
            <w:pPr>
              <w:pStyle w:val="Heading2"/>
              <w:spacing w:after="120" w:before="240" w:line="288" w:lineRule="auto"/>
            </w:pPr>
            <w:r>
              <w:rPr>
                <w:rFonts w:ascii="Calibri" w:cs="Calibri" w:eastAsia="Calibri" w:hAnsi="Calibri"/>
                <w:color w:val="000000"/>
                <w:sz w:val="36"/>
                <w:szCs w:val="36"/>
              </w:rPr>
              <w:t xml:space="preserve">49.2 The Live Fact Graph — Dual-Layer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Live Fact Graph has two layers reconciled on a fixed interval (default 500ms): the Committed Layer, the durable, provenance-signed graph already covered by Chapters 3 and 5, and the Live Fact Buffer (LFB), an in-memory overlay holding Fact Units that passed ingestion validation and Safety Substrate review but have not yet completed the durable write and provenance-signing path. A query against the Live Fact Graph reads the Committed Layer overlaid with matching LFB entries, so a QBPL program can react within milliseconds of ingestion — while every LFB entry carries a provisional ProvenanceRef that is only finalized, never altered, once the durable write completes.</w:t>
            </w:r>
          </w:p>
          <w:p>
            <w:pPr>
              <w:pStyle w:val="Heading2"/>
              <w:spacing w:after="120" w:before="240" w:line="288" w:lineRule="auto"/>
            </w:pPr>
            <w:r>
              <w:rPr>
                <w:rFonts w:ascii="Calibri" w:cs="Calibri" w:eastAsia="Calibri" w:hAnsi="Calibri"/>
                <w:color w:val="000000"/>
                <w:sz w:val="36"/>
                <w:szCs w:val="36"/>
              </w:rPr>
              <w:t xml:space="preserve">49.3 The Universal Ingestion Architecture (UIA)</w:t>
            </w:r>
          </w:p>
          <w:p>
            <w:pPr>
              <w:pStyle w:val="Heading3"/>
              <w:spacing w:after="120" w:before="200" w:line="288" w:lineRule="auto"/>
            </w:pPr>
            <w:r>
              <w:rPr>
                <w:rFonts w:ascii="Calibri" w:cs="Calibri" w:eastAsia="Calibri" w:hAnsi="Calibri"/>
                <w:color w:val="000000"/>
                <w:sz w:val="28"/>
                <w:szCs w:val="28"/>
              </w:rPr>
              <w:t xml:space="preserve">49.3.1 UIA Pipeline — Four Stages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1 — Source Adaptation: </w:t>
            </w:r>
            <w:r>
              <w:rPr>
                <w:rFonts w:ascii="Calibri" w:cs="Calibri" w:eastAsia="Calibri" w:hAnsi="Calibri"/>
                <w:b w:val="false"/>
                <w:bCs w:val="false"/>
                <w:i w:val="false"/>
                <w:iCs w:val="false"/>
                <w:strike w:val="false"/>
                <w:color w:val="000000"/>
                <w:sz w:val="22"/>
                <w:szCs w:val="22"/>
              </w:rPr>
              <w:t xml:space="preserve">a source-type-specific adapter normalizes incoming data into a common Ingestion Envelope, so Stages 2–4 are source-agnostic.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2 — Extraction and Entity Resolution: </w:t>
            </w:r>
            <w:r>
              <w:rPr>
                <w:rFonts w:ascii="Calibri" w:cs="Calibri" w:eastAsia="Calibri" w:hAnsi="Calibri"/>
                <w:b w:val="false"/>
                <w:bCs w:val="false"/>
                <w:i w:val="false"/>
                <w:iCs w:val="false"/>
                <w:strike w:val="false"/>
                <w:color w:val="000000"/>
                <w:sz w:val="22"/>
                <w:szCs w:val="22"/>
              </w:rPr>
              <w:t xml:space="preserve">hands the normalized envelope to the Multimodal Ingestion Pipeline already specified in Chapter 4 (§4.3 extraction, §4.5 entity resolution) — the UIA does not duplicate extraction logic, it feeds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3 — Safety and Confidence Gating: </w:t>
            </w:r>
            <w:r>
              <w:rPr>
                <w:rFonts w:ascii="Calibri" w:cs="Calibri" w:eastAsia="Calibri" w:hAnsi="Calibri"/>
                <w:b w:val="false"/>
                <w:bCs w:val="false"/>
                <w:i w:val="false"/>
                <w:iCs w:val="false"/>
                <w:strike w:val="false"/>
                <w:color w:val="000000"/>
                <w:sz w:val="22"/>
                <w:szCs w:val="22"/>
              </w:rPr>
              <w:t xml:space="preserve">applies Ingestion Gate Safety Substrate enforcement (§8.1, enforcement point 41) and Chapter 4's confidence calibration (§4.6) before anything reaches the Live Fact Buffer.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Stage 4 — Live Fact Buffer Write: </w:t>
            </w:r>
            <w:r>
              <w:rPr>
                <w:rFonts w:ascii="Calibri" w:cs="Calibri" w:eastAsia="Calibri" w:hAnsi="Calibri"/>
                <w:b w:val="false"/>
                <w:bCs w:val="false"/>
                <w:i w:val="false"/>
                <w:iCs w:val="false"/>
                <w:strike w:val="false"/>
                <w:color w:val="000000"/>
                <w:sz w:val="22"/>
                <w:szCs w:val="22"/>
              </w:rPr>
              <w:t xml:space="preserve">writes the gated Fact Unit into the LFB with a provisional ProvenanceRef, queues the durable write, and notifies the Fact Delta Notifier (§49.5.1) for source types with active CQE subscriptions.</w:t>
            </w:r>
          </w:p>
          <w:p>
            <w:pPr>
              <w:pStyle w:val="Heading3"/>
              <w:spacing w:after="120" w:before="200" w:line="288" w:lineRule="auto"/>
            </w:pPr>
            <w:r>
              <w:rPr>
                <w:rFonts w:ascii="Calibri" w:cs="Calibri" w:eastAsia="Calibri" w:hAnsi="Calibri"/>
                <w:color w:val="000000"/>
                <w:sz w:val="28"/>
                <w:szCs w:val="28"/>
              </w:rPr>
              <w:t xml:space="preserve">49.3.2 The Six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BATCH: </w:t>
            </w:r>
            <w:r>
              <w:rPr>
                <w:rFonts w:ascii="Calibri" w:cs="Calibri" w:eastAsia="Calibri" w:hAnsi="Calibri"/>
                <w:b w:val="false"/>
                <w:bCs w:val="false"/>
                <w:i w:val="false"/>
                <w:iCs w:val="false"/>
                <w:strike w:val="false"/>
                <w:color w:val="000000"/>
                <w:sz w:val="22"/>
                <w:szCs w:val="22"/>
              </w:rPr>
              <w:t xml:space="preserve">§49.3.2.1 — bulk, scheduled or on-demand corpus ingestion (documents, datasets, archives); minutes to hours into the LFB, by design.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w:t>
            </w:r>
            <w:r>
              <w:rPr>
                <w:rFonts w:ascii="Calibri" w:cs="Calibri" w:eastAsia="Calibri" w:hAnsi="Calibri"/>
                <w:b w:val="false"/>
                <w:bCs w:val="false"/>
                <w:i w:val="false"/>
                <w:iCs w:val="false"/>
                <w:strike w:val="false"/>
                <w:color w:val="000000"/>
                <w:sz w:val="22"/>
                <w:szCs w:val="22"/>
              </w:rPr>
              <w:t xml:space="preserve">§49.3.2.2 — standing NLPL/QBPL programs that poll or subscribe to a source on a schedule (§49.4); latency per program schedule.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STREAM: </w:t>
            </w:r>
            <w:r>
              <w:rPr>
                <w:rFonts w:ascii="Calibri" w:cs="Calibri" w:eastAsia="Calibri" w:hAnsi="Calibri"/>
                <w:b w:val="false"/>
                <w:bCs w:val="false"/>
                <w:i w:val="false"/>
                <w:iCs w:val="false"/>
                <w:strike w:val="false"/>
                <w:color w:val="000000"/>
                <w:sz w:val="22"/>
                <w:szCs w:val="22"/>
              </w:rPr>
              <w:t xml:space="preserve">§49.3.2.3 — continuous event streams (message queues, log tails); sub-second into the LFB.</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FEDERATED: </w:t>
            </w:r>
            <w:r>
              <w:rPr>
                <w:rFonts w:ascii="Calibri" w:cs="Calibri" w:eastAsia="Calibri" w:hAnsi="Calibri"/>
                <w:b w:val="false"/>
                <w:bCs w:val="false"/>
                <w:i w:val="false"/>
                <w:iCs w:val="false"/>
                <w:strike w:val="false"/>
                <w:color w:val="000000"/>
                <w:sz w:val="22"/>
                <w:szCs w:val="22"/>
              </w:rPr>
              <w:t xml:space="preserve">§49.3.2.6 — read-through queries against an external, non-owned Fact Graph or data source, cached but not duplicated locally; query-time latency.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SENSOR (via SMNP): </w:t>
            </w:r>
            <w:r>
              <w:rPr>
                <w:rFonts w:ascii="Calibri" w:cs="Calibri" w:eastAsia="Calibri" w:hAnsi="Calibri"/>
                <w:b w:val="false"/>
                <w:bCs w:val="false"/>
                <w:i w:val="false"/>
                <w:iCs w:val="false"/>
                <w:strike w:val="false"/>
                <w:color w:val="000000"/>
                <w:sz w:val="22"/>
                <w:szCs w:val="22"/>
              </w:rPr>
              <w:t xml:space="preserve">§49.3.2.4 — physical or IoT sensor input over the Sensor &amp; Media Network Protocol; feeds the Sensory Abstraction Pipeline (Chapter 55) before reaching the Fact Graph as abstractions, never raw signal; sub-second post-abstraction.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w:t>
            </w:r>
            <w:r>
              <w:rPr>
                <w:rFonts w:ascii="Calibri" w:cs="Calibri" w:eastAsia="Calibri" w:hAnsi="Calibri"/>
                <w:b w:val="false"/>
                <w:bCs w:val="false"/>
                <w:i w:val="false"/>
                <w:iCs w:val="false"/>
                <w:strike w:val="false"/>
                <w:color w:val="000000"/>
                <w:sz w:val="22"/>
                <w:szCs w:val="22"/>
              </w:rPr>
              <w:t xml:space="preserve">§49.3.2.5 — public social-media and forum content, always tagged with a Source Advisory (§52.10) at generation time; seconds to minutes.</w:t>
            </w:r>
          </w:p>
          <w:p>
            <w:pPr>
              <w:pStyle w:val="Heading2"/>
              <w:spacing w:after="120" w:before="240" w:line="288" w:lineRule="auto"/>
            </w:pPr>
            <w:r>
              <w:rPr>
                <w:rFonts w:ascii="Calibri" w:cs="Calibri" w:eastAsia="Calibri" w:hAnsi="Calibri"/>
                <w:color w:val="000000"/>
                <w:sz w:val="36"/>
                <w:szCs w:val="36"/>
              </w:rPr>
              <w:t xml:space="preserve">49.3.3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six source types in §49.3.2 cover QueryBook's own named ingestion categories. The Source Connector Registry is the extension point beyond them: a formal interface any external system — owned by QueryBook's operator or by a third party — can implement to exchange data with QueryBook as a registered, capability-declared connector, without QueryBook needing to know anything about that system's internal architecture. This is the mechanism referred to elsewhere in this Bible as QueryBook's “universal API” for integrating with all source types (§9.5.3, Pass 6 changelog).</w:t>
            </w:r>
          </w:p>
          <w:p>
            <w:pPr>
              <w:pStyle w:val="Heading3"/>
              <w:spacing w:after="120" w:before="200" w:line="288" w:lineRule="auto"/>
            </w:pPr>
            <w:r>
              <w:rPr>
                <w:rFonts w:ascii="Calibri" w:cs="Calibri" w:eastAsia="Calibri" w:hAnsi="Calibri"/>
                <w:color w:val="000000"/>
                <w:sz w:val="28"/>
                <w:szCs w:val="28"/>
              </w:rPr>
              <w:t xml:space="preserve">49.3.3.1 Connector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Source Connector is any external system registered against this contract. The contract has four required elements, all delivered over the existing REST/gRPC API surface (§9.5.1–§9.5.2) rather than a new transport: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Capability Declaration — a manifest stating which of the six §49.3.2 source-type semantics the connector maps to (most commonly FEDERATED, §49.3.2.6, for a connector exposing another system's own knowledge store for read-through query, or BATCH/STREAM for a connector that pushes data into QueryBook's own Fact Graph), which FactTypes it can produce or consume, and its confidence-calibration profile (§4.6).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 the connector authenticates using the same Bearer token and role-based access model already specified for every other API caller (§9.5.1); an external connector is never granted a role beyond what a QueryBook-internal service of equivalent function would receive, and never bypasses the Safety Substrate (§8.1) or Domain 0 on data it sends or receives.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 Mapping — a declared schema mapping between the external system's native representation and QueryBook's Fact Unit schema (Appendix A), validated at registration time so a malformed mapping is rejected before any data flows, not discovered later as ingestion errors.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Health and Status Reporting — a standard liveness/capability-refresh endpoint the connector must expose, so QueryBook can detect a degraded or unreachable connector and fail its dependent queries gracefully rather than silently.</w:t>
            </w:r>
          </w:p>
          <w:p>
            <w:pPr>
              <w:pStyle w:val="Heading3"/>
              <w:spacing w:after="120" w:before="200" w:line="288" w:lineRule="auto"/>
            </w:pPr>
            <w:r>
              <w:rPr>
                <w:rFonts w:ascii="Calibri" w:cs="Calibri" w:eastAsia="Calibri" w:hAnsi="Calibri"/>
                <w:color w:val="000000"/>
                <w:sz w:val="28"/>
                <w:szCs w:val="28"/>
              </w:rPr>
              <w:t xml:space="preserve">49.3.3.2 Registration and Capability Negotiation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connector is registered through the API (§9.5.1) by an operator with sufficient privilege, not self-registered by the external system — this is a deliberate control point, consistent with the Safety Substrate's requirement that every ingestion path be an explicit, reviewed decision rather than an open one (§8.1). Once registered, QueryBook periodically re-negotiates capability with the connector (polling the health/status endpoint from §49.3.3.1) so a connector's declared capabilities stay current without requiring manual re-registration for every incremental change.</w:t>
            </w:r>
          </w:p>
          <w:p>
            <w:pPr>
              <w:pStyle w:val="Heading3"/>
              <w:spacing w:after="120" w:before="200" w:line="288" w:lineRule="auto"/>
            </w:pPr>
            <w:r>
              <w:rPr>
                <w:rFonts w:ascii="Calibri" w:cs="Calibri" w:eastAsia="Calibri" w:hAnsi="Calibri"/>
                <w:color w:val="000000"/>
                <w:sz w:val="28"/>
                <w:szCs w:val="28"/>
              </w:rPr>
              <w:t xml:space="preserve">49.3.3.3 Example: A Third-Party Cognitive Substrate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hypothetical example, to make the contract concrete: a third-party vendor offers a standalone knowledge substrate — for illustration, branded “UFCS” by that vendor, independent of and unrelated to QueryBook's own architecture — that an operator wants to use as a supplementary memory source. QueryBook does not need to know how that system stores or reasons about knowledge internally. It needs only: a Capability Declaration stating the external system offers FEDERATED-style read-through query over some FactType set, an Authentication credential scoped no more broadly than any other external caller's, a Data Mapping from that system's native output format to Fact Units, and a Health endpoint. Once registered, queries needing that data traverse the same Slice Resolver (§51.3) and Safety Substrate gates as any other FEDERATED source — the external system is a data source like any other, not a privileged or specially-trusted one.</w:t>
            </w:r>
          </w:p>
          <w:p>
            <w:pPr>
              <w:pStyle w:val="Heading3"/>
              <w:spacing w:after="120" w:before="200" w:line="288" w:lineRule="auto"/>
            </w:pPr>
            <w:r>
              <w:rPr>
                <w:rFonts w:ascii="Calibri" w:cs="Calibri" w:eastAsia="Calibri" w:hAnsi="Calibri"/>
                <w:color w:val="000000"/>
                <w:sz w:val="28"/>
                <w:szCs w:val="28"/>
              </w:rPr>
              <w:t xml:space="preserve">49.3.3.4 Trust Boundary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EXTERNAL SYSTEMS ARE UNTRUSTED BY DEFAULT</w:t>
                  </w:r>
                  <w:r>
                    <w:rPr>
                      <w:rFonts w:ascii="Calibri" w:cs="Calibri" w:eastAsia="Calibri" w:hAnsi="Calibri"/>
                      <w:b/>
                      <w:bCs/>
                      <w:i w:val="false"/>
                      <w:iCs w:val="false"/>
                      <w:strike w:val="false"/>
                      <w:color w:val="333333"/>
                      <w:sz w:val="24"/>
                      <w:szCs w:val="24"/>
                    </w:rPr>
                    <w:t xml:space="preserve">Every Fact Unit or query result crossing a Source Connector boundary — in either direction — passes through the same Ingestion Gate (§8.1, enforcement point 41) and Prime Directive review (Domain 0) as data from any QueryBook-native source. A registered connector receives no exemption, elevated trust, or bypass. This applies equally whether the external system is owned by QueryBook's own operator or by an unrelated third party — ownership does not change the trust boundary; only the Capability Declaration and Data Mapping (§49.3.3.1) do.</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49.3.3.5 Concrete Connector Examples: Web, Database, and API Feeds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source categories are named here as concrete Source Connector examples, closing a gap where the connector contract (§49.3.3.1) existed but no example covered these common cases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Web Page Connector — fetches and parses a URL's content (DOM structure, visible text, embedded metadata) into Unstructured Text and Structured Data Fact Units (§4.2), registered with a Capability Declaration scoped to read-only fetch operations. This is a FEDERATED-style connector (§49.3.2.6) in the common case of a single external page, not a new source type.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Database Connector — a live SQL or NoSQL connection (distinct from importing a static SQL dump, already covered as a Structured Data format in §4.2) registered with a Capability Declaration scoped to the specific tables, collections, or query patterns the connector exposes. Data Mapping (§49.3.3.1) translates the external schema to Fact Units at registration time, the same validation-before-data-flows discipline already required of any connector.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API Feed Connector — a registered external API (REST, GraphQL, or another structured feed) mapped through the same Data Mapping and Capability Declaration process; whether the feed behaves as BATCH, WATCH, or STREAM (§49.3.2) depends on how the external API itself delivers data, not on anything specific to being an API.</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follow §49.3.3.1's contract exactly — capability declaration, authentication, data mapping, health reporting — and are subject to the same Trust Boundary (§49.3.3.4) as any other connector. No new registration process, authentication model, or governance exception was introduced for any of the three.</w:t>
            </w:r>
          </w:p>
          <w:p>
            <w:pPr>
              <w:pStyle w:val="Heading3"/>
              <w:spacing w:after="120" w:before="200" w:line="288" w:lineRule="auto"/>
            </w:pPr>
            <w:r>
              <w:rPr>
                <w:rFonts w:ascii="Calibri" w:cs="Calibri" w:eastAsia="Calibri" w:hAnsi="Calibri"/>
                <w:color w:val="000000"/>
                <w:sz w:val="28"/>
                <w:szCs w:val="28"/>
              </w:rPr>
              <w:t xml:space="preserve">49.3.3.6 Autonomous Agent Connector: Directed Delegation, Not Adopted Authority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connector category bridges QueryBook to external autonomous agent platforms — the class of self-hosted, locally-running agent software capable of browser control, file access, and multi-channel account interaction, of which OpenClaw is the best-known current example — without QueryBook itself acquiring that platform's broad, unscoped authority. This connector follows §49.3.3.1's contract exactly, with one property emphasized because it is the entire reason this connector is safe to specify: QueryBook directs specific, declared actions through the registered agent; it does not inherit the agent's own login, browser-control, or device-manipulation authority as a native QueryBook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DIRECTED DELEGATION, NOT NATIVE AUTHORITY</w:t>
                  </w:r>
                  <w:r>
                    <w:rPr>
                      <w:rFonts w:ascii="Calibri" w:cs="Calibri" w:eastAsia="Calibri" w:hAnsi="Calibri"/>
                      <w:b/>
                      <w:bCs/>
                      <w:i w:val="false"/>
                      <w:iCs w:val="false"/>
                      <w:strike w:val="false"/>
                      <w:color w:val="333333"/>
                      <w:sz w:val="24"/>
                      <w:szCs w:val="24"/>
                    </w:rPr>
                    <w:t xml:space="preserve">An Autonomous Agent Connector's Capability Declaration (§49.3.3.1) enumerates specific, named actions the connector may be asked to perform — never an open-ended grant to “log into accounts and perform human-like tasks.” Each directed action is itself a QBPL-compiled operation (§48.3), carrying the same determinism and auditability as any other QBPL program, dispatched to the registered agent and logged to the Provenance Ledger (Chapter 5) with the specific action requested and its result. The connected agent's own broader capabilities — whatever it can do outside of what QueryBook explicitly requests — are not thereby QueryBook capabilities. A connector registration grants QueryBook the ability to ask for specific things, not the authority the platform on the other end happens to have generally.</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49.3.3.7 Why Not Native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to give QueryBook itself broad, OpenClaw-class authority — native login capability, browser automation, general device manipulation — was considered and declined during this Bible's development. Independent, current research specifically evaluating this class of tool's controllability found that safety-oriented guardrails layered on top produced only marginal reductions in unsafe-action rates, with multiple risk categories remaining high even with mitigation applied — a documented, present-day limitation of the technology's controllability, not a hypothetical concern. The Autonomous Agent Connector exists specifically because it captures the genuine interoperability value — QueryBook can direct real-world action through an agent ecosystem it doesn't need to reimplement — without importing the specific property that makes native adoption risky: unscoped, human-mimicking authority with no declared boundary on what it might do.</w:t>
            </w:r>
          </w:p>
          <w:p>
            <w:pPr>
              <w:pStyle w:val="Heading3"/>
              <w:spacing w:after="120" w:before="200" w:line="288" w:lineRule="auto"/>
            </w:pPr>
            <w:r>
              <w:rPr>
                <w:rFonts w:ascii="Calibri" w:cs="Calibri" w:eastAsia="Calibri" w:hAnsi="Calibri"/>
                <w:color w:val="000000"/>
                <w:sz w:val="28"/>
                <w:szCs w:val="28"/>
              </w:rPr>
              <w:t xml:space="preserve">49.3.3.8 Blockchain Ownership-Verification Connector: The One Genuine Gap Between Conventional Licensing and NFT-Based Resale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License and Entitlement Management already handles ownership verification for the overwhelming majority of ebook distribution, the same way conventional platforms do, with no blockchain dependency. What it does not do — and what a conventional license genuinely cannot do — is let a reader resell or transfer their copy the way they could a physical book. Where a publisher specifically wants to offer that capability, a Blockchain Ownership-Verification Connector follows §49.3.3.1's contract exactly: an external blockchain or NFT-verification service, registered with a scoped Capability Declaration, never a QueryBook-core dependency.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IS NOT A REVERSAL OF THE STANDING EXCLUSION</w:t>
                  </w:r>
                  <w:r>
                    <w:rPr>
                      <w:rFonts w:ascii="Calibri" w:cs="Calibri" w:eastAsia="Calibri" w:hAnsi="Calibri"/>
                      <w:b/>
                      <w:bCs/>
                      <w:i w:val="false"/>
                      <w:iCs w:val="false"/>
                      <w:strike w:val="false"/>
                      <w:color w:val="333333"/>
                      <w:sz w:val="24"/>
                      <w:szCs w:val="24"/>
                    </w:rPr>
                    <w:t xml:space="preserve">“Rights NFTs” as QueryBook's own internal rights-tracking mechanism was evaluated and declined in this Bible's earliest passes, and every subsequent proposal to make blockchain-anchored provenance QueryBook's own certification layer has been declined since, including the previous pass. This connector is a different thing: it does not make blockchain QueryBook's ownership model. Chapter 67 remains the primary, blockchain-free entitlement system for every book on the platform by default. This connector exists only for the specific, optional case of a publisher choosing resale-capable NFT distribution for a specific title — and even then, QueryBook is the requesting party asking an external service to verify or record a transfer, not the party operating blockchain infrastructure itself.</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connector's Capability Declaration is scoped to specific, named operations — verify current ownership, record a transfer, query resale history — never a general grant to “use blockchain,” the same discipline already applied to every other connector example in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verified ownership or transfer record returned through this connector becomes an ordinary Fact Unit (Appendix A), carrying its external provenance alongside the same ConfidenceScore and lineage fields as anything else — QueryBook's own Provenance Ledger (Chapter 5) does not adopt blockchain as its mechanism; it simply records that an external verification occurred, the same way it already records the result of any other connector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title distributed without this connector registered behaves exactly as every other title already does — Chapter 67 entitlement, no resale capability, no blockchain involved anywhere in the transaction. Registering this connector is a per-title publisher choice, never a platform-wide default.</w:t>
            </w:r>
          </w:p>
          <w:p>
            <w:pPr>
              <w:pStyle w:val="Heading2"/>
              <w:spacing w:after="120" w:before="240" w:line="288" w:lineRule="auto"/>
            </w:pPr>
            <w:r>
              <w:rPr>
                <w:rFonts w:ascii="Calibri" w:cs="Calibri" w:eastAsia="Calibri" w:hAnsi="Calibri"/>
                <w:color w:val="000000"/>
                <w:sz w:val="36"/>
                <w:szCs w:val="36"/>
              </w:rPr>
              <w:t xml:space="preserve">49.4 WATCH Programs — The NLPL Streaming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WATCH program is a QBPL program (§48.3.2) with a non-empty trigger clause instead of a one-shot invocation, compiled through the NLPL pipeline (§48.4.1), registered with the CQE (§49.5) rather than executed immediately, and re-evaluated each time its trigger condition is satisfied against the Live Fact Graph. WATCH programs are subject to the same VCG confirmation-gate requirement as any other ASSERT/RETRACT-containing QBPL program at registration, and to the Prime Directive's Automated and Scheduled Outputs scope (D0.2.5) on every subsequent trigger, not just at registration — a WATCH program compliant when registered is re-checked every time it fires.</w:t>
            </w:r>
          </w:p>
          <w:p>
            <w:pPr>
              <w:pStyle w:val="Heading2"/>
              <w:spacing w:after="120" w:before="240" w:line="288" w:lineRule="auto"/>
            </w:pPr>
            <w:r>
              <w:rPr>
                <w:rFonts w:ascii="Calibri" w:cs="Calibri" w:eastAsia="Calibri" w:hAnsi="Calibri"/>
                <w:color w:val="000000"/>
                <w:sz w:val="36"/>
                <w:szCs w:val="36"/>
              </w:rPr>
              <w:t xml:space="preserve">49.5 The Continuous Query Engine (CQE)</w:t>
            </w:r>
          </w:p>
          <w:p>
            <w:pPr>
              <w:pStyle w:val="Heading3"/>
              <w:spacing w:after="120" w:before="200" w:line="288" w:lineRule="auto"/>
            </w:pPr>
            <w:r>
              <w:rPr>
                <w:rFonts w:ascii="Calibri" w:cs="Calibri" w:eastAsia="Calibri" w:hAnsi="Calibri"/>
                <w:color w:val="000000"/>
                <w:sz w:val="28"/>
                <w:szCs w:val="28"/>
              </w:rPr>
              <w:t xml:space="preserve">49.5.1 CQE Components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WATCH Program Registry: </w:t>
            </w:r>
            <w:r>
              <w:rPr>
                <w:rFonts w:ascii="Calibri" w:cs="Calibri" w:eastAsia="Calibri" w:hAnsi="Calibri"/>
                <w:b w:val="false"/>
                <w:bCs w:val="false"/>
                <w:i w:val="false"/>
                <w:iCs w:val="false"/>
                <w:strike w:val="false"/>
                <w:color w:val="000000"/>
                <w:sz w:val="22"/>
                <w:szCs w:val="22"/>
              </w:rPr>
              <w:t xml:space="preserve">the durable store of registered WATCH programs and trigger conditions, itself a set of PROGRAM Fact Units, versioned and access-controlled like everything else.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Fact Delta Notifier: </w:t>
            </w:r>
            <w:r>
              <w:rPr>
                <w:rFonts w:ascii="Calibri" w:cs="Calibri" w:eastAsia="Calibri" w:hAnsi="Calibri"/>
                <w:b w:val="false"/>
                <w:bCs w:val="false"/>
                <w:i w:val="false"/>
                <w:iCs w:val="false"/>
                <w:strike w:val="false"/>
                <w:color w:val="000000"/>
                <w:sz w:val="22"/>
                <w:szCs w:val="22"/>
              </w:rPr>
              <w:t xml:space="preserve">subscribes to Live Fact Buffer writes and evaluates every registered trigger condition against each delta, using the same QBQL filter evaluation engine as a normal query.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Alert Dispatcher: </w:t>
            </w:r>
            <w:r>
              <w:rPr>
                <w:rFonts w:ascii="Calibri" w:cs="Calibri" w:eastAsia="Calibri" w:hAnsi="Calibri"/>
                <w:b w:val="false"/>
                <w:bCs w:val="false"/>
                <w:i w:val="false"/>
                <w:iCs w:val="false"/>
                <w:strike w:val="false"/>
                <w:color w:val="000000"/>
                <w:sz w:val="22"/>
                <w:szCs w:val="22"/>
              </w:rPr>
              <w:t xml:space="preserve">delivers CQE-emitted alerts (D0.2.5) through the channel declared in the WATCH program's output Fact Bundle shape — API webhook, the Q&amp;A interface (§19.8), or another WATCH program's trigger, chained.</w:t>
            </w:r>
          </w:p>
          <w:p>
            <w:pPr>
              <w:pStyle w:val="Heading3"/>
              <w:spacing w:after="120" w:before="200" w:line="288" w:lineRule="auto"/>
            </w:pPr>
            <w:r>
              <w:rPr>
                <w:rFonts w:ascii="Calibri" w:cs="Calibri" w:eastAsia="Calibri" w:hAnsi="Calibri"/>
                <w:color w:val="000000"/>
                <w:sz w:val="28"/>
                <w:szCs w:val="28"/>
              </w:rPr>
              <w:t xml:space="preserve">49.5.2 CQE Resource Governance and Failure Handling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WATCH program carries a resource budget (maximum trigger evaluation frequency, maximum Fact Delta volume per evaluation) enforced by the Fact Delta Notifier, preventing a single high-frequency STREAM source from starving evaluation for other programs. A failed trigger evaluation (Safety Substrate rejection, VCG re-check failure, runtime error) is logged to the Provenance Ledger and does not retry automatically.</w:t>
            </w:r>
          </w:p>
          <w:p>
            <w:pPr>
              <w:pStyle w:val="Heading2"/>
              <w:spacing w:after="120" w:before="240" w:line="288" w:lineRule="auto"/>
            </w:pPr>
            <w:r>
              <w:rPr>
                <w:rFonts w:ascii="Calibri" w:cs="Calibri" w:eastAsia="Calibri" w:hAnsi="Calibri"/>
                <w:color w:val="000000"/>
                <w:sz w:val="36"/>
                <w:szCs w:val="36"/>
              </w:rPr>
              <w:t xml:space="preserve">49.6 Unified Ingestion — How All Six Source Types Reach NLPL Programs</w:t>
            </w:r>
          </w:p>
          <w:p>
            <w:pPr>
              <w:spacing w:after="120" w:line="360" w:lineRule="auto"/>
            </w:pPr>
            <w:r>
              <w:rPr>
                <w:rFonts w:ascii="Calibri" w:cs="Calibri" w:eastAsia="Calibri" w:hAnsi="Calibri"/>
                <w:b w:val="false"/>
                <w:bCs w:val="false"/>
                <w:i w:val="false"/>
                <w:iCs w:val="false"/>
                <w:strike w:val="false"/>
                <w:color w:val="000000"/>
                <w:sz w:val="22"/>
                <w:szCs w:val="22"/>
              </w:rPr>
              <w:t xml:space="preserve">Because every source type converges on the same Ingestion Envelope at UIA Stage 1 and the same Live Fact Buffer at Stage 4, an NLPL-compiled WATCH program never needs to know which source type produced the Fact Delta that triggered it — this uniformity is what makes Chapter 48's three-language platform and this chapter's six source types one coherent system.</w:t>
            </w:r>
          </w:p>
          <w:p>
            <w:pPr>
              <w:pStyle w:val="Heading1"/>
              <w:spacing w:after="120" w:before="240" w:line="288" w:lineRule="auto"/>
            </w:pPr>
            <w:r>
              <w:rPr>
                <w:rFonts w:ascii="Calibri" w:cs="Calibri" w:eastAsia="Calibri" w:hAnsi="Calibri"/>
                <w:color w:val="000000"/>
                <w:sz w:val="48"/>
                <w:szCs w:val="48"/>
              </w:rPr>
              <w:t xml:space="preserve">Chapter 50: NLIL — The Natural Language Interaction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NAMING NOTE</w:t>
                  </w:r>
                  <w:r>
                    <w:rPr>
                      <w:rFonts w:ascii="Calibri" w:cs="Calibri" w:eastAsia="Calibri" w:hAnsi="Calibri"/>
                      <w:b/>
                      <w:bCs/>
                      <w:i w:val="false"/>
                      <w:iCs w:val="false"/>
                      <w:strike w:val="false"/>
                      <w:color w:val="333333"/>
                      <w:sz w:val="24"/>
                      <w:szCs w:val="24"/>
                    </w:rPr>
                    <w:t xml:space="preserve">The existing Bible refers to this chapter inconsistently as both “NLGE” (§52.1) and “NLIL” (§52.11 and elsewhere). This chapter resolves it: NLIL is the chapter-level name for the full natural-language front end and back end; NLGE names one component within it — consistent with how both terms are actually used elsewhere.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50.1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is the layer QueryBook's natural-language surface passes through in both directions: parsing an incoming query or command into structured form, and generating an outgoing response from a Generation Directive. The SPE handles the inbound direction, the NLGE handles the outbound direction, and the Operational Intent Classifier plus Language Command Router handle inputs that are neither a query nor expect a generated answer, but a standing instruction or a response-mode declaration.</w:t>
            </w:r>
          </w:p>
          <w:p>
            <w:pPr>
              <w:pStyle w:val="Heading2"/>
              <w:spacing w:after="120" w:before="240" w:line="288" w:lineRule="auto"/>
            </w:pPr>
            <w:r>
              <w:rPr>
                <w:rFonts w:ascii="Calibri" w:cs="Calibri" w:eastAsia="Calibri" w:hAnsi="Calibri"/>
                <w:color w:val="000000"/>
                <w:sz w:val="36"/>
                <w:szCs w:val="36"/>
              </w:rPr>
              <w:t xml:space="preserve">50.2 SPE — Semantic Parsing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SPE is the NLIL's inbound component. Given raw natural-language input, it produces a Query Struct — the entity and predicate bindings that feed the Fact Graph traversal engine (§52.2, pipeline Stage 3) — using the same entity resolution and predicate-library matching as ingestion's entity linking (§4.5), applied to the requester's utterance. An ambiguous SPE binding is passed downstream with an explicit ambiguity flag rather than silently resolved, mirroring NLPL's Stage 3 ambiguity-halting behavior (§48.4.1).</w:t>
            </w:r>
          </w:p>
          <w:p>
            <w:pPr>
              <w:pStyle w:val="Heading2"/>
              <w:spacing w:after="120" w:before="240" w:line="288" w:lineRule="auto"/>
            </w:pPr>
            <w:r>
              <w:rPr>
                <w:rFonts w:ascii="Calibri" w:cs="Calibri" w:eastAsia="Calibri" w:hAnsi="Calibri"/>
                <w:color w:val="000000"/>
                <w:sz w:val="36"/>
                <w:szCs w:val="36"/>
              </w:rPr>
              <w:t xml:space="preserve">50.3 Operational Intent Classifier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Query Struct construction, the Operational Intent Classifier distinguishes three input classes: a one-shot query (routed to Fact Graph traversal), a standing instruction (routed to NLPL compilation, typically producing a WATCH program), and a response-mode declaration (routed to the Language Command Router, §50.7) — “explain that more simply” is not a new query, it is an instruction about how future answers should be packaged.</w:t>
            </w:r>
          </w:p>
          <w:p>
            <w:pPr>
              <w:pStyle w:val="Heading3"/>
              <w:spacing w:after="120" w:before="200" w:line="288" w:lineRule="auto"/>
            </w:pPr>
            <w:r>
              <w:rPr>
                <w:rFonts w:ascii="Calibri" w:cs="Calibri" w:eastAsia="Calibri" w:hAnsi="Calibri"/>
                <w:color w:val="000000"/>
                <w:sz w:val="28"/>
                <w:szCs w:val="28"/>
              </w:rPr>
              <w:t xml:space="preserve">50.4 Ergonomic Preference Detection Function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As part of ongoing session analysis (Section 50.4.3, cited from §52.11), the Operational Intent Classifier monitors session-level communication signals — register formality, sentence length, structured-versus-prose preference — and passes detected signals to the ARE's Session Profile Override store in real time, where they become bounded Response Profile adjustments (Expertise Level nudge, Format Preference update, Pedagogical Mode suggestion) rather than a hard override. An explicit response-mode declaration (§50.9, cited from §52.9) always takes precedence over an inferred ergonomic signal.</w:t>
            </w:r>
          </w:p>
          <w:p>
            <w:pPr>
              <w:pStyle w:val="Heading2"/>
              <w:spacing w:after="120" w:before="240" w:line="288" w:lineRule="auto"/>
            </w:pPr>
            <w:r>
              <w:rPr>
                <w:rFonts w:ascii="Calibri" w:cs="Calibri" w:eastAsia="Calibri" w:hAnsi="Calibri"/>
                <w:color w:val="000000"/>
                <w:sz w:val="36"/>
                <w:szCs w:val="36"/>
              </w:rPr>
              <w:t xml:space="preserve">50.5 NLGE — Natural Language Generation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NLGE is the NLIL's outbound component — the layer named directly in §52.1 as what the MRE (Chapter 16) and ARE (Chapter 52) hand off to. It accepts a Generation Directive from the ARE (audience, expertise level, discipline, hedging, source and freshness advisories, §52.8–§52.10) and produces the response by invoking the MRE with those parameters bound. The NLGE does not make audience-calibration decisions itself; per §52.1, that decision belongs entirely to the ARE.</w:t>
            </w:r>
          </w:p>
          <w:p>
            <w:pPr>
              <w:pStyle w:val="Heading2"/>
              <w:spacing w:after="120" w:before="240" w:line="288" w:lineRule="auto"/>
            </w:pPr>
            <w:r>
              <w:rPr>
                <w:rFonts w:ascii="Calibri" w:cs="Calibri" w:eastAsia="Calibri" w:hAnsi="Calibri"/>
                <w:color w:val="000000"/>
                <w:sz w:val="36"/>
                <w:szCs w:val="36"/>
              </w:rPr>
              <w:t xml:space="preserve">50.6 Session Continuity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NLIL maintains session-scoped context (recent Query Structs, active response-mode declarations, ergonomic signal history) that is discarded at session end and never persisted as a Fact Unit — working state, not evidence about the world, kept out of the Fact Graph the same way §56.3 (RMD) already keeps raw sensory episodes out of it.</w:t>
            </w:r>
          </w:p>
          <w:p>
            <w:pPr>
              <w:pStyle w:val="Heading2"/>
              <w:spacing w:after="120" w:before="240" w:line="288" w:lineRule="auto"/>
            </w:pPr>
            <w:r>
              <w:rPr>
                <w:rFonts w:ascii="Calibri" w:cs="Calibri" w:eastAsia="Calibri" w:hAnsi="Calibri"/>
                <w:color w:val="000000"/>
                <w:sz w:val="36"/>
                <w:szCs w:val="36"/>
              </w:rPr>
              <w:t xml:space="preserve">50.7 Language Command Router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Language Command Router (LCR) is the NLIL's dispatch point for response-mode declarations identified by the Operational Intent Classifier (§50.3, §52.9). It maps supported natural-language declaration patterns (“explain that more simply,” “give me the technical version,” “be more concise from now on”) to the specific Response Profile parameter each maps to, and routes the change to the ARE's Session Profile Override store, which immediately supersedes the prior declaration for all subsequent responses in the session (§52.9).</w:t>
            </w:r>
          </w:p>
          <w:p>
            <w:pPr>
              <w:pStyle w:val="Heading1"/>
              <w:spacing w:after="120" w:before="240" w:line="288" w:lineRule="auto"/>
            </w:pPr>
            <w:r>
              <w:rPr>
                <w:rFonts w:ascii="Calibri" w:cs="Calibri" w:eastAsia="Calibri" w:hAnsi="Calibri"/>
                <w:color w:val="000000"/>
                <w:sz w:val="48"/>
                <w:szCs w:val="48"/>
              </w:rPr>
              <w:t xml:space="preserve">Chapter 51: The Fact Universe Architecture</w:t>
            </w:r>
          </w:p>
          <w:p>
            <w:pPr>
              <w:pStyle w:val="Heading2"/>
              <w:spacing w:after="120" w:before="240" w:line="288" w:lineRule="auto"/>
            </w:pPr>
            <w:r>
              <w:rPr>
                <w:rFonts w:ascii="Calibri" w:cs="Calibri" w:eastAsia="Calibri" w:hAnsi="Calibri"/>
                <w:color w:val="000000"/>
                <w:sz w:val="36"/>
                <w:szCs w:val="36"/>
              </w:rPr>
              <w:t xml:space="preserve">51.1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single query, session, or requester is ever entitled to see the entire Fact Graph at once — access control (Appendix A's AccessControlList field), multi-tenancy, and jurisdictional data residency all impose boundaries on what subset of the graph a given execution context may traverse. The Fact Universe architecture computes and enforces that boundary before a query reaches the Fact Graph traversal engine, rather than filtering results after the fact. (Note on terminology: “Fact Universe” itself is defined in the Chapter 2 glossary as the totality of QueryBook’s knowledge space — the FU-verse. This chapter defines the Slice, the mechanism for scoping bounded access to that totality; the two are complementary, not competing, definitions.)</w:t>
            </w:r>
          </w:p>
          <w:p>
            <w:pPr>
              <w:pStyle w:val="Heading2"/>
              <w:spacing w:after="120" w:before="240" w:line="288" w:lineRule="auto"/>
            </w:pPr>
            <w:r>
              <w:rPr>
                <w:rFonts w:ascii="Calibri" w:cs="Calibri" w:eastAsia="Calibri" w:hAnsi="Calibri"/>
                <w:color w:val="000000"/>
                <w:sz w:val="36"/>
                <w:szCs w:val="36"/>
              </w:rPr>
              <w:t xml:space="preserve">51.2 The Fact Universe Slice (FUS)</w:t>
            </w:r>
          </w:p>
          <w:p>
            <w:pPr>
              <w:spacing w:after="120" w:line="360" w:lineRule="auto"/>
            </w:pPr>
            <w:r>
              <w:rPr>
                <w:rFonts w:ascii="Calibri" w:cs="Calibri" w:eastAsia="Calibri" w:hAnsi="Calibri"/>
                <w:b w:val="false"/>
                <w:bCs w:val="false"/>
                <w:i w:val="false"/>
                <w:iCs w:val="false"/>
                <w:strike w:val="false"/>
                <w:color w:val="000000"/>
                <w:sz w:val="22"/>
                <w:szCs w:val="22"/>
              </w:rPr>
              <w:t xml:space="preserve">A Fact Universe Slice is a signed, scoped, time-bounded description of exactly which Fact Units, RelationSet edges, and Bundle memberships an execution context may traverse — expressed as AccessControlList-compatible predicates (tenant, role, jurisdiction, SafetyFlags ceiling) rather than an enumerated FUID list, so it stays valid as the graph grows. An FUS is signed (ECDSA P-384, matching §5.4.1's audit-export signing scheme) at construction, so its scope cannot be widened after issuance without producing a new, separately-audited FUS.</w:t>
            </w:r>
          </w:p>
          <w:p>
            <w:pPr>
              <w:pStyle w:val="Heading2"/>
              <w:spacing w:after="120" w:before="240" w:line="288" w:lineRule="auto"/>
            </w:pPr>
            <w:r>
              <w:rPr>
                <w:rFonts w:ascii="Calibri" w:cs="Calibri" w:eastAsia="Calibri" w:hAnsi="Calibri"/>
                <w:color w:val="000000"/>
                <w:sz w:val="36"/>
                <w:szCs w:val="36"/>
              </w:rPr>
              <w:t xml:space="preserve">51.3 The Slice Resolver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Slice Resolver runs at Stage 4 of the ARE's response pipeline (§52.2), immediately after the SPE produces a Query Struct (§50.2) and before Fact Graph traversal executes. It combines the requester's AccessControlList permissions, the Safety Substrate's SafetyFlags ceiling for the current role (§8.2), and any session-scoped narrowing already declared, into a single signed FUS — passed to the traversal engine in place of the raw Query Struct. The traversal engine treats the FUS as a hard boundary: an out-of-scope Fact Unit is invisible to the traversal, not merely filtered from the response afterward, so a result set cannot leak the existence of an out-of-scope Fact Unit through timing, ranking, or count side-channels.</w:t>
            </w:r>
          </w:p>
          <w:p>
            <w:pPr>
              <w:pStyle w:val="Heading2"/>
              <w:spacing w:after="120" w:before="240" w:line="288" w:lineRule="auto"/>
            </w:pPr>
            <w:r>
              <w:rPr>
                <w:rFonts w:ascii="Calibri" w:cs="Calibri" w:eastAsia="Calibri" w:hAnsi="Calibri"/>
                <w:color w:val="000000"/>
                <w:sz w:val="36"/>
                <w:szCs w:val="36"/>
              </w:rPr>
              <w:t xml:space="preserve">51.4 Integration With the Adaptive Response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§52.10, the ARE reads three properties of Fact Units already scoped by the FUS: confidence_trajectory (Confidence-Calibrated Hedging), ingestion_source_type (Source Type Transparency, tying to the six UIA source types in §49.3.2), and arrival_timestamp/TemporalValue (Temporal Freshness Advisory). These are read-only annotations the Fact Universe architecture already carries on every Fact Unit within a slice.</w:t>
            </w:r>
          </w:p>
          <w:p>
            <w:pPr>
              <w:pStyle w:val="Heading3"/>
              <w:spacing w:after="120" w:before="200" w:line="288" w:lineRule="auto"/>
            </w:pPr>
            <w:r>
              <w:rPr>
                <w:rFonts w:ascii="Calibri" w:cs="Calibri" w:eastAsia="Calibri" w:hAnsi="Calibri"/>
                <w:color w:val="000000"/>
                <w:sz w:val="28"/>
                <w:szCs w:val="28"/>
              </w:rPr>
              <w:t xml:space="preserve">51.4.1 AI-Origin Flag</w:t>
            </w:r>
          </w:p>
          <w:p>
            <w:pPr>
              <w:spacing w:after="120" w:line="360" w:lineRule="auto"/>
            </w:pPr>
            <w:r>
              <w:rPr>
                <w:rFonts w:ascii="Calibri" w:cs="Calibri" w:eastAsia="Calibri" w:hAnsi="Calibri"/>
                <w:b w:val="false"/>
                <w:bCs w:val="false"/>
                <w:i w:val="false"/>
                <w:iCs w:val="false"/>
                <w:strike w:val="false"/>
                <w:color w:val="000000"/>
                <w:sz w:val="22"/>
                <w:szCs w:val="22"/>
              </w:rPr>
              <w:t xml:space="preserve">A fourth Fact Unit property, orthogonal to the three §52.10 already reads (confidence_trajectory, ingestion_source_type, arrival_timestamp), records whether the content a Fact Unit was derived from was itself AI-generated at its point of origin — for example, a document ingested from an external source that was itself written by another AI system, as distinct from human-authored content ingested through the same UIA source type (§49.3.2). This is an authorship property, not a delivery-mechanism property: content arriving via any of the six UIA source types (BATCH, WATCH, STREAM, FEDERATED, SENSOR, SOCIAL) can independently be AI-Origin or human-authored, the same way SOCIAL content already receives its own Source Advisory (§52.10) independent of which UIA source type delivered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AI-Origin Flag is set at ingestion time (Multimodal Ingestion Pipeline, Chapter 4) when the source content carries a machine-readable indicator of AI generation, or when a registered Source Connector (§49.3.3) declares its content as AI-generated in its Capability Declaration.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ARE (§52.10) reads this flag the same read-only way it reads the other three properties, and may surface it as a Source Advisory to the reader where relevant — consistent with how Social Media content already carries a Source Advisory at generation time (§49.3.2.5).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Setting this flag does not itself change a Fact Unit's ConfidenceScore (Appendix A) — AI-generated source content is not presumptively less reliable than human-authored content, only distinctly labeled, the same evenhanded treatment already applied to every other Source Advisory category in this Bible.</w:t>
            </w:r>
          </w:p>
          <w:p>
            <w:pPr>
              <w:pStyle w:val="Heading2"/>
              <w:spacing w:after="120" w:before="240" w:line="288" w:lineRule="auto"/>
            </w:pPr>
            <w:r>
              <w:rPr>
                <w:rFonts w:ascii="Calibri" w:cs="Calibri" w:eastAsia="Calibri" w:hAnsi="Calibri"/>
                <w:color w:val="000000"/>
                <w:sz w:val="36"/>
                <w:szCs w:val="36"/>
              </w:rPr>
              <w:t xml:space="preserve">51.5 Relationship to the Safety Substrate and Prime Directive</w:t>
            </w:r>
          </w:p>
          <w:p>
            <w:pPr>
              <w:spacing w:after="120" w:line="360" w:lineRule="auto"/>
            </w:pPr>
            <w:r>
              <w:rPr>
                <w:rFonts w:ascii="Calibri" w:cs="Calibri" w:eastAsia="Calibri" w:hAnsi="Calibri"/>
                <w:b w:val="false"/>
                <w:bCs w:val="false"/>
                <w:i w:val="false"/>
                <w:iCs w:val="false"/>
                <w:strike w:val="false"/>
                <w:color w:val="000000"/>
                <w:sz w:val="22"/>
                <w:szCs w:val="22"/>
              </w:rPr>
              <w:t xml:space="preserve">FUS construction is itself a Safety Substrate enforcement point — the Slice Resolver cannot construct a slice exceeding the SafetyFlags ceiling already determined for the requester's role (§8.2), and Domain 0's Fact Graph Content scope (D0.2.4) applies to slice construction exactly as it applies to Graph Insertion.</w:t>
            </w: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Part X: Response Architecture</w:t>
            </w:r>
          </w:p>
          <w:p>
            <w:pPr>
              <w:pStyle w:val="Heading1"/>
              <w:spacing w:after="240" w:before="160" w:line="312" w:lineRule="auto"/>
            </w:pPr>
            <w:r>
              <w:rPr>
                <w:color w:val="0D2A5E"/>
              </w:rPr>
              <w:t xml:space="preserve">Chapter 52: The Adaptive Response Engine (ARE) — Audience Calibration, Expertise Levels, and Discipline-Specific Response Architecture</w:t>
            </w:r>
          </w:p>
          <w:p>
            <w:pPr>
              <w:pStyle w:val="Heading2"/>
              <w:spacing w:after="240" w:before="480" w:line="312" w:lineRule="auto"/>
            </w:pPr>
            <w:r>
              <w:rPr>
                <w:color w:val="0D2A5E"/>
              </w:rPr>
              <w:t xml:space="preserve">52.1 Introduction — The Missing Layer Between Retrieval and Generation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QueryBook system retrieves the right facts. The Multilingual Regeneration Engine (MRE) and the Natural Language Generation Engine (NLGE, Chapter 50) phrase those facts into natural language. But between the retrieved fact set and the generated sentence, a critical question has been left unanswered by all prior chapters: </w:t>
            </w:r>
            <w:r>
              <w:rPr>
                <w:rFonts w:ascii="Calibri" w:cs="Calibri" w:eastAsia="Calibri" w:hAnsi="Calibri"/>
                <w:b w:val="false"/>
                <w:bCs w:val="false"/>
                <w:i/>
                <w:iCs/>
                <w:strike w:val="false"/>
                <w:color w:val="333333"/>
                <w:sz w:val="22"/>
                <w:szCs w:val="22"/>
              </w:rPr>
              <w:t xml:space="preserve">generated for whom?</w:t>
            </w:r>
          </w:p>
          <w:p>
            <w:pPr>
              <w:spacing w:after="240" w:line="408" w:lineRule="auto"/>
            </w:pPr>
            <w:r>
              <w:rPr>
                <w:rFonts w:ascii="Calibri" w:cs="Calibri" w:eastAsia="Calibri" w:hAnsi="Calibri"/>
                <w:b w:val="false"/>
                <w:bCs w:val="false"/>
                <w:i w:val="false"/>
                <w:iCs w:val="false"/>
                <w:strike w:val="false"/>
                <w:color w:val="000000"/>
                <w:sz w:val="22"/>
                <w:szCs w:val="22"/>
              </w:rPr>
              <w:t xml:space="preserve">A verified fact about cardiac arrhythmia means different things to a cardiologist, a medical student, a patient, and a billing specialist. The Fact Unit is the same. The provenance chain is the same. The confidence score is the same. What changes is how that fact should be packaged into language — the vocabulary chosen, the depth of explanation provided, the structural format used, the disciplinary conventions followed, and the assumptions made about what the reader already knows.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the QueryBook subsystem that answers that question. It is a formal pipeline layer positioned between the Fact Graph traversal result set and the NLGE generation call. The ARE applies a Response Profile to every outbound response, transforming the same retrieved facts into outputs calibrated to the specific audience, expertise level, discipline, and declared intent of the current execution context. The ARE does not change the facts. It changes how facts are packaged. This distinction is absolute and is enforced at the architectural level.</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the abbreviation ARE is also used elsewhere in this Bible for the Associative Recall Engine (§7.2.3, an NCL retrieval component) and the App Recommendation Engine (§39.6). To avoid cross-chapter ambiguity in engineering tickets and patent claim drafting, this chapter's subsystem may be cited as RESP-ARE or Chapter-52 ARE where disambiguation from those other two is needed; the short form ARE is retained here unchanged per this chapter's original text.</w:t>
            </w:r>
          </w:p>
          <w:p>
            <w:pPr>
              <w:pStyle w:val="Heading2"/>
              <w:spacing w:after="240" w:before="480" w:line="312" w:lineRule="auto"/>
            </w:pPr>
            <w:r>
              <w:rPr>
                <w:color w:val="0D2A5E"/>
              </w:rPr>
              <w:t xml:space="preserve">52.2 Formal Definition and Position in the QB Stack</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(ARE) is a stateful, profile-driven transformation layer that accepts a fact retrieval result set from the Fact Graph traversal engine and a Response Profile from the Response Profile Registry, and produces a structured Generation Directive that the NLGE uses to govern all aspects of output generation for the current response.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position in the full QueryBook response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Stage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Subsystem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Function</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Input (NLIL, Chapter 50)</w:t>
                  </w:r>
                </w:p>
              </w:tc>
              <w:tc>
                <w:tcPr>
                  <w:tcW w:type="pct" w:w="33.333333333333336%"/>
                </w:tcPr>
                <w:p>
                  <w:r>
                    <w:rPr>
                      <w:rFonts w:ascii="Calibri" w:cs="Calibri" w:eastAsia="Calibri" w:hAnsi="Calibri"/>
                      <w:b w:val="false"/>
                      <w:bCs w:val="false"/>
                      <w:i w:val="false"/>
                      <w:iCs w:val="false"/>
                      <w:strike w:val="false"/>
                      <w:color w:val="000000"/>
                      <w:sz w:val="20"/>
                      <w:szCs w:val="20"/>
                    </w:rPr>
                    <w:t xml:space="preserve">Natural language received by NLIL</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Routing (LCR)</w:t>
                  </w:r>
                </w:p>
              </w:tc>
              <w:tc>
                <w:tcPr>
                  <w:tcW w:type="pct" w:w="33.333333333333336%"/>
                </w:tcPr>
                <w:p>
                  <w:r>
                    <w:rPr>
                      <w:rFonts w:ascii="Calibri" w:cs="Calibri" w:eastAsia="Calibri" w:hAnsi="Calibri"/>
                      <w:b w:val="false"/>
                      <w:bCs w:val="false"/>
                      <w:i w:val="false"/>
                      <w:iCs w:val="false"/>
                      <w:strike w:val="false"/>
                      <w:color w:val="000000"/>
                      <w:sz w:val="20"/>
                      <w:szCs w:val="20"/>
                    </w:rPr>
                    <w:t xml:space="preserve">Language Command Router classifies query intent vs. operational intent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Parsing (SPE)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produces Query Struct with entity and predicate bindings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Scope (Slice Resolver)</w:t>
                  </w:r>
                </w:p>
              </w:tc>
              <w:tc>
                <w:tcPr>
                  <w:tcW w:type="pct" w:w="33.333333333333336%"/>
                </w:tcPr>
                <w:p>
                  <w:r>
                    <w:rPr>
                      <w:rFonts w:ascii="Calibri" w:cs="Calibri" w:eastAsia="Calibri" w:hAnsi="Calibri"/>
                      <w:b w:val="false"/>
                      <w:bCs w:val="false"/>
                      <w:i w:val="false"/>
                      <w:iCs w:val="false"/>
                      <w:strike w:val="false"/>
                      <w:color w:val="000000"/>
                      <w:sz w:val="20"/>
                      <w:szCs w:val="20"/>
                    </w:rPr>
                    <w:t xml:space="preserve">Slice Resolver constructs signed FUS from the Fact Universe (Chapter 51)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Retrieval (Fact Graph Traversal Engine)</w:t>
                  </w:r>
                </w:p>
              </w:tc>
              <w:tc>
                <w:tcPr>
                  <w:tcW w:type="pct" w:w="33.333333333333336%"/>
                </w:tcPr>
                <w:p>
                  <w:r>
                    <w:rPr>
                      <w:rFonts w:ascii="Calibri" w:cs="Calibri" w:eastAsia="Calibri" w:hAnsi="Calibri"/>
                      <w:b w:val="false"/>
                      <w:bCs w:val="false"/>
                      <w:i w:val="false"/>
                      <w:iCs w:val="false"/>
                      <w:strike w:val="false"/>
                      <w:color w:val="000000"/>
                      <w:sz w:val="20"/>
                      <w:szCs w:val="20"/>
                    </w:rPr>
                    <w:t xml:space="preserve">Fact Graph traversal engine returns a typed, provenance-linked result set</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D2A5E"/>
                      <w:sz w:val="20"/>
                      <w:szCs w:val="20"/>
                    </w:rPr>
                    <w:t xml:space="preserve">ARE (This Chapter)</w:t>
                  </w:r>
                </w:p>
              </w:tc>
              <w:tc>
                <w:tcPr>
                  <w:tcW w:type="pct" w:w="33.333333333333336%"/>
                </w:tcPr>
                <w:p>
                  <w:r>
                    <w:rPr>
                      <w:rFonts w:ascii="Calibri" w:cs="Calibri" w:eastAsia="Calibri" w:hAnsi="Calibri"/>
                      <w:b/>
                      <w:bCs/>
                      <w:i w:val="false"/>
                      <w:iCs w:val="false"/>
                      <w:strike w:val="false"/>
                      <w:color w:val="0D2A5E"/>
                      <w:sz w:val="20"/>
                      <w:szCs w:val="20"/>
                    </w:rPr>
                    <w:t xml:space="preserve">Adaptive Response Engine applies the current Response Profile and produces a Generation Directive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Generation (NLGE)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NLGE executes against the Generation Directive and the result set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8</w:t>
                  </w:r>
                </w:p>
              </w:tc>
              <w:tc>
                <w:tcPr>
                  <w:tcW w:type="pct" w:w="33.333333333333336%"/>
                </w:tcPr>
                <w:p>
                  <w:r>
                    <w:rPr>
                      <w:rFonts w:ascii="Calibri" w:cs="Calibri" w:eastAsia="Calibri" w:hAnsi="Calibri"/>
                      <w:b w:val="false"/>
                      <w:bCs w:val="false"/>
                      <w:i w:val="false"/>
                      <w:iCs w:val="false"/>
                      <w:strike w:val="false"/>
                      <w:color w:val="000000"/>
                      <w:sz w:val="20"/>
                      <w:szCs w:val="20"/>
                    </w:rPr>
                    <w:t xml:space="preserve">Output</w:t>
                  </w:r>
                </w:p>
              </w:tc>
              <w:tc>
                <w:tcPr>
                  <w:tcW w:type="pct" w:w="33.333333333333336%"/>
                </w:tcPr>
                <w:p>
                  <w:r>
                    <w:rPr>
                      <w:rFonts w:ascii="Calibri" w:cs="Calibri" w:eastAsia="Calibri" w:hAnsi="Calibri"/>
                      <w:b w:val="false"/>
                      <w:bCs w:val="false"/>
                      <w:i w:val="false"/>
                      <w:iCs w:val="false"/>
                      <w:strike w:val="false"/>
                      <w:color w:val="000000"/>
                      <w:sz w:val="20"/>
                      <w:szCs w:val="20"/>
                    </w:rPr>
                    <w:t xml:space="preserve">Generated response delivered to the subscriber</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is new. Stages 1–5 and 7–8 were present before this chapter. Stage 6 has been implicit — the NLGE has applied default generation behavior without formal profile-driven governance. Chapter 52 formalizes Stage 6 as a mandatory, auditable pipeline stage.</w:t>
            </w:r>
          </w:p>
          <w:p>
            <w:pPr>
              <w:pStyle w:val="Heading2"/>
              <w:spacing w:after="240" w:before="480" w:line="312" w:lineRule="auto"/>
            </w:pPr>
            <w:r>
              <w:rPr>
                <w:color w:val="0D2A5E"/>
              </w:rPr>
              <w:t xml:space="preserve">52.3 The Response Profile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Response Profile is the core data structure of the ARE. It is a typed, runtime-resolvable specification of all parameters that govern how a response is generated. Every response produced by the QueryBook system is governed by exactly one Response Profile — resolved at query time from the three-tier governance cascade (Section 52.7) and any explicit overrides declared in the current session.</w:t>
            </w:r>
          </w:p>
          <w:p>
            <w:pPr>
              <w:pStyle w:val="Heading3"/>
              <w:spacing w:after="240" w:before="360" w:line="312" w:lineRule="auto"/>
            </w:pPr>
            <w:r>
              <w:rPr>
                <w:color w:val="1A3A6B"/>
              </w:rPr>
              <w:t xml:space="preserve">52.3.1 Response Profile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Field</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Type / Values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Integer 1–7</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vocabulary complexity, concept depth, jargon density, and analogy usage. Drawn from the Expertise Level Taxonomy (Section 52.4).</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response structure, citation format, terminology conventions, and structural template. Default: GENERAL.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Enum (Audience Profile taxonomy)</w:t>
                  </w:r>
                </w:p>
              </w:tc>
              <w:tc>
                <w:tcPr>
                  <w:tcW w:type="pct" w:w="33.333333333333336%"/>
                </w:tcPr>
                <w:p>
                  <w:r>
                    <w:rPr>
                      <w:rFonts w:ascii="Calibri" w:cs="Calibri" w:eastAsia="Calibri" w:hAnsi="Calibri"/>
                      <w:b w:val="false"/>
                      <w:bCs w:val="false"/>
                      <w:i w:val="false"/>
                      <w:iCs w:val="false"/>
                      <w:strike w:val="false"/>
                      <w:color w:val="000000"/>
                      <w:sz w:val="20"/>
                      <w:szCs w:val="20"/>
                    </w:rPr>
                    <w:t xml:space="preserve">Governs information prioritization — what comes first, how much context is provided, whether methodology is shown or suppressed.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Response Length Target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 STANDARD | DETAILED | COMPREHENSIVE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SHORT: 1–3 sentences. STANDARD: 1–3 paragraphs. DETAILED: full structured response with sections. COMPREHENSIVE: maximum depth with full methodology and citation chain. Default: STANDARD.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Format Preference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PROSE | STRUCTURED | TABULAR | MIXED | REFERENCE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PROSE. REFERENCE: dense, no prose scaffolding.</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Pedagogical Mode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 TEACH | BRIEF | DEBATE</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INFORM: state the fact. TEACH: explain and build from foundations. BRIEF: bottom-line-up-front. DEBATE: present multiple positions with evidence. Default: INFORM.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Provenance Display</w:t>
                  </w:r>
                </w:p>
              </w:tc>
              <w:tc>
                <w:tcPr>
                  <w:tcW w:type="pct" w:w="33.333333333333336%"/>
                </w:tcPr>
                <w:p>
                  <w:r>
                    <w:rPr>
                      <w:rFonts w:ascii="Calibri" w:cs="Calibri" w:eastAsia="Calibri" w:hAnsi="Calibri"/>
                      <w:b w:val="false"/>
                      <w:bCs w:val="false"/>
                      <w:i w:val="false"/>
                      <w:iCs w:val="false"/>
                      <w:strike w:val="false"/>
                      <w:color w:val="000000"/>
                      <w:sz w:val="20"/>
                      <w:szCs w:val="20"/>
                    </w:rPr>
                    <w:t xml:space="preserve">INLINE | FOOTNOTE | SUPPRESSED | EXPANDED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INLINE. SUPPRESSED requires explicit operator enablement. EXPANDED: full provenance chain for every claim.</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Safety Override Level</w:t>
                  </w:r>
                </w:p>
              </w:tc>
              <w:tc>
                <w:tcPr>
                  <w:tcW w:type="pct" w:w="33.333333333333336%"/>
                </w:tcPr>
                <w:p>
                  <w:r>
                    <w:rPr>
                      <w:rFonts w:ascii="Calibri" w:cs="Calibri" w:eastAsia="Calibri" w:hAnsi="Calibri"/>
                      <w:b w:val="false"/>
                      <w:bCs w:val="false"/>
                      <w:i w:val="false"/>
                      <w:iCs w:val="false"/>
                      <w:strike w:val="false"/>
                      <w:color w:val="000000"/>
                      <w:sz w:val="20"/>
                      <w:szCs w:val="20"/>
                    </w:rPr>
                    <w:t xml:space="preserve">STANDARD | HEIGHTENED | EDUCATIONAL_SAFE</w:t>
                  </w:r>
                </w:p>
              </w:tc>
              <w:tc>
                <w:tcPr>
                  <w:tcW w:type="pct" w:w="33.333333333333336%"/>
                </w:tcPr>
                <w:p>
                  <w:r>
                    <w:rPr>
                      <w:rFonts w:ascii="Calibri" w:cs="Calibri" w:eastAsia="Calibri" w:hAnsi="Calibri"/>
                      <w:b w:val="false"/>
                      <w:bCs w:val="false"/>
                      <w:i w:val="false"/>
                      <w:iCs w:val="false"/>
                      <w:strike w:val="false"/>
                      <w:color w:val="000000"/>
                      <w:sz w:val="20"/>
                      <w:szCs w:val="20"/>
                    </w:rPr>
                    <w:t xml:space="preserve">Cannot be set below STANDARD by any operator, author, or subscriber.</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Jargon Policy</w:t>
                  </w:r>
                </w:p>
              </w:tc>
              <w:tc>
                <w:tcPr>
                  <w:tcW w:type="pct" w:w="33.333333333333336%"/>
                </w:tcPr>
                <w:p>
                  <w:r>
                    <w:rPr>
                      <w:rFonts w:ascii="Calibri" w:cs="Calibri" w:eastAsia="Calibri" w:hAnsi="Calibri"/>
                      <w:b w:val="false"/>
                      <w:bCs w:val="false"/>
                      <w:i w:val="false"/>
                      <w:iCs w:val="false"/>
                      <w:strike w:val="false"/>
                      <w:color w:val="000000"/>
                      <w:sz w:val="20"/>
                      <w:szCs w:val="20"/>
                    </w:rPr>
                    <w:t xml:space="preserve">DOMAIN_STANDARD | DEFINED_FIRST | AVOIDED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Default is derived from Expertise Level.</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Analogy Usage</w:t>
                  </w:r>
                </w:p>
              </w:tc>
              <w:tc>
                <w:tcPr>
                  <w:tcW w:type="pct" w:w="33.333333333333336%"/>
                </w:tcPr>
                <w:p>
                  <w:r>
                    <w:rPr>
                      <w:rFonts w:ascii="Calibri" w:cs="Calibri" w:eastAsia="Calibri" w:hAnsi="Calibri"/>
                      <w:b w:val="false"/>
                      <w:bCs w:val="false"/>
                      <w:i w:val="false"/>
                      <w:iCs w:val="false"/>
                      <w:strike w:val="false"/>
                      <w:color w:val="000000"/>
                      <w:sz w:val="20"/>
                      <w:szCs w:val="20"/>
                    </w:rPr>
                    <w:t xml:space="preserve">ENABLED | DISCIPLINED | DISABLED</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DISCIPLINED: analogies only when technically accurate. Default: ENABLED.</w:t>
                  </w:r>
                </w:p>
              </w:tc>
            </w:tr>
            <w:tr>
              <w:trPr>
                <w:tblHeader w:val="false"/>
              </w:trPr>
              <w:tc>
                <w:tcPr>
                  <w:tcW w:type="pct" w:w="33.333333333333336%"/>
                </w:tcPr>
                <w:p>
                  <w:r>
                    <w:rPr>
                      <w:rFonts w:ascii="Calibri" w:cs="Calibri" w:eastAsia="Calibri" w:hAnsi="Calibri"/>
                      <w:b/>
                      <w:bCs/>
                      <w:i w:val="false"/>
                      <w:iCs w:val="false"/>
                      <w:strike w:val="false"/>
                      <w:color w:val="000000"/>
                      <w:sz w:val="20"/>
                      <w:szCs w:val="20"/>
                    </w:rPr>
                    <w:t xml:space="preserve">Definition Depth</w:t>
                  </w:r>
                </w:p>
              </w:tc>
              <w:tc>
                <w:tcPr>
                  <w:tcW w:type="pct" w:w="33.333333333333336%"/>
                </w:tcPr>
                <w:p>
                  <w:r>
                    <w:rPr>
                      <w:rFonts w:ascii="Calibri" w:cs="Calibri" w:eastAsia="Calibri" w:hAnsi="Calibri"/>
                      <w:b w:val="false"/>
                      <w:bCs w:val="false"/>
                      <w:i w:val="false"/>
                      <w:iCs w:val="false"/>
                      <w:strike w:val="false"/>
                      <w:color w:val="000000"/>
                      <w:sz w:val="20"/>
                      <w:szCs w:val="20"/>
                    </w:rPr>
                    <w:t xml:space="preserve">NONE | MINIMAL | STANDARD | FULL</w:t>
                  </w:r>
                </w:p>
              </w:tc>
              <w:tc>
                <w:tcPr>
                  <w:tcW w:type="pct" w:w="33.333333333333336%"/>
                </w:tcPr>
                <w:p>
                  <w:r>
                    <w:rPr>
                      <w:rFonts w:ascii="Calibri" w:cs="Calibri" w:eastAsia="Calibri" w:hAnsi="Calibri"/>
                      <w:b w:val="false"/>
                      <w:bCs w:val="false"/>
                      <w:i w:val="false"/>
                      <w:iCs w:val="false"/>
                      <w:strike w:val="false"/>
                      <w:color w:val="000000"/>
                      <w:sz w:val="20"/>
                      <w:szCs w:val="20"/>
                    </w:rPr>
                    <w:t xml:space="preserve">Level of background context provided for each claim. Default derived from Expertise Level.</w:t>
                  </w:r>
                </w:p>
              </w:tc>
            </w:tr>
          </w:tbl>
          <w:p>
            <w:pPr>
              <w:spacing w:after="200" w:before="0"/>
            </w:pPr>
          </w:p>
          <w:p>
            <w:pPr>
              <w:pStyle w:val="Heading2"/>
              <w:spacing w:after="240" w:before="480" w:line="312" w:lineRule="auto"/>
            </w:pPr>
            <w:r>
              <w:rPr>
                <w:color w:val="0D2A5E"/>
              </w:rPr>
              <w:t xml:space="preserve">52.4 The Expertise Level Taxonomy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defines seven formal expertise levels. Each level specifies a vocabulary tier, a concept depth expectation, a jargon policy, an analogy policy, and a definition depth that the NLGE applies when generating output at that level. The seven levels form a monotonic scale from maximum accessibility to maximum technical precision.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Level</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Name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Jargon Policy</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Analogy Usage</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Definition Depth</w:t>
                  </w:r>
                </w:p>
              </w:tc>
              <w:tc>
                <w:tcPr>
                  <w:tcW w:type="pct" w:w="16.666666666666668%"/>
                  <w:shd w:fill="DCE6F0" w:color="auto" w:val="clear"/>
                </w:tcPr>
                <w:p>
                  <w:r>
                    <w:rPr>
                      <w:rFonts w:ascii="Calibri" w:cs="Calibri" w:eastAsia="Calibri" w:hAnsi="Calibri"/>
                      <w:b/>
                      <w:bCs/>
                      <w:i w:val="false"/>
                      <w:iCs w:val="false"/>
                      <w:strike w:val="false"/>
                      <w:color w:val="0D2A5E"/>
                      <w:sz w:val="20"/>
                      <w:szCs w:val="20"/>
                    </w:rPr>
                    <w:t xml:space="preserve">Key Characteristics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1</w:t>
                  </w:r>
                </w:p>
              </w:tc>
              <w:tc>
                <w:tcPr>
                  <w:tcW w:type="pct" w:w="16.666666666666668%"/>
                </w:tcPr>
                <w:p>
                  <w:r>
                    <w:rPr>
                      <w:rFonts w:ascii="Calibri" w:cs="Calibri" w:eastAsia="Calibri" w:hAnsi="Calibri"/>
                      <w:b w:val="false"/>
                      <w:bCs w:val="false"/>
                      <w:i w:val="false"/>
                      <w:iCs w:val="false"/>
                      <w:strike w:val="false"/>
                      <w:color w:val="000000"/>
                      <w:sz w:val="20"/>
                      <w:szCs w:val="20"/>
                    </w:rPr>
                    <w:t xml:space="preserve">Elementary (K–12, Ages 8–14)</w:t>
                  </w:r>
                </w:p>
              </w:tc>
              <w:tc>
                <w:tcPr>
                  <w:tcW w:type="pct" w:w="16.666666666666668%"/>
                </w:tcPr>
                <w:p>
                  <w:r>
                    <w:rPr>
                      <w:rFonts w:ascii="Calibri" w:cs="Calibri" w:eastAsia="Calibri" w:hAnsi="Calibri"/>
                      <w:b w:val="false"/>
                      <w:bCs w:val="false"/>
                      <w:i w:val="false"/>
                      <w:iCs w:val="false"/>
                      <w:strike w:val="false"/>
                      <w:color w:val="000000"/>
                      <w:sz w:val="20"/>
                      <w:szCs w:val="20"/>
                    </w:rPr>
                    <w:t xml:space="preserve">AVOIDED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FULL</w:t>
                  </w:r>
                </w:p>
              </w:tc>
              <w:tc>
                <w:tcPr>
                  <w:tcW w:type="pct" w:w="16.666666666666668%"/>
                </w:tcPr>
                <w:p>
                  <w:r>
                    <w:rPr>
                      <w:rFonts w:ascii="Calibri" w:cs="Calibri" w:eastAsia="Calibri" w:hAnsi="Calibri"/>
                      <w:b w:val="false"/>
                      <w:bCs w:val="false"/>
                      <w:i w:val="false"/>
                      <w:iCs w:val="false"/>
                      <w:strike w:val="false"/>
                      <w:color w:val="000000"/>
                      <w:sz w:val="20"/>
                      <w:szCs w:val="20"/>
                    </w:rPr>
                    <w:t xml:space="preserve">Everyday vocabulary only; concrete examples before abstract statements; short sentences; active voice only; EDUCATIONAL_SAFE active by default; length SHORT to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2</w:t>
                  </w:r>
                </w:p>
              </w:tc>
              <w:tc>
                <w:tcPr>
                  <w:tcW w:type="pct" w:w="16.666666666666668%"/>
                </w:tcPr>
                <w:p>
                  <w:r>
                    <w:rPr>
                      <w:rFonts w:ascii="Calibri" w:cs="Calibri" w:eastAsia="Calibri" w:hAnsi="Calibri"/>
                      <w:b w:val="false"/>
                      <w:bCs w:val="false"/>
                      <w:i w:val="false"/>
                      <w:iCs w:val="false"/>
                      <w:strike w:val="false"/>
                      <w:color w:val="000000"/>
                      <w:sz w:val="20"/>
                      <w:szCs w:val="20"/>
                    </w:rPr>
                    <w:t xml:space="preserve">Secondary (High School / Ages 14–18)</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Common academic terms; field-specific terms defined on first use; abstractions grounded in examples; moderate sentence complexity; length STANDARD.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3</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Adult (Non-Specialist) </w:t>
                  </w:r>
                  <w:r>
                    <w:rPr>
                      <w:rFonts w:ascii="Calibri" w:cs="Calibri" w:eastAsia="Calibri" w:hAnsi="Calibri"/>
                      <w:b w:val="false"/>
                      <w:bCs w:val="false"/>
                      <w:i/>
                      <w:iCs/>
                      <w:strike w:val="false"/>
                      <w:color w:val="333333"/>
                      <w:sz w:val="22"/>
                      <w:szCs w:val="22"/>
                    </w:rPr>
                    <w:t xml:space="preserve">[System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DEFINED_FIRST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ENABLED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General educational level; field terms briefly defined; familiar contexts used; no assumed technical background; length STANDARD. Default for undeclared subscribers.</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4</w:t>
                  </w:r>
                </w:p>
              </w:tc>
              <w:tc>
                <w:tcPr>
                  <w:tcW w:type="pct" w:w="16.666666666666668%"/>
                </w:tcPr>
                <w:p>
                  <w:r>
                    <w:rPr>
                      <w:rFonts w:ascii="Calibri" w:cs="Calibri" w:eastAsia="Calibri" w:hAnsi="Calibri"/>
                      <w:b w:val="false"/>
                      <w:bCs w:val="false"/>
                      <w:i w:val="false"/>
                      <w:iCs w:val="false"/>
                      <w:strike w:val="false"/>
                      <w:color w:val="000000"/>
                      <w:sz w:val="20"/>
                      <w:szCs w:val="20"/>
                    </w:rPr>
                    <w:t xml:space="preserve">Informed Non-Expert (Educated Generalist)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 (common) / DEFINED_FIRST (specialised)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MINIMAL</w:t>
                  </w:r>
                </w:p>
              </w:tc>
              <w:tc>
                <w:tcPr>
                  <w:tcW w:type="pct" w:w="16.666666666666668%"/>
                </w:tcPr>
                <w:p>
                  <w:r>
                    <w:rPr>
                      <w:rFonts w:ascii="Calibri" w:cs="Calibri" w:eastAsia="Calibri" w:hAnsi="Calibri"/>
                      <w:b w:val="false"/>
                      <w:bCs w:val="false"/>
                      <w:i w:val="false"/>
                      <w:iCs w:val="false"/>
                      <w:strike w:val="false"/>
                      <w:color w:val="000000"/>
                      <w:sz w:val="20"/>
                      <w:szCs w:val="20"/>
                    </w:rPr>
                    <w:t xml:space="preserve">Broad academic and professional vocabulary; minimal definition for common field terms; related disciplines referenced without full explanation; medium abstraction permitted.</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5</w:t>
                  </w:r>
                </w:p>
              </w:tc>
              <w:tc>
                <w:tcPr>
                  <w:tcW w:type="pct" w:w="16.666666666666668%"/>
                </w:tcPr>
                <w:p>
                  <w:r>
                    <w:rPr>
                      <w:rFonts w:ascii="Calibri" w:cs="Calibri" w:eastAsia="Calibri" w:hAnsi="Calibri"/>
                      <w:b w:val="false"/>
                      <w:bCs w:val="false"/>
                      <w:i w:val="false"/>
                      <w:iCs w:val="false"/>
                      <w:strike w:val="false"/>
                      <w:color w:val="000000"/>
                      <w:sz w:val="20"/>
                      <w:szCs w:val="20"/>
                    </w:rPr>
                    <w:t xml:space="preserve">Professional (Domain Practitioner) </w:t>
                  </w:r>
                  <w:r>
                    <w:rPr>
                      <w:rFonts w:ascii="Calibri" w:cs="Calibri" w:eastAsia="Calibri" w:hAnsi="Calibri"/>
                      <w:b w:val="false"/>
                      <w:bCs w:val="false"/>
                      <w:i/>
                      <w:iCs/>
                      <w:strike w:val="false"/>
                      <w:color w:val="333333"/>
                      <w:sz w:val="22"/>
                      <w:szCs w:val="22"/>
                    </w:rPr>
                    <w:t xml:space="preserve">[Operator Platform Default]</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DISCIPLINED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Domain-standard terminology used without definition; methodology referenced as known; disciplinary conventions applied; field-standard citation format.</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6</w:t>
                  </w:r>
                </w:p>
              </w:tc>
              <w:tc>
                <w:tcPr>
                  <w:tcW w:type="pct" w:w="16.666666666666668%"/>
                </w:tcPr>
                <w:p>
                  <w:r>
                    <w:rPr>
                      <w:rFonts w:ascii="Calibri" w:cs="Calibri" w:eastAsia="Calibri" w:hAnsi="Calibri"/>
                      <w:b w:val="false"/>
                      <w:bCs w:val="false"/>
                      <w:i w:val="false"/>
                      <w:iCs w:val="false"/>
                      <w:strike w:val="false"/>
                      <w:color w:val="000000"/>
                      <w:sz w:val="20"/>
                      <w:szCs w:val="20"/>
                    </w:rPr>
                    <w:t xml:space="preserve">Expert (Graduate / Advanced Practitioner)</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Advanced field-specific and cross-disciplinary terms; full disciplinary precision; deep domain knowledge assumed; statistical and methodological detail without scaffolding; discipline-standard citation format (APA, Bluebook, Vancouver, IEEE).</w:t>
                  </w:r>
                </w:p>
              </w:tc>
            </w:tr>
            <w:tr>
              <w:trPr>
                <w:tblHeader w:val="false"/>
              </w:trPr>
              <w:tc>
                <w:tcPr>
                  <w:tcW w:type="pct" w:w="16.666666666666668%"/>
                </w:tcPr>
                <w:p>
                  <w:r>
                    <w:rPr>
                      <w:rFonts w:ascii="Calibri" w:cs="Calibri" w:eastAsia="Calibri" w:hAnsi="Calibri"/>
                      <w:b/>
                      <w:bCs/>
                      <w:i w:val="false"/>
                      <w:iCs w:val="false"/>
                      <w:strike w:val="false"/>
                      <w:color w:val="0D2A5E"/>
                      <w:sz w:val="20"/>
                      <w:szCs w:val="20"/>
                    </w:rPr>
                    <w:t xml:space="preserve">7</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 Expert (Research / Publication Level)</w:t>
                  </w:r>
                </w:p>
              </w:tc>
              <w:tc>
                <w:tcPr>
                  <w:tcW w:type="pct" w:w="16.666666666666668%"/>
                </w:tcPr>
                <w:p>
                  <w:r>
                    <w:rPr>
                      <w:rFonts w:ascii="Calibri" w:cs="Calibri" w:eastAsia="Calibri" w:hAnsi="Calibri"/>
                      <w:b w:val="false"/>
                      <w:bCs w:val="false"/>
                      <w:i w:val="false"/>
                      <w:iCs w:val="false"/>
                      <w:strike w:val="false"/>
                      <w:color w:val="000000"/>
                      <w:sz w:val="20"/>
                      <w:szCs w:val="20"/>
                    </w:rPr>
                    <w:t xml:space="preserve">DOMAIN_STANDARD</w:t>
                  </w:r>
                </w:p>
              </w:tc>
              <w:tc>
                <w:tcPr>
                  <w:tcW w:type="pct" w:w="16.666666666666668%"/>
                </w:tcPr>
                <w:p>
                  <w:r>
                    <w:rPr>
                      <w:rFonts w:ascii="Calibri" w:cs="Calibri" w:eastAsia="Calibri" w:hAnsi="Calibri"/>
                      <w:b w:val="false"/>
                      <w:bCs w:val="false"/>
                      <w:i w:val="false"/>
                      <w:iCs w:val="false"/>
                      <w:strike w:val="false"/>
                      <w:color w:val="000000"/>
                      <w:sz w:val="20"/>
                      <w:szCs w:val="20"/>
                    </w:rPr>
                    <w:t xml:space="preserve">DISABLED</w:t>
                  </w:r>
                </w:p>
              </w:tc>
              <w:tc>
                <w:tcPr>
                  <w:tcW w:type="pct" w:w="16.666666666666668%"/>
                </w:tcPr>
                <w:p>
                  <w:r>
                    <w:rPr>
                      <w:rFonts w:ascii="Calibri" w:cs="Calibri" w:eastAsia="Calibri" w:hAnsi="Calibri"/>
                      <w:b w:val="false"/>
                      <w:bCs w:val="false"/>
                      <w:i w:val="false"/>
                      <w:iCs w:val="false"/>
                      <w:strike w:val="false"/>
                      <w:color w:val="000000"/>
                      <w:sz w:val="20"/>
                      <w:szCs w:val="20"/>
                    </w:rPr>
                    <w:t xml:space="preserve">NONE</w:t>
                  </w:r>
                </w:p>
              </w:tc>
              <w:tc>
                <w:tcPr>
                  <w:tcW w:type="pct" w:w="16.666666666666668%"/>
                </w:tcPr>
                <w:p>
                  <w:r>
                    <w:rPr>
                      <w:rFonts w:ascii="Calibri" w:cs="Calibri" w:eastAsia="Calibri" w:hAnsi="Calibri"/>
                      <w:b w:val="false"/>
                      <w:bCs w:val="false"/>
                      <w:i w:val="false"/>
                      <w:iCs w:val="false"/>
                      <w:strike w:val="false"/>
                      <w:color w:val="000000"/>
                      <w:sz w:val="20"/>
                      <w:szCs w:val="20"/>
                    </w:rPr>
                    <w:t xml:space="preserve">Peer-level sub-domain knowledge assumed; responses structured as technical communications; full methodology, significance levels, confidence intervals, and edge case qualifications; no simplification; primary literature citation format; length DETAILED to COMPREHENSIVE; carries Peer-Level Advisory in provenance metadata.</w:t>
                  </w:r>
                </w:p>
              </w:tc>
            </w:tr>
          </w:tbl>
          <w:p>
            <w:pPr>
              <w:spacing w:after="200" w:before="0"/>
            </w:pPr>
          </w:p>
          <w:p>
            <w:pPr>
              <w:pStyle w:val="Heading2"/>
              <w:spacing w:after="240" w:before="480" w:line="312" w:lineRule="auto"/>
            </w:pPr>
            <w:r>
              <w:rPr>
                <w:color w:val="0D2A5E"/>
              </w:rPr>
              <w:t xml:space="preserve">52.5 The Discipline Mode Registry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Discipline Mode Registry is a runtime-configurable database of discipline-specific response templates maintained in the QBCL-CMS (Chapter 47). Each Discipline Mode defines a structural template, a citation format, a terminology convention set, a set of mandatory structural elements, and a set of prohibited structural elements. New Discipline Modes can be registered by operators at runtime without code deployment.</w:t>
            </w:r>
          </w:p>
          <w:p>
            <w:pPr>
              <w:pStyle w:val="Heading3"/>
              <w:spacing w:after="240" w:before="360" w:line="312" w:lineRule="auto"/>
            </w:pPr>
            <w:r>
              <w:rPr>
                <w:color w:val="1A3A6B"/>
              </w:rPr>
              <w:t xml:space="preserve">52.5.1 GENERAL (Default)</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claim → supporting evidence → source citation. No mandatory structural elements beyond claim-evidence-citation. No prohibited elements. Citation format: plain inline reference. Used for all responses where no domain-specific mode is active and no operator or subscriber declaration overrides the default.</w:t>
            </w:r>
          </w:p>
          <w:p>
            <w:pPr>
              <w:pStyle w:val="Heading3"/>
              <w:spacing w:after="240" w:before="360" w:line="312" w:lineRule="auto"/>
            </w:pPr>
            <w:r>
              <w:rPr>
                <w:color w:val="1A3A6B"/>
              </w:rPr>
              <w:t xml:space="preserve">52.5.2 MEDICAL_CLINICAL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clinical question → clinical answer → supporting evidence → clinical context → contraindication flags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response involving a medication, treatment, procedure, or diagnostic criterion must include a Contraindication Flag section if any contraindications are present in the Fact Graph; every response must include a Clinical Evidence Level indicator (Level I — randomised controlled trial through Level V — expert opinion) based on the highest-confidence evidence type in the retrieved Fact Unit set.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ICD-11 diagnostic codes where applicable; generic drug names primary with trade names in parentheses; dosage in metric units only.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Vancouver superscript with numbered reference list.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definitive diagnostic conclusions presented as certainties rather than clinical impressions supported by evidence.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 No response may recommend a specific treatment or medication for a specific individual patient. General clinical information may be presented; individualised clinical advice is blocked at the ARE level.</w:t>
            </w:r>
          </w:p>
          <w:p>
            <w:pPr>
              <w:pStyle w:val="Heading3"/>
              <w:spacing w:after="240" w:before="360" w:line="312" w:lineRule="auto"/>
            </w:pPr>
            <w:r>
              <w:rPr>
                <w:color w:val="1A3A6B"/>
              </w:rPr>
              <w:t xml:space="preserve">52.5.3 LEGAL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legal question → applicable rule or statute → application to the facts → jurisdictional scope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legal response must state the jurisdiction(s) to which the cited law applies; every statutory citation must include the effective date of the statute version cited; where the cited law has been modified by subsequent cases or legislation, the modification must be noted.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Bluebook citation format (US), OSCOLA (UK), or jurisdiction-appropriate format as configured by the operator; all statutory citations include chapter, section, and subsection; case citations include reporter volume, reporter name, and year.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specific legal advice directed at the subscriber’s individual situation presented as a legal opinion. The ARE enforces a Legal Information vs. Legal Advice distinction at the generation level and appends a Legal Information Notice to all legal responses above a configurable complexity threshold.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automatically active.</w:t>
            </w:r>
          </w:p>
          <w:p>
            <w:pPr>
              <w:pStyle w:val="Heading3"/>
              <w:spacing w:after="240" w:before="360" w:line="312" w:lineRule="auto"/>
            </w:pPr>
            <w:r>
              <w:rPr>
                <w:color w:val="1A3A6B"/>
              </w:rPr>
              <w:t xml:space="preserve">52.5.4 SCIENTIFIC</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research question → hypothesis or claim → methodology summary → evidence base → statistical summary → limitations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claim must include the original reported significance level (p-value, confidence interval, or equivalent) where present in the source Fact Units; every claim derived from a single study must carry a Single-Source Advisory; where multiple studies are cited, the direction of consensus and the presence of conflicting findings must both be reported.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throughout; standard statistical notation (p, r, n, β, OR, RR, etc.); hypothesis stated before evidence; null hypothesis referenced where relevant.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APA 7th edition, or field-standard (Nature style, Vancouver, IEEE) as configured by operator.</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presentation of preliminary or preprint findings without a Preliminary Findings Advisory. The ARE checks the verification_status and source_type of all Fact Units in the result set and flags preprint-sourced facts automatically.</w:t>
            </w:r>
          </w:p>
          <w:p>
            <w:pPr>
              <w:pStyle w:val="Heading3"/>
              <w:spacing w:after="240" w:before="360" w:line="312" w:lineRule="auto"/>
            </w:pPr>
            <w:r>
              <w:rPr>
                <w:color w:val="1A3A6B"/>
              </w:rPr>
              <w:t xml:space="preserve">52.5.5 ENGINEERING</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specification or requirement → technical answer → methodology or calculation → standards reference → tolerance and failure mode notes → citation chain.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specification must include units and precision; every design recommendation must reference the applicable standard (ISO, ANSI, IEC, ASTM, BSI, or domain-specific equivalent) where one exists in the Fact Graph; every component recommendation must include applicable failure modes where present in the Fact Graph.</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SI units primary (Imperial where operator-configured); specification-first ordering (state what it must be before explaining why).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IEEE for electrical/electronics; ASME for mechanical; ISO reference format for standards; plain technical reference for other domains.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design recommendations without tolerance ranges where tolerances exist in the Fact Graph. The ARE enforces this by checking the Fact Unit set for TOLERANCE_RANGE predicates.</w:t>
            </w:r>
          </w:p>
          <w:p>
            <w:pPr>
              <w:pStyle w:val="Heading3"/>
              <w:spacing w:after="240" w:before="360" w:line="312" w:lineRule="auto"/>
            </w:pPr>
            <w:r>
              <w:rPr>
                <w:color w:val="1A3A6B"/>
              </w:rPr>
              <w:t xml:space="preserve">52.5.6 FINANCIAL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financial question → quantitative answer → supporting data → period context → risk flags → regulatory context → source citation.</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quantitative financial claim must specify the reporting period; every performance figure must include the comparison benchmark where one exists in the Fact Graph; every investment-relevant claim must carry a Risk Disclosure Notice (operator-configurable 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currency and unit specified on every figure; GAAP or IFRS basis stated where applicable; acronyms expanded on first use (EBITDA, P/E, ROE, etc.); figures expressed in millions or billions as appropriate to scale.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Citation format:</w:t>
            </w:r>
            <w:r>
              <w:rPr>
                <w:rFonts w:ascii="Calibri" w:cs="Calibri" w:eastAsia="Calibri" w:hAnsi="Calibri"/>
                <w:b w:val="false"/>
                <w:bCs w:val="false"/>
                <w:i w:val="false"/>
                <w:iCs w:val="false"/>
                <w:strike w:val="false"/>
                <w:color w:val="000000"/>
                <w:sz w:val="22"/>
                <w:szCs w:val="22"/>
              </w:rPr>
              <w:t xml:space="preserve"> source document name, filing date, and section reference for regulatory filings; Bloomberg or equivalent ticker for market data.</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forward-looking statements presented as factual predictions. The ARE detects PROJECTED, ESTIMATED, and FORECAST predicates in result set Fact Units and applies Forward-Looking Statement framing automatically.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HEIGHTENED active for responses involving investment recommendations.</w:t>
            </w:r>
          </w:p>
          <w:p>
            <w:pPr>
              <w:pStyle w:val="Heading3"/>
              <w:spacing w:after="240" w:before="360" w:line="312" w:lineRule="auto"/>
            </w:pPr>
            <w:r>
              <w:rPr>
                <w:color w:val="1A3A6B"/>
              </w:rPr>
              <w:t xml:space="preserve">52.5.7 EDUCATIONAL</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concept introduction → foundational explanation → worked example → connection to prior knowledge → summary → further learning pointers.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educational response must begin with a plain-language statement of the concept before moving to explanation; every explanation must include at least one concrete example; responses in Pedagogical Mode TEACH must include a summary statement at the end.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jargon introduced progressively, always defined before use; concepts built sequentially from simpler to more complex; active voice preferred; second person permitted (you / your) to engage the learner directly.</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Expertise Level interaction:</w:t>
            </w:r>
            <w:r>
              <w:rPr>
                <w:rFonts w:ascii="Calibri" w:cs="Calibri" w:eastAsia="Calibri" w:hAnsi="Calibri"/>
                <w:b w:val="false"/>
                <w:bCs w:val="false"/>
                <w:i w:val="false"/>
                <w:iCs w:val="false"/>
                <w:strike w:val="false"/>
                <w:color w:val="000000"/>
                <w:sz w:val="22"/>
                <w:szCs w:val="22"/>
              </w:rPr>
              <w:t xml:space="preserve"> typically combined with Levels 1–3. When combined with Levels 4–7, produces structured concept explanations appropriate for professional development, graduate instruction, or advanced tutorial contexts.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Safety Override:</w:t>
            </w:r>
            <w:r>
              <w:rPr>
                <w:rFonts w:ascii="Calibri" w:cs="Calibri" w:eastAsia="Calibri" w:hAnsi="Calibri"/>
                <w:b w:val="false"/>
                <w:bCs w:val="false"/>
                <w:i w:val="false"/>
                <w:iCs w:val="false"/>
                <w:strike w:val="false"/>
                <w:color w:val="000000"/>
                <w:sz w:val="22"/>
                <w:szCs w:val="22"/>
              </w:rPr>
              <w:t xml:space="preserve"> EDUCATIONAL_SAFE active when Expertise Level is 1 or 2.</w:t>
            </w:r>
          </w:p>
          <w:p>
            <w:pPr>
              <w:pStyle w:val="Heading3"/>
              <w:spacing w:after="240" w:before="360" w:line="312" w:lineRule="auto"/>
            </w:pPr>
            <w:r>
              <w:rPr>
                <w:color w:val="1A3A6B"/>
              </w:rPr>
              <w:t xml:space="preserve">52.5.8 EXECUTIVE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bottom line → key supporting facts (maximum three) → risk or opportunity flag → recommended next step → source reference.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EXECUTIVE mode response must begin with the most important conclusion or answer; no response may exceed the configured length target (default: SHORT); all methodology is suppressed unless the subscriber explicitly requests it; all statistical nuance is summarised as a directional statement.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business-standard terminology; no field jargon without expansion; figures rounded to significant digits appropriate to decision-making context.</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methodology exposition, detailed statistical analysis, or extended citation chains in the main response body. These may be provided in an appended Technical Supplement on subscriber request but are never included by default.</w:t>
            </w:r>
          </w:p>
          <w:p>
            <w:pPr>
              <w:pStyle w:val="Heading3"/>
              <w:spacing w:after="240" w:before="360" w:line="312" w:lineRule="auto"/>
            </w:pPr>
            <w:r>
              <w:rPr>
                <w:color w:val="1A3A6B"/>
              </w:rPr>
              <w:t xml:space="preserve">52.5.9 REFERENCE</w:t>
            </w:r>
          </w:p>
          <w:p>
            <w:pPr>
              <w:spacing w:after="240" w:line="408" w:lineRule="auto"/>
            </w:pPr>
            <w:r>
              <w:rPr>
                <w:rFonts w:ascii="Calibri" w:cs="Calibri" w:eastAsia="Calibri" w:hAnsi="Calibri"/>
                <w:b/>
                <w:bCs/>
                <w:i w:val="false"/>
                <w:iCs w:val="false"/>
                <w:strike w:val="false"/>
                <w:color w:val="333333"/>
                <w:sz w:val="22"/>
                <w:szCs w:val="22"/>
              </w:rPr>
              <w:t xml:space="preserve">Structural template:</w:t>
            </w:r>
            <w:r>
              <w:rPr>
                <w:rFonts w:ascii="Calibri" w:cs="Calibri" w:eastAsia="Calibri" w:hAnsi="Calibri"/>
                <w:b w:val="false"/>
                <w:bCs w:val="false"/>
                <w:i w:val="false"/>
                <w:iCs w:val="false"/>
                <w:strike w:val="false"/>
                <w:color w:val="000000"/>
                <w:sz w:val="22"/>
                <w:szCs w:val="22"/>
              </w:rPr>
              <w:t xml:space="preserve"> term or concept → definition → formal specification → related terms → citations.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Mandatory structural elements:</w:t>
            </w:r>
            <w:r>
              <w:rPr>
                <w:rFonts w:ascii="Calibri" w:cs="Calibri" w:eastAsia="Calibri" w:hAnsi="Calibri"/>
                <w:b w:val="false"/>
                <w:bCs w:val="false"/>
                <w:i w:val="false"/>
                <w:iCs w:val="false"/>
                <w:strike w:val="false"/>
                <w:color w:val="000000"/>
                <w:sz w:val="22"/>
                <w:szCs w:val="22"/>
              </w:rPr>
              <w:t xml:space="preserve"> every REFERENCE mode response is structured as a reference entry — precise, dense, no prose scaffolding; definitions before examples; formal specification where available in the Fact Graph; cross-references to related Ontology Mesh entities.</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Terminology convention:</w:t>
            </w:r>
            <w:r>
              <w:rPr>
                <w:rFonts w:ascii="Calibri" w:cs="Calibri" w:eastAsia="Calibri" w:hAnsi="Calibri"/>
                <w:b w:val="false"/>
                <w:bCs w:val="false"/>
                <w:i w:val="false"/>
                <w:iCs w:val="false"/>
                <w:strike w:val="false"/>
                <w:color w:val="000000"/>
                <w:sz w:val="22"/>
                <w:szCs w:val="22"/>
              </w:rPr>
              <w:t xml:space="preserve"> field-standard terminology without definition (Reference mode assumes expert readers); passive voice and noun-phrase-primary style permitted.</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Format Preference:</w:t>
            </w:r>
            <w:r>
              <w:rPr>
                <w:rFonts w:ascii="Calibri" w:cs="Calibri" w:eastAsia="Calibri" w:hAnsi="Calibri"/>
                <w:b w:val="false"/>
                <w:bCs w:val="false"/>
                <w:i w:val="false"/>
                <w:iCs w:val="false"/>
                <w:strike w:val="false"/>
                <w:color w:val="000000"/>
                <w:sz w:val="22"/>
                <w:szCs w:val="22"/>
              </w:rPr>
              <w:t xml:space="preserve"> REFERENCE format automatically active.</w:t>
            </w:r>
            <w:r>
              <w:rPr>
                <w:rFonts w:ascii="Calibri" w:cs="Calibri" w:eastAsia="Calibri" w:hAnsi="Calibri"/>
                <w:b w:val="false"/>
                <w:bCs w:val="false"/>
                <w:i w:val="false"/>
                <w:iCs w:val="false"/>
                <w:color w:val="000000"/>
                <w:sz w:val="22"/>
                <w:szCs w:val="22"/>
              </w:rPr>
              <w:br/>
            </w:r>
            <w:r>
              <w:rPr>
                <w:rFonts w:ascii="Calibri" w:cs="Calibri" w:eastAsia="Calibri" w:hAnsi="Calibri"/>
                <w:b/>
                <w:bCs/>
                <w:i w:val="false"/>
                <w:iCs w:val="false"/>
                <w:strike w:val="false"/>
                <w:color w:val="333333"/>
                <w:sz w:val="22"/>
                <w:szCs w:val="22"/>
              </w:rPr>
              <w:t xml:space="preserve">Prohibited elements:</w:t>
            </w:r>
            <w:r>
              <w:rPr>
                <w:rFonts w:ascii="Calibri" w:cs="Calibri" w:eastAsia="Calibri" w:hAnsi="Calibri"/>
                <w:b w:val="false"/>
                <w:bCs w:val="false"/>
                <w:i w:val="false"/>
                <w:iCs w:val="false"/>
                <w:strike w:val="false"/>
                <w:color w:val="000000"/>
                <w:sz w:val="22"/>
                <w:szCs w:val="22"/>
              </w:rPr>
              <w:t xml:space="preserve"> analogies, examples, or explanatory scaffolding in the main entry. These may be appended as a separate Examples section if the operator enables it.</w:t>
            </w:r>
          </w:p>
          <w:p>
            <w:pPr>
              <w:pStyle w:val="Heading2"/>
              <w:spacing w:after="240" w:before="480" w:line="312" w:lineRule="auto"/>
            </w:pPr>
            <w:r>
              <w:rPr>
                <w:color w:val="0D2A5E"/>
              </w:rPr>
              <w:t xml:space="preserve">52.6 Audience Targeting Profiles</w:t>
            </w:r>
          </w:p>
          <w:p>
            <w:pPr>
              <w:spacing w:after="240" w:line="408" w:lineRule="auto"/>
            </w:pPr>
            <w:r>
              <w:rPr>
                <w:rFonts w:ascii="Calibri" w:cs="Calibri" w:eastAsia="Calibri" w:hAnsi="Calibri"/>
                <w:b w:val="false"/>
                <w:bCs w:val="false"/>
                <w:i w:val="false"/>
                <w:iCs w:val="false"/>
                <w:strike w:val="false"/>
                <w:color w:val="000000"/>
                <w:sz w:val="22"/>
                <w:szCs w:val="22"/>
              </w:rPr>
              <w:t xml:space="preserve">Audience Targeting Profiles govern information prioritisation — the order in which information is presented, the amount of context provided, and the structural hierarchy of the response — independently of the Expertise Level and Discipline Mode. A response may combine any Audience Profile with any Expertise Level and any Discipline Mode.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Audience Profile Value</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Information Prioritisation Rules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GENERAL_PUBLIC</w:t>
                  </w:r>
                </w:p>
              </w:tc>
              <w:tc>
                <w:tcPr>
                  <w:tcW w:type="pct" w:w="50%"/>
                </w:tcPr>
                <w:p>
                  <w:r>
                    <w:rPr>
                      <w:rFonts w:ascii="Calibri" w:cs="Calibri" w:eastAsia="Calibri" w:hAnsi="Calibri"/>
                      <w:b w:val="false"/>
                      <w:bCs w:val="false"/>
                      <w:i w:val="false"/>
                      <w:iCs w:val="false"/>
                      <w:strike w:val="false"/>
                      <w:color w:val="000000"/>
                      <w:sz w:val="20"/>
                      <w:szCs w:val="20"/>
                    </w:rPr>
                    <w:t xml:space="preserve">No prior knowledge assumed; full context provided; response builds from basics before reaching the answer; accessible language throughout.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PROFESSIONAL_PRACTITIONER</w:t>
                  </w:r>
                </w:p>
              </w:tc>
              <w:tc>
                <w:tcPr>
                  <w:tcW w:type="pct" w:w="50%"/>
                </w:tcPr>
                <w:p>
                  <w:r>
                    <w:rPr>
                      <w:rFonts w:ascii="Calibri" w:cs="Calibri" w:eastAsia="Calibri" w:hAnsi="Calibri"/>
                      <w:b w:val="false"/>
                      <w:bCs w:val="false"/>
                      <w:i w:val="false"/>
                      <w:iCs w:val="false"/>
                      <w:strike w:val="false"/>
                      <w:color w:val="000000"/>
                      <w:sz w:val="20"/>
                      <w:szCs w:val="20"/>
                    </w:rPr>
                    <w:t xml:space="preserve">Practitioner context assumed; methodology familiar; response leads with the answer, followed by evidence; disciplinary conventions followed without explanation.</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EXECUTIVE_DECISION_MAKER</w:t>
                  </w:r>
                </w:p>
              </w:tc>
              <w:tc>
                <w:tcPr>
                  <w:tcW w:type="pct" w:w="50%"/>
                </w:tcPr>
                <w:p>
                  <w:r>
                    <w:rPr>
                      <w:rFonts w:ascii="Calibri" w:cs="Calibri" w:eastAsia="Calibri" w:hAnsi="Calibri"/>
                      <w:b w:val="false"/>
                      <w:bCs w:val="false"/>
                      <w:i w:val="false"/>
                      <w:iCs w:val="false"/>
                      <w:strike w:val="false"/>
                      <w:color w:val="000000"/>
                      <w:sz w:val="20"/>
                      <w:szCs w:val="20"/>
                    </w:rPr>
                    <w:t xml:space="preserve">Outcome-first; no methodology; maximum three supporting points; risk and opportunity framed in business terms; length SHORT to STANDARD; no citations visible in main body.</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ACADEMIC_RESEARCHER</w:t>
                  </w:r>
                </w:p>
              </w:tc>
              <w:tc>
                <w:tcPr>
                  <w:tcW w:type="pct" w:w="50%"/>
                </w:tcPr>
                <w:p>
                  <w:r>
                    <w:rPr>
                      <w:rFonts w:ascii="Calibri" w:cs="Calibri" w:eastAsia="Calibri" w:hAnsi="Calibri"/>
                      <w:b w:val="false"/>
                      <w:bCs w:val="false"/>
                      <w:i w:val="false"/>
                      <w:iCs w:val="false"/>
                      <w:strike w:val="false"/>
                      <w:color w:val="000000"/>
                      <w:sz w:val="20"/>
                      <w:szCs w:val="20"/>
                    </w:rPr>
                    <w:t xml:space="preserve">Methodology primary; full evidence chain; statistical detail; limitations and conflicting findings explicitly addressed; citation chain comprehensive; length DETAILED to COMPREHENSIVE.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LEGAL_OR_REGULATORY</w:t>
                  </w:r>
                </w:p>
              </w:tc>
              <w:tc>
                <w:tcPr>
                  <w:tcW w:type="pct" w:w="50%"/>
                </w:tcPr>
                <w:p>
                  <w:r>
                    <w:rPr>
                      <w:rFonts w:ascii="Calibri" w:cs="Calibri" w:eastAsia="Calibri" w:hAnsi="Calibri"/>
                      <w:b w:val="false"/>
                      <w:bCs w:val="false"/>
                      <w:i w:val="false"/>
                      <w:iCs w:val="false"/>
                      <w:strike w:val="false"/>
                      <w:color w:val="000000"/>
                      <w:sz w:val="20"/>
                      <w:szCs w:val="20"/>
                    </w:rPr>
                    <w:t xml:space="preserve">Precision primary; jurisdictional scope always stated; every claim hedged appropriately; regulatory reference primary; length DETAILED.</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STUDENT_LEARNING</w:t>
                  </w:r>
                </w:p>
              </w:tc>
              <w:tc>
                <w:tcPr>
                  <w:tcW w:type="pct" w:w="50%"/>
                </w:tcPr>
                <w:p>
                  <w:r>
                    <w:rPr>
                      <w:rFonts w:ascii="Calibri" w:cs="Calibri" w:eastAsia="Calibri" w:hAnsi="Calibri"/>
                      <w:b w:val="false"/>
                      <w:bCs w:val="false"/>
                      <w:i w:val="false"/>
                      <w:iCs w:val="false"/>
                      <w:strike w:val="false"/>
                      <w:color w:val="000000"/>
                      <w:sz w:val="20"/>
                      <w:szCs w:val="20"/>
                    </w:rPr>
                    <w:t xml:space="preserve">Progressive concept building; definitions before assertions; examples mandatory; summary at end; length STANDARD to DETAILED; Pedagogical Mode TEACH active by default.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TECHNICAL_IMPLEMENTER</w:t>
                  </w:r>
                </w:p>
              </w:tc>
              <w:tc>
                <w:tcPr>
                  <w:tcW w:type="pct" w:w="50%"/>
                </w:tcPr>
                <w:p>
                  <w:r>
                    <w:rPr>
                      <w:rFonts w:ascii="Calibri" w:cs="Calibri" w:eastAsia="Calibri" w:hAnsi="Calibri"/>
                      <w:b w:val="false"/>
                      <w:bCs w:val="false"/>
                      <w:i w:val="false"/>
                      <w:iCs w:val="false"/>
                      <w:strike w:val="false"/>
                      <w:color w:val="000000"/>
                      <w:sz w:val="20"/>
                      <w:szCs w:val="20"/>
                    </w:rPr>
                    <w:t xml:space="preserve">Specification primary; requirements and constraints first; implementation detail before theory; standards referenced; tolerances and edge cases included; length DETAILED.</w:t>
                  </w:r>
                </w:p>
              </w:tc>
            </w:tr>
          </w:tbl>
          <w:p>
            <w:pPr>
              <w:spacing w:after="200" w:before="0"/>
            </w:pPr>
          </w:p>
          <w:p>
            <w:pPr>
              <w:pStyle w:val="Heading2"/>
              <w:spacing w:after="240" w:before="480" w:line="312" w:lineRule="auto"/>
            </w:pPr>
            <w:r>
              <w:rPr>
                <w:color w:val="0D2A5E"/>
              </w:rPr>
              <w:t xml:space="preserve">52.7 The Three-Tier Response Profile Governance Cascade</w:t>
            </w:r>
          </w:p>
          <w:p>
            <w:pPr>
              <w:spacing w:after="240" w:line="408" w:lineRule="auto"/>
            </w:pPr>
            <w:r>
              <w:rPr>
                <w:rFonts w:ascii="Calibri" w:cs="Calibri" w:eastAsia="Calibri" w:hAnsi="Calibri"/>
                <w:b w:val="false"/>
                <w:bCs w:val="false"/>
                <w:i w:val="false"/>
                <w:iCs w:val="false"/>
                <w:strike w:val="false"/>
                <w:color w:val="000000"/>
                <w:sz w:val="22"/>
                <w:szCs w:val="22"/>
              </w:rPr>
              <w:t xml:space="preserve">Response Profile parameters are resolved through the same three-tier governance architecture used by the QBCL system (Chapter 42): Operator → Author → Subscriber. Parameters set at a higher tier constrain the range within which lower tiers may configure. A lower tier may never exceed the permissions granted by the tier above it.</w:t>
            </w:r>
          </w:p>
          <w:p>
            <w:pPr>
              <w:pStyle w:val="Heading3"/>
              <w:spacing w:after="240" w:before="360" w:line="312" w:lineRule="auto"/>
            </w:pPr>
            <w:r>
              <w:rPr>
                <w:color w:val="1A3A6B"/>
              </w:rPr>
              <w:t xml:space="preserve">52.7.1 Tier 1 — Operator Response Profile (Platform-Wide Baseline)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operator sets the platform-wide baseline Response Profile in the QBCL-CMS (Chapter 47). The operator baseline defines: the permitted range of Expertise Levels; the permitted Discipline Modes; the Safety Override Level floor (operators may raise but never lower the floor below STANDARD); the default Response Profile applied when no author or subscriber override is present; mandatory inclusions (structural elements required in every response regardless of lower-tier preferences); and mandatory exclusions (structural elements prohibited in all responses, such as content above a configured reading level on a children’s platform).</w:t>
            </w:r>
          </w:p>
          <w:p>
            <w:pPr>
              <w:pStyle w:val="Heading3"/>
              <w:spacing w:after="240" w:before="360" w:line="312" w:lineRule="auto"/>
            </w:pPr>
            <w:r>
              <w:rPr>
                <w:color w:val="1A3A6B"/>
              </w:rPr>
              <w:t xml:space="preserve">52.7.2 Tier 2 — Author Response Profile (Corpus-Level Declaration)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a publisher or content author ingests a corpus into the Fact Graph, they may declare an Author Response Profile stored in the QBFObject metadata for the corpus. Author Response Profile parameters include: Intended Expertise Level, Discipline Mode recommendation, Audience Profile recommendation, and Citation format preference. Author Response Profiles apply only to responses where the majority of retrieved Fact Units originate from the author’s corpus. When a response draws from multiple corpora with different Author Response Profiles, the ARE applies Profile Blending Resolution: the highest Expertise Level among the contributing corpora’s profiles is selected, and the Discipline Mode of the corpus contributing the largest number of Fact Units is applied.</w:t>
            </w:r>
          </w:p>
          <w:p>
            <w:pPr>
              <w:pStyle w:val="Heading3"/>
              <w:spacing w:after="240" w:before="360" w:line="312" w:lineRule="auto"/>
            </w:pPr>
            <w:r>
              <w:rPr>
                <w:color w:val="1A3A6B"/>
              </w:rPr>
              <w:t xml:space="preserve">52.7.3 Tier 3 — Subscriber Response Profile (Session and Persistent Preferences)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subscriber may configure their personal Response Profile through two mechanisms: Persistent Preferences (stored in the Subscriber Preference Store, Chapter 41), applied as the default for all queries unless overridden; and Session-Level Declarations, explicit response mode instructions given in natural language during the current session, interpreted by the SPE’s Operational Intent Classifier (Chapter 50) and stored as session-scoped overrides in the CIL session state (Chapter 37). Subscriber-declared preferences are constrained by the operator-permitted range.</w:t>
            </w:r>
          </w:p>
          <w:p>
            <w:pPr>
              <w:pStyle w:val="Heading3"/>
              <w:spacing w:after="240" w:before="360" w:line="312" w:lineRule="auto"/>
            </w:pPr>
            <w:r>
              <w:rPr>
                <w:color w:val="1A3A6B"/>
              </w:rPr>
              <w:t xml:space="preserve">52.7.4 Resolution Order at Query Time</w:t>
            </w:r>
          </w:p>
          <w:p>
            <w:pPr>
              <w:spacing w:after="240" w:line="408" w:lineRule="auto"/>
            </w:pPr>
            <w:r>
              <w:rPr>
                <w:rFonts w:ascii="Calibri" w:cs="Calibri" w:eastAsia="Calibri" w:hAnsi="Calibri"/>
                <w:b w:val="false"/>
                <w:bCs w:val="false"/>
                <w:i w:val="false"/>
                <w:iCs w:val="false"/>
                <w:strike w:val="false"/>
                <w:color w:val="000000"/>
                <w:sz w:val="22"/>
                <w:szCs w:val="22"/>
              </w:rPr>
              <w:t xml:space="preserve">When the ARE resolves a Response Profile for a given query, it applies the following resolution order: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Step</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Action</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Source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1</w:t>
                  </w:r>
                </w:p>
              </w:tc>
              <w:tc>
                <w:tcPr>
                  <w:tcW w:type="pct" w:w="33.333333333333336%"/>
                </w:tcPr>
                <w:p>
                  <w:r>
                    <w:rPr>
                      <w:rFonts w:ascii="Calibri" w:cs="Calibri" w:eastAsia="Calibri" w:hAnsi="Calibri"/>
                      <w:b w:val="false"/>
                      <w:bCs w:val="false"/>
                      <w:i w:val="false"/>
                      <w:iCs w:val="false"/>
                      <w:strike w:val="false"/>
                      <w:color w:val="000000"/>
                      <w:sz w:val="20"/>
                      <w:szCs w:val="20"/>
                    </w:rPr>
                    <w:t xml:space="preserve">Load operator’s baseline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QBCL-CMS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2</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Author Response Profile for primary corpus in current FUS,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QBFObject metadata</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3</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subscriber’s persistent preferences,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Subscriber Preference Store (Chapter 41)</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4</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session-level declarations,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CIL session state (Chapter 37)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5</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inline query-time declarations from current utterance (detected by SPE), within operator constraints</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current utterance parse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6</w:t>
                  </w:r>
                </w:p>
              </w:tc>
              <w:tc>
                <w:tcPr>
                  <w:tcW w:type="pct" w:w="33.333333333333336%"/>
                </w:tcPr>
                <w:p>
                  <w:r>
                    <w:rPr>
                      <w:rFonts w:ascii="Calibri" w:cs="Calibri" w:eastAsia="Calibri" w:hAnsi="Calibri"/>
                      <w:b w:val="false"/>
                      <w:bCs w:val="false"/>
                      <w:i w:val="false"/>
                      <w:iCs w:val="false"/>
                      <w:strike w:val="false"/>
                      <w:color w:val="000000"/>
                      <w:sz w:val="20"/>
                      <w:szCs w:val="20"/>
                    </w:rPr>
                    <w:t xml:space="preserve">Apply Safety Override Level — the most restrictive level present across all steps is used. Safety Overrides are additive, never subtractive.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All tiers (most restrictive wins)</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7</w:t>
                  </w:r>
                </w:p>
              </w:tc>
              <w:tc>
                <w:tcPr>
                  <w:tcW w:type="pct" w:w="33.333333333333336%"/>
                </w:tcPr>
                <w:p>
                  <w:r>
                    <w:rPr>
                      <w:rFonts w:ascii="Calibri" w:cs="Calibri" w:eastAsia="Calibri" w:hAnsi="Calibri"/>
                      <w:b w:val="false"/>
                      <w:bCs w:val="false"/>
                      <w:i w:val="false"/>
                      <w:iCs w:val="false"/>
                      <w:strike w:val="false"/>
                      <w:color w:val="000000"/>
                      <w:sz w:val="20"/>
                      <w:szCs w:val="20"/>
                    </w:rPr>
                    <w:t xml:space="preserve">Produce the resolved Response Profile and pass it to the ARE pipeline (Section 52.8). Log the resolved profile and each parameter’s governance tier source to the Workspace Audit Log (Chapter 41).</w:t>
                  </w:r>
                </w:p>
              </w:tc>
              <w:tc>
                <w:tcPr>
                  <w:tcW w:type="pct" w:w="33.333333333333336%"/>
                </w:tcPr>
                <w:p>
                  <w:r>
                    <w:rPr>
                      <w:rFonts w:ascii="Calibri" w:cs="Calibri" w:eastAsia="Calibri" w:hAnsi="Calibri"/>
                      <w:b w:val="false"/>
                      <w:bCs w:val="false"/>
                      <w:i w:val="false"/>
                      <w:iCs w:val="false"/>
                      <w:strike w:val="false"/>
                      <w:color w:val="000000"/>
                      <w:sz w:val="20"/>
                      <w:szCs w:val="20"/>
                    </w:rPr>
                    <w:t xml:space="preserve">ARE Pipeline (Section 52.8)</w:t>
                  </w:r>
                </w:p>
              </w:tc>
            </w:tr>
          </w:tbl>
          <w:p>
            <w:pPr>
              <w:spacing w:after="200" w:before="0"/>
            </w:pPr>
          </w:p>
          <w:p>
            <w:pPr>
              <w:pStyle w:val="Heading2"/>
              <w:spacing w:after="240" w:before="480" w:line="312" w:lineRule="auto"/>
            </w:pPr>
            <w:r>
              <w:rPr>
                <w:color w:val="0D2A5E"/>
              </w:rPr>
              <w:t xml:space="preserve">52.8 The ARE Pipeline — From Retrieval Result to Generation Directive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processes the Fact Graph retrieval result set and the resolved Response Profile through a five-stage pipeline to produce a Generation Directive — the typed, structured specification that governs all NLGE generation for the current response.</w:t>
            </w:r>
          </w:p>
          <w:p>
            <w:pPr>
              <w:pStyle w:val="Heading3"/>
              <w:spacing w:after="240" w:before="360" w:line="312" w:lineRule="auto"/>
            </w:pPr>
            <w:r>
              <w:rPr>
                <w:color w:val="1A3A6B"/>
              </w:rPr>
              <w:t xml:space="preserve">52.8.1 Stage 1 — Result Set Analysis</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analyses the retrieved Fact Unit set and constructs a Result Set Profile: the entity type distribution of retrieved facts; the predicate distribution; the confidence score distribution; the source type distribution (which ingestion sources contributed facts); the temporal range of retrieved facts; and the presence of any special fact annotations (Forward-Looking predicates, Preliminary findings flags, Contraindication predicates, Single-Source conditions). The Result Set Profile is used in subsequent stages to determine which mandatory structural elements must be included in the Generation Directive.</w:t>
            </w:r>
          </w:p>
          <w:p>
            <w:pPr>
              <w:pStyle w:val="Heading3"/>
              <w:spacing w:after="240" w:before="360" w:line="312" w:lineRule="auto"/>
            </w:pPr>
            <w:r>
              <w:rPr>
                <w:color w:val="1A3A6B"/>
              </w:rPr>
              <w:t xml:space="preserve">52.8.2 Stage 2 — Discipline Mode Template Selection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selects the appropriate structural template from the Discipline Mode Registry based on the resolved Discipline Mode. It then evaluates the Result Set Profile against the mandatory structural elements of the selected template. For each mandatory element, the ARE checks whether the required predicates are present in the result set. If a mandatory element’s required predicates are absent, the ARE generates a Mandatory Element Advisory — a structured note added to the Generation Directive informing the NLGE that the mandatory element is required by the Discipline Mode but that the Fact Universe does not contain the required information to populate it. The NLGE will then generate a structured disclosure of this gap rather than silently omitting the element.</w:t>
            </w:r>
          </w:p>
          <w:p>
            <w:pPr>
              <w:pStyle w:val="Heading3"/>
              <w:spacing w:after="240" w:before="360" w:line="312" w:lineRule="auto"/>
            </w:pPr>
            <w:r>
              <w:rPr>
                <w:color w:val="1A3A6B"/>
              </w:rPr>
              <w:t xml:space="preserve">52.8.3 Stage 3 — Expertise Level Calibration</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produces a Vocabulary Calibration Specification for the NLGE based on the resolved Expertise Level. This specification includes: the target reading level (expressed as a Flesch-Kincaid grade level range); the permitted jargon density (proportion of field-specific terms per sentence); the definition requirement (which terms in the result set require inline definition); the analogy permission flag; and the concept depth parameter (how many levels of supporting explanation to include before stating the primary claim). The Vocabulary Calibration Specification is passed as a binding constraint to the NLGE — not as a style suggestion.</w:t>
            </w:r>
          </w:p>
          <w:p>
            <w:pPr>
              <w:pStyle w:val="Heading3"/>
              <w:spacing w:after="240" w:before="360" w:line="312" w:lineRule="auto"/>
            </w:pPr>
            <w:r>
              <w:rPr>
                <w:color w:val="1A3A6B"/>
              </w:rPr>
              <w:t xml:space="preserve">52.8.4 Stage 4 — Audience Profile Structuring</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determines the information hierarchy for the response based on the resolved Audience Profile. For EXECUTIVE_DECISION_MAKER: conclusion first, maximum three supporting facts, no methodology. For ACADEMIC_RESEARCHER: methodology before conclusion, full evidence chain, limitations section mandatory. For STUDENT_LEARNING: concept introduction before claim, example mandatory, summary at end. The information hierarchy is expressed as an ordered sequence of response sections in the Generation Directive, which the NLGE follows when constructing the response structure.</w:t>
            </w:r>
          </w:p>
          <w:p>
            <w:pPr>
              <w:pStyle w:val="Heading3"/>
              <w:spacing w:after="240" w:before="360" w:line="312" w:lineRule="auto"/>
            </w:pPr>
            <w:r>
              <w:rPr>
                <w:color w:val="1A3A6B"/>
              </w:rPr>
              <w:t xml:space="preserve">52.8.5 Stage 5 — Generation Directive Assembly</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assembles all outputs from Stages 1–4 into a typed Generation Directive containing the following bound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0" w:color="auto" w:val="clear"/>
                </w:tcPr>
                <w:p>
                  <w:r>
                    <w:rPr>
                      <w:rFonts w:ascii="Calibri" w:cs="Calibri" w:eastAsia="Calibri" w:hAnsi="Calibri"/>
                      <w:b/>
                      <w:bCs/>
                      <w:i w:val="false"/>
                      <w:iCs w:val="false"/>
                      <w:strike w:val="false"/>
                      <w:color w:val="0D2A5E"/>
                      <w:sz w:val="20"/>
                      <w:szCs w:val="20"/>
                    </w:rPr>
                    <w:t xml:space="preserve">Generation Directive Field</w:t>
                  </w:r>
                </w:p>
              </w:tc>
              <w:tc>
                <w:tcPr>
                  <w:tcW w:type="pct" w:w="50%"/>
                  <w:shd w:fill="DCE6F0" w:color="auto" w:val="clear"/>
                </w:tcPr>
                <w:p>
                  <w:r>
                    <w:rPr>
                      <w:rFonts w:ascii="Calibri" w:cs="Calibri" w:eastAsia="Calibri" w:hAnsi="Calibri"/>
                      <w:b/>
                      <w:bCs/>
                      <w:i w:val="false"/>
                      <w:iCs w:val="false"/>
                      <w:strike w:val="false"/>
                      <w:color w:val="0D2A5E"/>
                      <w:sz w:val="20"/>
                      <w:szCs w:val="20"/>
                    </w:rPr>
                    <w:t xml:space="preserve">Content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Response Profile (resolved)</w:t>
                  </w:r>
                </w:p>
              </w:tc>
              <w:tc>
                <w:tcPr>
                  <w:tcW w:type="pct" w:w="50%"/>
                </w:tcPr>
                <w:p>
                  <w:r>
                    <w:rPr>
                      <w:rFonts w:ascii="Calibri" w:cs="Calibri" w:eastAsia="Calibri" w:hAnsi="Calibri"/>
                      <w:b w:val="false"/>
                      <w:bCs w:val="false"/>
                      <w:i w:val="false"/>
                      <w:iCs w:val="false"/>
                      <w:strike w:val="false"/>
                      <w:color w:val="000000"/>
                      <w:sz w:val="20"/>
                      <w:szCs w:val="20"/>
                    </w:rPr>
                    <w:t xml:space="preserve">Full resolved Response Profile with governance source annotations for each parameter.</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Structural Template</w:t>
                  </w:r>
                </w:p>
              </w:tc>
              <w:tc>
                <w:tcPr>
                  <w:tcW w:type="pct" w:w="50%"/>
                </w:tcPr>
                <w:p>
                  <w:r>
                    <w:rPr>
                      <w:rFonts w:ascii="Calibri" w:cs="Calibri" w:eastAsia="Calibri" w:hAnsi="Calibri"/>
                      <w:b w:val="false"/>
                      <w:bCs w:val="false"/>
                      <w:i w:val="false"/>
                      <w:iCs w:val="false"/>
                      <w:strike w:val="false"/>
                      <w:color w:val="000000"/>
                      <w:sz w:val="20"/>
                      <w:szCs w:val="20"/>
                    </w:rPr>
                    <w:t xml:space="preserve">Ordered sequence of response sections defined by Discipline Mode and Audience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Vocabulary Calibration Specification</w:t>
                  </w:r>
                </w:p>
              </w:tc>
              <w:tc>
                <w:tcPr>
                  <w:tcW w:type="pct" w:w="50%"/>
                </w:tcPr>
                <w:p>
                  <w:r>
                    <w:rPr>
                      <w:rFonts w:ascii="Calibri" w:cs="Calibri" w:eastAsia="Calibri" w:hAnsi="Calibri"/>
                      <w:b w:val="false"/>
                      <w:bCs w:val="false"/>
                      <w:i w:val="false"/>
                      <w:iCs w:val="false"/>
                      <w:strike w:val="false"/>
                      <w:color w:val="000000"/>
                      <w:sz w:val="20"/>
                      <w:szCs w:val="20"/>
                    </w:rPr>
                    <w:t xml:space="preserve">Binding Expertise Level constraints for the NLGE (Flesch-Kincaid range, jargon density, definition requirements, analogy flag, concept depth).</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Mandatory Element Status</w:t>
                  </w:r>
                </w:p>
              </w:tc>
              <w:tc>
                <w:tcPr>
                  <w:tcW w:type="pct" w:w="50%"/>
                </w:tcPr>
                <w:p>
                  <w:r>
                    <w:rPr>
                      <w:rFonts w:ascii="Calibri" w:cs="Calibri" w:eastAsia="Calibri" w:hAnsi="Calibri"/>
                      <w:b w:val="false"/>
                      <w:bCs w:val="false"/>
                      <w:i w:val="false"/>
                      <w:iCs w:val="false"/>
                      <w:strike w:val="false"/>
                      <w:color w:val="000000"/>
                      <w:sz w:val="20"/>
                      <w:szCs w:val="20"/>
                    </w:rPr>
                    <w:t xml:space="preserve">Which mandatory structural elements are present in the result set and which generated Mandatory Element Advisories.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Safety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Safety Override Level and domain-specific safety constraints (medical hedge requirement, legal information notice, financial risk disclosure, educational content safety constraints).</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Provenance Instructions</w:t>
                  </w:r>
                </w:p>
              </w:tc>
              <w:tc>
                <w:tcPr>
                  <w:tcW w:type="pct" w:w="50%"/>
                </w:tcPr>
                <w:p>
                  <w:r>
                    <w:rPr>
                      <w:rFonts w:ascii="Calibri" w:cs="Calibri" w:eastAsia="Calibri" w:hAnsi="Calibri"/>
                      <w:b w:val="false"/>
                      <w:bCs w:val="false"/>
                      <w:i w:val="false"/>
                      <w:iCs w:val="false"/>
                      <w:strike w:val="false"/>
                      <w:color w:val="000000"/>
                      <w:sz w:val="20"/>
                      <w:szCs w:val="20"/>
                    </w:rPr>
                    <w:t xml:space="preserve">Provenance display mode and citation format.</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Special Fact Annotations</w:t>
                  </w:r>
                </w:p>
              </w:tc>
              <w:tc>
                <w:tcPr>
                  <w:tcW w:type="pct" w:w="50%"/>
                </w:tcPr>
                <w:p>
                  <w:r>
                    <w:rPr>
                      <w:rFonts w:ascii="Calibri" w:cs="Calibri" w:eastAsia="Calibri" w:hAnsi="Calibri"/>
                      <w:b w:val="false"/>
                      <w:bCs w:val="false"/>
                      <w:i w:val="false"/>
                      <w:iCs w:val="false"/>
                      <w:strike w:val="false"/>
                      <w:color w:val="000000"/>
                      <w:sz w:val="20"/>
                      <w:szCs w:val="20"/>
                    </w:rPr>
                    <w:t xml:space="preserve">Flags for Forward-Looking Statements, Preliminary Findings, Contraindications, Single-Source conditions, and any other special annotations detected in the Result Set Profile.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Pedagogical Instructions</w:t>
                  </w:r>
                </w:p>
              </w:tc>
              <w:tc>
                <w:tcPr>
                  <w:tcW w:type="pct" w:w="50%"/>
                </w:tcPr>
                <w:p>
                  <w:r>
                    <w:rPr>
                      <w:rFonts w:ascii="Calibri" w:cs="Calibri" w:eastAsia="Calibri" w:hAnsi="Calibri"/>
                      <w:b w:val="false"/>
                      <w:bCs w:val="false"/>
                      <w:i w:val="false"/>
                      <w:iCs w:val="false"/>
                      <w:strike w:val="false"/>
                      <w:color w:val="000000"/>
                      <w:sz w:val="20"/>
                      <w:szCs w:val="20"/>
                    </w:rPr>
                    <w:t xml:space="preserve">Resolved Pedagogical Mode (INFORM, TEACH, BRIEF, DEBATE).</w:t>
                  </w:r>
                </w:p>
              </w:tc>
            </w:tr>
            <w:tr>
              <w:trPr>
                <w:tblHeader w:val="false"/>
              </w:trPr>
              <w:tc>
                <w:tcPr>
                  <w:tcW w:type="pct" w:w="50%"/>
                </w:tcPr>
                <w:p>
                  <w:r>
                    <w:rPr>
                      <w:rFonts w:ascii="Calibri" w:cs="Calibri" w:eastAsia="Calibri" w:hAnsi="Calibri"/>
                      <w:b/>
                      <w:bCs/>
                      <w:i w:val="false"/>
                      <w:iCs w:val="false"/>
                      <w:strike w:val="false"/>
                      <w:color w:val="000000"/>
                      <w:sz w:val="20"/>
                      <w:szCs w:val="20"/>
                    </w:rPr>
                    <w:t xml:space="preserve">Length and Format Constraints</w:t>
                  </w:r>
                </w:p>
              </w:tc>
              <w:tc>
                <w:tcPr>
                  <w:tcW w:type="pct" w:w="50%"/>
                </w:tcPr>
                <w:p>
                  <w:r>
                    <w:rPr>
                      <w:rFonts w:ascii="Calibri" w:cs="Calibri" w:eastAsia="Calibri" w:hAnsi="Calibri"/>
                      <w:b w:val="false"/>
                      <w:bCs w:val="false"/>
                      <w:i w:val="false"/>
                      <w:iCs w:val="false"/>
                      <w:strike w:val="false"/>
                      <w:color w:val="000000"/>
                      <w:sz w:val="20"/>
                      <w:szCs w:val="20"/>
                    </w:rPr>
                    <w:t xml:space="preserve">Resolved Response Length Target and Format Preference as binding constraints.</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The Generation Directive is the sole input to the NLGE alongside the fact retrieval result set. The NLGE does not consult the Response Profile Registry or the Discipline Mode Registry directly — it receives all governing parameters from the ARE’s Generation Directive. This architecture ensures that the ARE is the single, auditable point of response mode governance.</w:t>
            </w:r>
          </w:p>
          <w:p>
            <w:pPr>
              <w:pStyle w:val="Heading2"/>
              <w:spacing w:after="240" w:before="480" w:line="312" w:lineRule="auto"/>
            </w:pPr>
            <w:r>
              <w:rPr>
                <w:color w:val="0D2A5E"/>
              </w:rPr>
              <w:t xml:space="preserve">52.9 Explicit Response Mode Declaration — Natural Language Interface</w:t>
            </w:r>
          </w:p>
          <w:p>
            <w:pPr>
              <w:spacing w:after="240" w:line="408" w:lineRule="auto"/>
            </w:pPr>
            <w:r>
              <w:rPr>
                <w:rFonts w:ascii="Calibri" w:cs="Calibri" w:eastAsia="Calibri" w:hAnsi="Calibri"/>
                <w:b w:val="false"/>
                <w:bCs w:val="false"/>
                <w:i w:val="false"/>
                <w:iCs w:val="false"/>
                <w:strike w:val="false"/>
                <w:color w:val="000000"/>
                <w:sz w:val="22"/>
                <w:szCs w:val="22"/>
              </w:rPr>
              <w:t xml:space="preserve">Subscribers may declare response mode preferences in natural language at any time during a session. The SPE’s Operational Intent Classifier (Chapter 50, Section 50.4.3) recognises response mode declarations as a class of operational intent and routes them to the ARE’s Session Profile Override store via the Language Command Router (Chapter 50, Section 50.7). Supported natural-language declaration patterns include: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Declaration Type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Example Utterances</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Parameter Mapped</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w:t>
                  </w:r>
                </w:p>
              </w:tc>
              <w:tc>
                <w:tcPr>
                  <w:tcW w:type="pct" w:w="33.333333333333336%"/>
                </w:tcPr>
                <w:p>
                  <w:r>
                    <w:rPr>
                      <w:rFonts w:ascii="Calibri" w:cs="Calibri" w:eastAsia="Calibri" w:hAnsi="Calibri"/>
                      <w:b w:val="false"/>
                      <w:bCs w:val="false"/>
                      <w:i/>
                      <w:iCs/>
                      <w:strike w:val="false"/>
                      <w:color w:val="000000"/>
                      <w:sz w:val="20"/>
                      <w:szCs w:val="20"/>
                    </w:rPr>
                    <w:t xml:space="preserve">“Explain this like I’m a high school student” / “Answer at a PhD level” / “Use plain English” / “I’m a specialist, use technical terminology”</w:t>
                  </w:r>
                </w:p>
              </w:tc>
              <w:tc>
                <w:tcPr>
                  <w:tcW w:type="pct" w:w="33.333333333333336%"/>
                </w:tcPr>
                <w:p>
                  <w:r>
                    <w:rPr>
                      <w:rFonts w:ascii="Calibri" w:cs="Calibri" w:eastAsia="Calibri" w:hAnsi="Calibri"/>
                      <w:b w:val="false"/>
                      <w:bCs w:val="false"/>
                      <w:i w:val="false"/>
                      <w:iCs w:val="false"/>
                      <w:strike w:val="false"/>
                      <w:color w:val="000000"/>
                      <w:sz w:val="20"/>
                      <w:szCs w:val="20"/>
                    </w:rPr>
                    <w:t xml:space="preserve">Expertise Level (maps to values 1–7)</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c>
                <w:tcPr>
                  <w:tcW w:type="pct" w:w="33.333333333333336%"/>
                </w:tcPr>
                <w:p>
                  <w:r>
                    <w:rPr>
                      <w:rFonts w:ascii="Calibri" w:cs="Calibri" w:eastAsia="Calibri" w:hAnsi="Calibri"/>
                      <w:b w:val="false"/>
                      <w:bCs w:val="false"/>
                      <w:i/>
                      <w:iCs/>
                      <w:strike w:val="false"/>
                      <w:color w:val="000000"/>
                      <w:sz w:val="20"/>
                      <w:szCs w:val="20"/>
                    </w:rPr>
                    <w:t xml:space="preserve">“Use legal citation format” / “Give me the clinical answer” / “Structure this as a scientific report” / “I want the financial analysis”</w:t>
                  </w:r>
                </w:p>
              </w:tc>
              <w:tc>
                <w:tcPr>
                  <w:tcW w:type="pct" w:w="33.333333333333336%"/>
                </w:tcPr>
                <w:p>
                  <w:r>
                    <w:rPr>
                      <w:rFonts w:ascii="Calibri" w:cs="Calibri" w:eastAsia="Calibri" w:hAnsi="Calibri"/>
                      <w:b w:val="false"/>
                      <w:bCs w:val="false"/>
                      <w:i w:val="false"/>
                      <w:iCs w:val="false"/>
                      <w:strike w:val="false"/>
                      <w:color w:val="000000"/>
                      <w:sz w:val="20"/>
                      <w:szCs w:val="20"/>
                    </w:rPr>
                    <w:t xml:space="preserve">Discipline Mode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c>
                <w:tcPr>
                  <w:tcW w:type="pct" w:w="33.333333333333336%"/>
                </w:tcPr>
                <w:p>
                  <w:r>
                    <w:rPr>
                      <w:rFonts w:ascii="Calibri" w:cs="Calibri" w:eastAsia="Calibri" w:hAnsi="Calibri"/>
                      <w:b w:val="false"/>
                      <w:bCs w:val="false"/>
                      <w:i/>
                      <w:iCs/>
                      <w:strike w:val="false"/>
                      <w:color w:val="000000"/>
                      <w:sz w:val="20"/>
                      <w:szCs w:val="20"/>
                    </w:rPr>
                    <w:t xml:space="preserve">“Give me the executive summary” / “I want the full technical detail” / “Explain it step by step like a teacher would” / “Just give me the reference definition”</w:t>
                  </w:r>
                </w:p>
              </w:tc>
              <w:tc>
                <w:tcPr>
                  <w:tcW w:type="pct" w:w="33.333333333333336%"/>
                </w:tcPr>
                <w:p>
                  <w:r>
                    <w:rPr>
                      <w:rFonts w:ascii="Calibri" w:cs="Calibri" w:eastAsia="Calibri" w:hAnsi="Calibri"/>
                      <w:b w:val="false"/>
                      <w:bCs w:val="false"/>
                      <w:i w:val="false"/>
                      <w:iCs w:val="false"/>
                      <w:strike w:val="false"/>
                      <w:color w:val="000000"/>
                      <w:sz w:val="20"/>
                      <w:szCs w:val="20"/>
                    </w:rPr>
                    <w:t xml:space="preserve">Audience Profile</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Format</w:t>
                  </w:r>
                </w:p>
              </w:tc>
              <w:tc>
                <w:tcPr>
                  <w:tcW w:type="pct" w:w="33.333333333333336%"/>
                </w:tcPr>
                <w:p>
                  <w:r>
                    <w:rPr>
                      <w:rFonts w:ascii="Calibri" w:cs="Calibri" w:eastAsia="Calibri" w:hAnsi="Calibri"/>
                      <w:b w:val="false"/>
                      <w:bCs w:val="false"/>
                      <w:i/>
                      <w:iCs/>
                      <w:strike w:val="false"/>
                      <w:color w:val="000000"/>
                      <w:sz w:val="20"/>
                      <w:szCs w:val="20"/>
                    </w:rPr>
                    <w:t xml:space="preserve">“Use a table” / “Give me bullet points” / “Write it as prose” / “Include full citations”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Format Preference + Provenance Display</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Length</w:t>
                  </w:r>
                </w:p>
              </w:tc>
              <w:tc>
                <w:tcPr>
                  <w:tcW w:type="pct" w:w="33.333333333333336%"/>
                </w:tcPr>
                <w:p>
                  <w:r>
                    <w:rPr>
                      <w:rFonts w:ascii="Calibri" w:cs="Calibri" w:eastAsia="Calibri" w:hAnsi="Calibri"/>
                      <w:b w:val="false"/>
                      <w:bCs w:val="false"/>
                      <w:i/>
                      <w:iCs/>
                      <w:strike w:val="false"/>
                      <w:color w:val="000000"/>
                      <w:sz w:val="20"/>
                      <w:szCs w:val="20"/>
                    </w:rPr>
                    <w:t xml:space="preserve">“Keep it brief” / “Give me the full answer” / “I want a comprehensive analysis” / “Just one sentence”</w:t>
                  </w:r>
                </w:p>
              </w:tc>
              <w:tc>
                <w:tcPr>
                  <w:tcW w:type="pct" w:w="33.333333333333336%"/>
                </w:tcPr>
                <w:p>
                  <w:r>
                    <w:rPr>
                      <w:rFonts w:ascii="Calibri" w:cs="Calibri" w:eastAsia="Calibri" w:hAnsi="Calibri"/>
                      <w:b w:val="false"/>
                      <w:bCs w:val="false"/>
                      <w:i w:val="false"/>
                      <w:iCs w:val="false"/>
                      <w:strike w:val="false"/>
                      <w:color w:val="000000"/>
                      <w:sz w:val="20"/>
                      <w:szCs w:val="20"/>
                    </w:rPr>
                    <w:t xml:space="preserve">Response Length Target</w:t>
                  </w:r>
                </w:p>
              </w:tc>
            </w:tr>
            <w:tr>
              <w:trPr>
                <w:tblHeader w:val="false"/>
              </w:trPr>
              <w:tc>
                <w:tcPr>
                  <w:tcW w:type="pct" w:w="33.333333333333336%"/>
                </w:tcPr>
                <w:p>
                  <w:r>
                    <w:rPr>
                      <w:rFonts w:ascii="Calibri" w:cs="Calibri" w:eastAsia="Calibri" w:hAnsi="Calibri"/>
                      <w:b w:val="false"/>
                      <w:bCs w:val="false"/>
                      <w:i w:val="false"/>
                      <w:iCs w:val="false"/>
                      <w:strike w:val="false"/>
                      <w:color w:val="000000"/>
                      <w:sz w:val="20"/>
                      <w:szCs w:val="20"/>
                    </w:rPr>
                    <w:t xml:space="preserve">Compound</w:t>
                  </w:r>
                </w:p>
              </w:tc>
              <w:tc>
                <w:tcPr>
                  <w:tcW w:type="pct" w:w="33.333333333333336%"/>
                </w:tcPr>
                <w:p>
                  <w:r>
                    <w:rPr>
                      <w:rFonts w:ascii="Calibri" w:cs="Calibri" w:eastAsia="Calibri" w:hAnsi="Calibri"/>
                      <w:b w:val="false"/>
                      <w:bCs w:val="false"/>
                      <w:i/>
                      <w:iCs/>
                      <w:strike w:val="false"/>
                      <w:color w:val="000000"/>
                      <w:sz w:val="20"/>
                      <w:szCs w:val="20"/>
                    </w:rPr>
                    <w:t xml:space="preserve">“Answer like you’re explaining to a first-year medical student”</w:t>
                  </w:r>
                </w:p>
              </w:tc>
              <w:tc>
                <w:tcPr>
                  <w:tcW w:type="pct" w:w="33.333333333333336%"/>
                </w:tcPr>
                <w:p>
                  <w:r>
                    <w:rPr>
                      <w:rFonts w:ascii="Calibri" w:cs="Calibri" w:eastAsia="Calibri" w:hAnsi="Calibri"/>
                      <w:b w:val="false"/>
                      <w:bCs w:val="false"/>
                      <w:i w:val="false"/>
                      <w:iCs w:val="false"/>
                      <w:strike w:val="false"/>
                      <w:color w:val="000000"/>
                      <w:sz w:val="20"/>
                      <w:szCs w:val="20"/>
                    </w:rPr>
                    <w:t xml:space="preserve">SPE decomposes into constituent Response Profile parameter overrides (Expertise Level 2 + MEDICAL_CLINICAL + STUDENT_LEARNING).</w:t>
                  </w:r>
                </w:p>
              </w:tc>
            </w:tr>
          </w:tbl>
          <w:p>
            <w:pPr>
              <w:spacing w:after="200" w:before="0"/>
            </w:pPr>
          </w:p>
          <w:p>
            <w:pPr>
              <w:spacing w:after="240" w:line="408" w:lineRule="auto"/>
            </w:pPr>
            <w:r>
              <w:rPr>
                <w:rFonts w:ascii="Calibri" w:cs="Calibri" w:eastAsia="Calibri" w:hAnsi="Calibri"/>
                <w:b w:val="false"/>
                <w:bCs w:val="false"/>
                <w:i w:val="false"/>
                <w:iCs w:val="false"/>
                <w:strike w:val="false"/>
                <w:color w:val="000000"/>
                <w:sz w:val="22"/>
                <w:szCs w:val="22"/>
              </w:rPr>
              <w:t xml:space="preserve">All natural-language response mode declarations are stored in the CIL session state (Chapter 37) and remain active for the full session. A subscriber may modify them at any point by issuing a new declaration, which the LCR routes to the ARE’s Session Profile Override store and which immediately supersedes the prior declaration for all subsequent responses in the session.</w:t>
            </w:r>
          </w:p>
          <w:p>
            <w:pPr>
              <w:pStyle w:val="Heading2"/>
              <w:spacing w:after="240" w:before="480" w:line="312" w:lineRule="auto"/>
            </w:pPr>
            <w:r>
              <w:rPr>
                <w:color w:val="0D2A5E"/>
              </w:rPr>
              <w:t xml:space="preserve">52.10 ARE Interaction With the Fact Universe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ARE’s Stage 1 Result Set Analysis (Section 52.8.1) interacts directly with the Fact Universe architecture (Chapter 51) in three specific ways:</w:t>
            </w:r>
          </w:p>
          <w:p>
            <w:pPr>
              <w:spacing w:after="240" w:line="408" w:lineRule="auto"/>
            </w:pPr>
            <w:r>
              <w:rPr>
                <w:rFonts w:ascii="Calibri" w:cs="Calibri" w:eastAsia="Calibri" w:hAnsi="Calibri"/>
                <w:b/>
                <w:bCs/>
                <w:i w:val="false"/>
                <w:iCs w:val="false"/>
                <w:strike w:val="false"/>
                <w:color w:val="333333"/>
                <w:sz w:val="22"/>
                <w:szCs w:val="22"/>
              </w:rPr>
              <w:t xml:space="preserve">Confidence-Calibrated Hedging:</w:t>
            </w:r>
            <w:r>
              <w:rPr>
                <w:rFonts w:ascii="Calibri" w:cs="Calibri" w:eastAsia="Calibri" w:hAnsi="Calibri"/>
                <w:b w:val="false"/>
                <w:bCs w:val="false"/>
                <w:i w:val="false"/>
                <w:iCs w:val="false"/>
                <w:strike w:val="false"/>
                <w:color w:val="000000"/>
                <w:sz w:val="22"/>
                <w:szCs w:val="22"/>
              </w:rPr>
              <w:t xml:space="preserve"> the ARE reads the confidence_trajectory of Fact Units in the result set. Facts with low or declining confidence trajectories receive a mandatory Hedged Language instruction in the Generation Directive, instructing the NLGE to phrase those specific claims with appropriate epistemic qualification (“evidence suggests,” “current data indicates”) rather than as bare assertions.</w:t>
            </w:r>
          </w:p>
          <w:p>
            <w:pPr>
              <w:spacing w:after="240" w:line="408" w:lineRule="auto"/>
            </w:pPr>
            <w:r>
              <w:rPr>
                <w:rFonts w:ascii="Calibri" w:cs="Calibri" w:eastAsia="Calibri" w:hAnsi="Calibri"/>
                <w:b/>
                <w:bCs/>
                <w:i w:val="false"/>
                <w:iCs w:val="false"/>
                <w:strike w:val="false"/>
                <w:color w:val="333333"/>
                <w:sz w:val="22"/>
                <w:szCs w:val="22"/>
              </w:rPr>
              <w:t xml:space="preserve">Source Type Transparency:</w:t>
            </w:r>
            <w:r>
              <w:rPr>
                <w:rFonts w:ascii="Calibri" w:cs="Calibri" w:eastAsia="Calibri" w:hAnsi="Calibri"/>
                <w:b w:val="false"/>
                <w:bCs w:val="false"/>
                <w:i w:val="false"/>
                <w:iCs w:val="false"/>
                <w:strike w:val="false"/>
                <w:color w:val="000000"/>
                <w:sz w:val="22"/>
                <w:szCs w:val="22"/>
              </w:rPr>
              <w:t xml:space="preserve"> the ARE reads the ingestion_source_type of result set Fact Units. Facts sourced from SENSOR or social media inputs (via SMNP) receive a Source Advisory in the Generation Directive. Facts sourced from peer-reviewed BATCH-ingested corpora receive a Source Quality Indicator that the NLGE may include in the response provenance at expert Expertise Levels.</w:t>
            </w:r>
          </w:p>
          <w:p>
            <w:pPr>
              <w:spacing w:after="240" w:line="408" w:lineRule="auto"/>
            </w:pPr>
            <w:r>
              <w:rPr>
                <w:rFonts w:ascii="Calibri" w:cs="Calibri" w:eastAsia="Calibri" w:hAnsi="Calibri"/>
                <w:b/>
                <w:bCs/>
                <w:i w:val="false"/>
                <w:iCs w:val="false"/>
                <w:strike w:val="false"/>
                <w:color w:val="333333"/>
                <w:sz w:val="22"/>
                <w:szCs w:val="22"/>
              </w:rPr>
              <w:t xml:space="preserve">Temporal Freshness Advisory:</w:t>
            </w:r>
            <w:r>
              <w:rPr>
                <w:rFonts w:ascii="Calibri" w:cs="Calibri" w:eastAsia="Calibri" w:hAnsi="Calibri"/>
                <w:b w:val="false"/>
                <w:bCs w:val="false"/>
                <w:i w:val="false"/>
                <w:iCs w:val="false"/>
                <w:strike w:val="false"/>
                <w:color w:val="000000"/>
                <w:sz w:val="22"/>
                <w:szCs w:val="22"/>
              </w:rPr>
              <w:t xml:space="preserve"> the ARE reads the arrival_timestamp and TemporalValue of result set Fact Units. Where there is a significant gap between the TemporalValue of the most recent Fact Unit in the result set and the current query timestamp — configurable threshold, default 24 months — the ARE generates a Temporal Freshness Advisory in the Generation Directive, instructing the NLGE to note the age of the evidence base in the response.</w:t>
            </w:r>
          </w:p>
          <w:p>
            <w:pPr>
              <w:pStyle w:val="Heading2"/>
              <w:spacing w:after="240" w:before="480" w:line="312" w:lineRule="auto"/>
            </w:pPr>
            <w:r>
              <w:rPr>
                <w:color w:val="0D2A5E"/>
              </w:rPr>
              <w:t xml:space="preserve">52.11 ARE Interaction With the NLIL</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ARE integrates with the NLIL (Chapter 50) through two integration points:</w:t>
            </w:r>
          </w:p>
          <w:p>
            <w:pPr>
              <w:spacing w:after="240" w:line="408" w:lineRule="auto"/>
            </w:pPr>
            <w:r>
              <w:rPr>
                <w:rFonts w:ascii="Calibri" w:cs="Calibri" w:eastAsia="Calibri" w:hAnsi="Calibri"/>
                <w:b/>
                <w:bCs/>
                <w:i w:val="false"/>
                <w:iCs w:val="false"/>
                <w:strike w:val="false"/>
                <w:color w:val="333333"/>
                <w:sz w:val="22"/>
                <w:szCs w:val="22"/>
              </w:rPr>
              <w:t xml:space="preserve">SPE Ergonomic Preference Feed:</w:t>
            </w:r>
            <w:r>
              <w:rPr>
                <w:rFonts w:ascii="Calibri" w:cs="Calibri" w:eastAsia="Calibri" w:hAnsi="Calibri"/>
                <w:b w:val="false"/>
                <w:bCs w:val="false"/>
                <w:i w:val="false"/>
                <w:iCs w:val="false"/>
                <w:strike w:val="false"/>
                <w:color w:val="000000"/>
                <w:sz w:val="22"/>
                <w:szCs w:val="22"/>
              </w:rPr>
              <w:t xml:space="preserve"> the SPE’s ergonomic preference detection function (Chapter 50, Section 50.4.3) passes detected session communication style signals to the ARE’s Session Profile Override store in real time. As the SPE detects signals — formal register, direct phrasing, preference for structure — these are translated into Response Profile parameter adjustments (Expertise Level nudge, Format Preference update, Pedagogical Mode suggestion) and applied to subsequent responses. This ensures the ARE’s profile evolves with the conversation rather than remaining static.</w:t>
            </w:r>
          </w:p>
          <w:p>
            <w:pPr>
              <w:spacing w:after="240" w:line="408" w:lineRule="auto"/>
            </w:pPr>
            <w:r>
              <w:rPr>
                <w:rFonts w:ascii="Calibri" w:cs="Calibri" w:eastAsia="Calibri" w:hAnsi="Calibri"/>
                <w:b/>
                <w:bCs/>
                <w:i w:val="false"/>
                <w:iCs w:val="false"/>
                <w:strike w:val="false"/>
                <w:color w:val="333333"/>
                <w:sz w:val="22"/>
                <w:szCs w:val="22"/>
              </w:rPr>
              <w:t xml:space="preserve">NLGE Generation Directive Binding:</w:t>
            </w:r>
            <w:r>
              <w:rPr>
                <w:rFonts w:ascii="Calibri" w:cs="Calibri" w:eastAsia="Calibri" w:hAnsi="Calibri"/>
                <w:b w:val="false"/>
                <w:bCs w:val="false"/>
                <w:i w:val="false"/>
                <w:iCs w:val="false"/>
                <w:strike w:val="false"/>
                <w:color w:val="000000"/>
                <w:sz w:val="22"/>
                <w:szCs w:val="22"/>
              </w:rPr>
              <w:t xml:space="preserve"> the Generation Directive produced by the ARE is passed to the NLGE as a binding constraint set — not as an advisory. The NLGE must comply with every parameter in the Generation Directive. If the NLGE’s default generation behavior would produce output that violates a Generation Directive constraint (for example, including jargon at Expertise Level 1, or omitting a mandatory Clinical Evidence Level at MEDICAL_CLINICAL), the Generation Directive constraint takes precedence. The NLGE logs any constraint conflicts to the ARE Compliance Log for operator review.</w:t>
            </w:r>
          </w:p>
          <w:p>
            <w:pPr>
              <w:pStyle w:val="Heading2"/>
              <w:spacing w:after="120" w:before="240" w:line="288" w:lineRule="auto"/>
            </w:pPr>
            <w:r>
              <w:rPr>
                <w:rFonts w:ascii="Calibri" w:cs="Calibri" w:eastAsia="Calibri" w:hAnsi="Calibri"/>
                <w:color w:val="000000"/>
                <w:sz w:val="36"/>
                <w:szCs w:val="36"/>
              </w:rPr>
              <w:t xml:space="preserve">52.13 Interactive Mode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Response Profile (§52.3), Discipline Mode Registry (§52.5), and Pedagogical Mode (§52.9) govern how a single response is written, the Interactive Mode Registry governs a broader question: what kind of session is the reader in at all — a one-shot factual lookup, a multi-turn exploratory conversation, a structured lesson, an assessment, or a full immersive walkthrough. This section formalizes QueryBook's Interactive Modes as a first-class, author-bounded registry.</w:t>
            </w:r>
          </w:p>
          <w:p>
            <w:pPr>
              <w:pStyle w:val="Heading3"/>
              <w:spacing w:after="120" w:before="200" w:line="288" w:lineRule="auto"/>
            </w:pPr>
            <w:r>
              <w:rPr>
                <w:rFonts w:ascii="Calibri" w:cs="Calibri" w:eastAsia="Calibri" w:hAnsi="Calibri"/>
                <w:color w:val="000000"/>
                <w:sz w:val="28"/>
                <w:szCs w:val="28"/>
              </w:rPr>
              <w:t xml:space="preserve">52.13.1 Relationship to Pedagogical Mode and Discipline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Interactive Mode, Pedagogical Mode (§52.9), and Discipline Mode (§52.5) are three independent axes, not competing systems for the same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answers “what kind of session is this” — Q&amp;A, Discussion, Tutorial, Quiz, and so on (§52.13.2). It is typically fixed for the duration of a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Pedagogical Mode answers “how should this particular response be shaped” — INFORM, TEACH, BRIEF, or DEBATE (§52.9). It can vary response to response even within one Interactive Mode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answers “what subject-domain conventions apply” — MEDICAL, LEGAL, ENGINEERING, and so on (§52.5).</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Interactive Mode declares a sensible Pedagogical Mode default — Tutorial Mode defaults to TEACH, Standard Q&amp;A Mode defaults to INFORM, Discussion Mode defaults to DEBATE — but a reader's explicit response-mode declaration (§52.9) always overrides the Interactive Mode's default, exactly as it already overrides any other inferred Response Profile parameter.</w:t>
            </w:r>
          </w:p>
          <w:p>
            <w:pPr>
              <w:pStyle w:val="Heading3"/>
              <w:spacing w:after="120" w:before="200" w:line="288" w:lineRule="auto"/>
            </w:pPr>
            <w:r>
              <w:rPr>
                <w:rFonts w:ascii="Calibri" w:cs="Calibri" w:eastAsia="Calibri" w:hAnsi="Calibri"/>
                <w:color w:val="000000"/>
                <w:sz w:val="28"/>
                <w:szCs w:val="28"/>
              </w:rPr>
              <w:t xml:space="preserve">52.13.2 The Interactive Mode Catalog</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defines the following Interactive Modes. All are author-bounded: none may introduce content, facts, or interpretations from outside the book's Fact Graph and author-defined knowledge base unless the author's Custom Ingestion Template (D0.5.1) explicitly permits it — this is a session-type catalog, not an exception to the Without-Information Rule or any other Domain 0 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Definition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Default Pedagogical Mode</w:t>
                  </w:r>
                </w:p>
              </w:tc>
            </w:tr>
            <w:tr>
              <w:tc>
                <w:tcPr>
                  <w:tcW w:type="pct" w:w="33%"/>
                </w:tcPr>
                <w:p>
                  <w:r>
                    <w:rPr>
                      <w:rFonts w:ascii="Calibri" w:cs="Calibri" w:eastAsia="Calibri" w:hAnsi="Calibri"/>
                      <w:b w:val="false"/>
                      <w:bCs w:val="false"/>
                      <w:i w:val="false"/>
                      <w:iCs w:val="false"/>
                      <w:strike w:val="false"/>
                      <w:color w:val="000000"/>
                      <w:sz w:val="19"/>
                      <w:szCs w:val="19"/>
                    </w:rPr>
                    <w:t xml:space="preserve">Standard Q&amp;A (default)</w:t>
                  </w:r>
                </w:p>
              </w:tc>
              <w:tc>
                <w:tcPr>
                  <w:tcW w:type="pct" w:w="33%"/>
                </w:tcPr>
                <w:p>
                  <w:r>
                    <w:rPr>
                      <w:rFonts w:ascii="Calibri" w:cs="Calibri" w:eastAsia="Calibri" w:hAnsi="Calibri"/>
                      <w:b w:val="false"/>
                      <w:bCs w:val="false"/>
                      <w:i w:val="false"/>
                      <w:iCs w:val="false"/>
                      <w:strike w:val="false"/>
                      <w:color w:val="000000"/>
                      <w:sz w:val="19"/>
                      <w:szCs w:val="19"/>
                    </w:rPr>
                    <w:t xml:space="preserve">Direct answers retrieved from the book's content; no multi-turn state required.</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Guided Exploration</w:t>
                  </w:r>
                </w:p>
              </w:tc>
              <w:tc>
                <w:tcPr>
                  <w:tcW w:type="pct" w:w="33%"/>
                </w:tcPr>
                <w:p>
                  <w:r>
                    <w:rPr>
                      <w:rFonts w:ascii="Calibri" w:cs="Calibri" w:eastAsia="Calibri" w:hAnsi="Calibri"/>
                      <w:b w:val="false"/>
                      <w:bCs w:val="false"/>
                      <w:i w:val="false"/>
                      <w:iCs w:val="false"/>
                      <w:strike w:val="false"/>
                      <w:color w:val="000000"/>
                      <w:sz w:val="19"/>
                      <w:szCs w:val="19"/>
                    </w:rPr>
                    <w:t xml:space="preserve">Multi-turn dialogue that guides the reader through concepts, sections, or arguments with adaptive, context-aware follow-ups.</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Discussion</w:t>
                  </w:r>
                </w:p>
              </w:tc>
              <w:tc>
                <w:tcPr>
                  <w:tcW w:type="pct" w:w="33%"/>
                </w:tcPr>
                <w:p>
                  <w:r>
                    <w:rPr>
                      <w:rFonts w:ascii="Calibri" w:cs="Calibri" w:eastAsia="Calibri" w:hAnsi="Calibri"/>
                      <w:b w:val="false"/>
                      <w:bCs w:val="false"/>
                      <w:i w:val="false"/>
                      <w:iCs w:val="false"/>
                      <w:strike w:val="false"/>
                      <w:color w:val="000000"/>
                      <w:sz w:val="19"/>
                      <w:szCs w:val="19"/>
                    </w:rPr>
                    <w:t xml:space="preserve">Authoritative, critical, multi-perspective discourse strictly bounded to the book's content (§52.13.3).</w:t>
                  </w:r>
                </w:p>
              </w:tc>
              <w:tc>
                <w:tcPr>
                  <w:tcW w:type="pct" w:w="33%"/>
                </w:tcPr>
                <w:p>
                  <w:r>
                    <w:rPr>
                      <w:rFonts w:ascii="Calibri" w:cs="Calibri" w:eastAsia="Calibri" w:hAnsi="Calibri"/>
                      <w:b w:val="false"/>
                      <w:bCs w:val="false"/>
                      <w:i w:val="false"/>
                      <w:iCs w:val="false"/>
                      <w:strike w:val="false"/>
                      <w:color w:val="000000"/>
                      <w:sz w:val="19"/>
                      <w:szCs w:val="19"/>
                    </w:rPr>
                    <w:t xml:space="preserve">DEBATE</w:t>
                  </w:r>
                </w:p>
              </w:tc>
            </w:tr>
            <w:tr>
              <w:tc>
                <w:tcPr>
                  <w:tcW w:type="pct" w:w="33%"/>
                </w:tcPr>
                <w:p>
                  <w:r>
                    <w:rPr>
                      <w:rFonts w:ascii="Calibri" w:cs="Calibri" w:eastAsia="Calibri" w:hAnsi="Calibri"/>
                      <w:b w:val="false"/>
                      <w:bCs w:val="false"/>
                      <w:i w:val="false"/>
                      <w:iCs w:val="false"/>
                      <w:strike w:val="false"/>
                      <w:color w:val="000000"/>
                      <w:sz w:val="19"/>
                      <w:szCs w:val="19"/>
                    </w:rPr>
                    <w:t xml:space="preserve">Comprehension Check</w:t>
                  </w:r>
                </w:p>
              </w:tc>
              <w:tc>
                <w:tcPr>
                  <w:tcW w:type="pct" w:w="33%"/>
                </w:tcPr>
                <w:p>
                  <w:r>
                    <w:rPr>
                      <w:rFonts w:ascii="Calibri" w:cs="Calibri" w:eastAsia="Calibri" w:hAnsi="Calibri"/>
                      <w:b w:val="false"/>
                      <w:bCs w:val="false"/>
                      <w:i w:val="false"/>
                      <w:iCs w:val="false"/>
                      <w:strike w:val="false"/>
                      <w:color w:val="000000"/>
                      <w:sz w:val="19"/>
                      <w:szCs w:val="19"/>
                    </w:rPr>
                    <w:t xml:space="preserve">Generates comprehension questions, validates reader answers, provides corrective feedback.</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Tutorial</w:t>
                  </w:r>
                </w:p>
              </w:tc>
              <w:tc>
                <w:tcPr>
                  <w:tcW w:type="pct" w:w="33%"/>
                </w:tcPr>
                <w:p>
                  <w:r>
                    <w:rPr>
                      <w:rFonts w:ascii="Calibri" w:cs="Calibri" w:eastAsia="Calibri" w:hAnsi="Calibri"/>
                      <w:b w:val="false"/>
                      <w:bCs w:val="false"/>
                      <w:i w:val="false"/>
                      <w:iCs w:val="false"/>
                      <w:strike w:val="false"/>
                      <w:color w:val="000000"/>
                      <w:sz w:val="19"/>
                      <w:szCs w:val="19"/>
                    </w:rPr>
                    <w:t xml:space="preserve">Structured, sequential, step-by-step instruction with progressive difficulty and embedded examples.</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Review</w:t>
                  </w:r>
                </w:p>
              </w:tc>
              <w:tc>
                <w:tcPr>
                  <w:tcW w:type="pct" w:w="33%"/>
                </w:tcPr>
                <w:p>
                  <w:r>
                    <w:rPr>
                      <w:rFonts w:ascii="Calibri" w:cs="Calibri" w:eastAsia="Calibri" w:hAnsi="Calibri"/>
                      <w:b w:val="false"/>
                      <w:bCs w:val="false"/>
                      <w:i w:val="false"/>
                      <w:iCs w:val="false"/>
                      <w:strike w:val="false"/>
                      <w:color w:val="000000"/>
                      <w:sz w:val="19"/>
                      <w:szCs w:val="19"/>
                    </w:rPr>
                    <w:t xml:space="preserve">Condensed summaries and thematic grouping for retention and pre-review.</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Quiz / Test</w:t>
                  </w:r>
                </w:p>
              </w:tc>
              <w:tc>
                <w:tcPr>
                  <w:tcW w:type="pct" w:w="33%"/>
                </w:tcPr>
                <w:p>
                  <w:r>
                    <w:rPr>
                      <w:rFonts w:ascii="Calibri" w:cs="Calibri" w:eastAsia="Calibri" w:hAnsi="Calibri"/>
                      <w:b w:val="false"/>
                      <w:bCs w:val="false"/>
                      <w:i w:val="false"/>
                      <w:iCs w:val="false"/>
                      <w:strike w:val="false"/>
                      <w:color w:val="000000"/>
                      <w:sz w:val="19"/>
                      <w:szCs w:val="19"/>
                    </w:rPr>
                    <w:t xml:space="preserve">Generates scored assessments from the book's content, with difficulty scaling.</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Progress Monitor</w:t>
                  </w:r>
                </w:p>
              </w:tc>
              <w:tc>
                <w:tcPr>
                  <w:tcW w:type="pct" w:w="33%"/>
                </w:tcPr>
                <w:p>
                  <w:r>
                    <w:rPr>
                      <w:rFonts w:ascii="Calibri" w:cs="Calibri" w:eastAsia="Calibri" w:hAnsi="Calibri"/>
                      <w:b w:val="false"/>
                      <w:bCs w:val="false"/>
                      <w:i w:val="false"/>
                      <w:iCs w:val="false"/>
                      <w:strike w:val="false"/>
                      <w:color w:val="000000"/>
                      <w:sz w:val="19"/>
                      <w:szCs w:val="19"/>
                    </w:rPr>
                    <w:t xml:space="preserve">Tracks reader progress through the book and adapts subsequent content and difficulty accordingly.</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Outside Queries</w:t>
                  </w:r>
                </w:p>
              </w:tc>
              <w:tc>
                <w:tcPr>
                  <w:tcW w:type="pct" w:w="33%"/>
                </w:tcPr>
                <w:p>
                  <w:r>
                    <w:rPr>
                      <w:rFonts w:ascii="Calibri" w:cs="Calibri" w:eastAsia="Calibri" w:hAnsi="Calibri"/>
                      <w:b w:val="false"/>
                      <w:bCs w:val="false"/>
                      <w:i w:val="false"/>
                      <w:iCs w:val="false"/>
                      <w:strike w:val="false"/>
                      <w:color w:val="000000"/>
                      <w:sz w:val="19"/>
                      <w:szCs w:val="19"/>
                    </w:rPr>
                    <w:t xml:space="preserve">Detects and handles queries outside the book's scope per author-defined rules — decline or redirect, never silently answer from outside the Fact Graph.</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Image</w:t>
                  </w:r>
                </w:p>
              </w:tc>
              <w:tc>
                <w:tcPr>
                  <w:tcW w:type="pct" w:w="33%"/>
                </w:tcPr>
                <w:p>
                  <w:r>
                    <w:rPr>
                      <w:rFonts w:ascii="Calibri" w:cs="Calibri" w:eastAsia="Calibri" w:hAnsi="Calibri"/>
                      <w:b w:val="false"/>
                      <w:bCs w:val="false"/>
                      <w:i w:val="false"/>
                      <w:iCs w:val="false"/>
                      <w:strike w:val="false"/>
                      <w:color w:val="000000"/>
                      <w:sz w:val="19"/>
                      <w:szCs w:val="19"/>
                    </w:rPr>
                    <w:t xml:space="preserve">Retrieves or generates diagrams and illustrations referenced in the book, where the author permits.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Video</w:t>
                  </w:r>
                </w:p>
              </w:tc>
              <w:tc>
                <w:tcPr>
                  <w:tcW w:type="pct" w:w="33%"/>
                </w:tcPr>
                <w:p>
                  <w:r>
                    <w:rPr>
                      <w:rFonts w:ascii="Calibri" w:cs="Calibri" w:eastAsia="Calibri" w:hAnsi="Calibri"/>
                      <w:b w:val="false"/>
                      <w:bCs w:val="false"/>
                      <w:i w:val="false"/>
                      <w:iCs w:val="false"/>
                      <w:strike w:val="false"/>
                      <w:color w:val="000000"/>
                      <w:sz w:val="19"/>
                      <w:szCs w:val="19"/>
                    </w:rPr>
                    <w:t xml:space="preserve">Plays embedded video content with time-coded explanations.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Audio</w:t>
                  </w:r>
                </w:p>
              </w:tc>
              <w:tc>
                <w:tcPr>
                  <w:tcW w:type="pct" w:w="33%"/>
                </w:tcPr>
                <w:p>
                  <w:r>
                    <w:rPr>
                      <w:rFonts w:ascii="Calibri" w:cs="Calibri" w:eastAsia="Calibri" w:hAnsi="Calibri"/>
                      <w:b w:val="false"/>
                      <w:bCs w:val="false"/>
                      <w:i w:val="false"/>
                      <w:iCs w:val="false"/>
                      <w:strike w:val="false"/>
                      <w:color w:val="000000"/>
                      <w:sz w:val="19"/>
                      <w:szCs w:val="19"/>
                    </w:rPr>
                    <w:t xml:space="preserve">Delivers audio narration, commentary, or audio-based summaries.</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Live</w:t>
                  </w:r>
                </w:p>
              </w:tc>
              <w:tc>
                <w:tcPr>
                  <w:tcW w:type="pct" w:w="33%"/>
                </w:tcPr>
                <w:p>
                  <w:r>
                    <w:rPr>
                      <w:rFonts w:ascii="Calibri" w:cs="Calibri" w:eastAsia="Calibri" w:hAnsi="Calibri"/>
                      <w:b w:val="false"/>
                      <w:bCs w:val="false"/>
                      <w:i w:val="false"/>
                      <w:iCs w:val="false"/>
                      <w:strike w:val="false"/>
                      <w:color w:val="000000"/>
                      <w:sz w:val="19"/>
                      <w:szCs w:val="19"/>
                    </w:rPr>
                    <w:t xml:space="preserve">Real-time synchronous interaction, e.g. a live author Q&amp;A session.</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QR-Code</w:t>
                  </w:r>
                </w:p>
              </w:tc>
              <w:tc>
                <w:tcPr>
                  <w:tcW w:type="pct" w:w="33%"/>
                </w:tcPr>
                <w:p>
                  <w:r>
                    <w:rPr>
                      <w:rFonts w:ascii="Calibri" w:cs="Calibri" w:eastAsia="Calibri" w:hAnsi="Calibri"/>
                      <w:b w:val="false"/>
                      <w:bCs w:val="false"/>
                      <w:i w:val="false"/>
                      <w:iCs w:val="false"/>
                      <w:strike w:val="false"/>
                      <w:color w:val="000000"/>
                      <w:sz w:val="19"/>
                      <w:szCs w:val="19"/>
                    </w:rPr>
                    <w:t xml:space="preserve">Physical-to-digital trigger: scanning a code embedded in a print book opens a specific QueryBook interaction.</w:t>
                  </w:r>
                </w:p>
              </w:tc>
              <w:tc>
                <w:tcPr>
                  <w:tcW w:type="pct" w:w="33%"/>
                </w:tcPr>
                <w:p>
                  <w:r>
                    <w:rPr>
                      <w:rFonts w:ascii="Calibri" w:cs="Calibri" w:eastAsia="Calibri" w:hAnsi="Calibri"/>
                      <w:b w:val="false"/>
                      <w:bCs w:val="false"/>
                      <w:i w:val="false"/>
                      <w:iCs w:val="false"/>
                      <w:strike w:val="false"/>
                      <w:color w:val="000000"/>
                      <w:sz w:val="19"/>
                      <w:szCs w:val="19"/>
                    </w:rPr>
                    <w:t xml:space="preserve">— (trigger, not a session type)</w:t>
                  </w:r>
                </w:p>
              </w:tc>
            </w:tr>
            <w:tr>
              <w:tc>
                <w:tcPr>
                  <w:tcW w:type="pct" w:w="33%"/>
                </w:tcPr>
                <w:p>
                  <w:r>
                    <w:rPr>
                      <w:rFonts w:ascii="Calibri" w:cs="Calibri" w:eastAsia="Calibri" w:hAnsi="Calibri"/>
                      <w:b w:val="false"/>
                      <w:bCs w:val="false"/>
                      <w:i w:val="false"/>
                      <w:iCs w:val="false"/>
                      <w:strike w:val="false"/>
                      <w:color w:val="000000"/>
                      <w:sz w:val="19"/>
                      <w:szCs w:val="19"/>
                    </w:rPr>
                    <w:t xml:space="preserve">SMS</w:t>
                  </w:r>
                </w:p>
              </w:tc>
              <w:tc>
                <w:tcPr>
                  <w:tcW w:type="pct" w:w="33%"/>
                </w:tcPr>
                <w:p>
                  <w:r>
                    <w:rPr>
                      <w:rFonts w:ascii="Calibri" w:cs="Calibri" w:eastAsia="Calibri" w:hAnsi="Calibri"/>
                      <w:b w:val="false"/>
                      <w:bCs w:val="false"/>
                      <w:i w:val="false"/>
                      <w:iCs w:val="false"/>
                      <w:strike w:val="false"/>
                      <w:color w:val="000000"/>
                      <w:sz w:val="19"/>
                      <w:szCs w:val="19"/>
                    </w:rPr>
                    <w:t xml:space="preserve">Text-only, lightweight interaction for low-bandwidth or mobile-only contexts.</w:t>
                  </w:r>
                </w:p>
              </w:tc>
              <w:tc>
                <w:tcPr>
                  <w:tcW w:type="pct" w:w="33%"/>
                </w:tcPr>
                <w:p>
                  <w:r>
                    <w:rPr>
                      <w:rFonts w:ascii="Calibri" w:cs="Calibri" w:eastAsia="Calibri" w:hAnsi="Calibri"/>
                      <w:b w:val="false"/>
                      <w:bCs w:val="false"/>
                      <w:i w:val="false"/>
                      <w:iCs w:val="false"/>
                      <w:strike w:val="false"/>
                      <w:color w:val="000000"/>
                      <w:sz w:val="19"/>
                      <w:szCs w:val="19"/>
                    </w:rPr>
                    <w:t xml:space="preserve">BRIEF</w:t>
                  </w:r>
                </w:p>
              </w:tc>
            </w:tr>
            <w:tr>
              <w:tc>
                <w:tcPr>
                  <w:tcW w:type="pct" w:w="33%"/>
                </w:tcPr>
                <w:p>
                  <w:r>
                    <w:rPr>
                      <w:rFonts w:ascii="Calibri" w:cs="Calibri" w:eastAsia="Calibri" w:hAnsi="Calibri"/>
                      <w:b w:val="false"/>
                      <w:bCs w:val="false"/>
                      <w:i w:val="false"/>
                      <w:iCs w:val="false"/>
                      <w:strike w:val="false"/>
                      <w:color w:val="000000"/>
                      <w:sz w:val="19"/>
                      <w:szCs w:val="19"/>
                    </w:rPr>
                    <w:t xml:space="preserve">Chat Archive</w:t>
                  </w:r>
                </w:p>
              </w:tc>
              <w:tc>
                <w:tcPr>
                  <w:tcW w:type="pct" w:w="33%"/>
                </w:tcPr>
                <w:p>
                  <w:r>
                    <w:rPr>
                      <w:rFonts w:ascii="Calibri" w:cs="Calibri" w:eastAsia="Calibri" w:hAnsi="Calibri"/>
                      <w:b w:val="false"/>
                      <w:bCs w:val="false"/>
                      <w:i w:val="false"/>
                      <w:iCs w:val="false"/>
                      <w:strike w:val="false"/>
                      <w:color w:val="000000"/>
                      <w:sz w:val="19"/>
                      <w:szCs w:val="19"/>
                    </w:rPr>
                    <w:t xml:space="preserve">Stores and provides searchable retrieval of a reader's prior interaction history.</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Edition Comparison</w:t>
                  </w:r>
                </w:p>
              </w:tc>
              <w:tc>
                <w:tcPr>
                  <w:tcW w:type="pct" w:w="33%"/>
                </w:tcPr>
                <w:p>
                  <w:r>
                    <w:rPr>
                      <w:rFonts w:ascii="Calibri" w:cs="Calibri" w:eastAsia="Calibri" w:hAnsi="Calibri"/>
                      <w:b w:val="false"/>
                      <w:bCs w:val="false"/>
                      <w:i w:val="false"/>
                      <w:iCs w:val="false"/>
                      <w:strike w:val="false"/>
                      <w:color w:val="000000"/>
                      <w:sz w:val="19"/>
                      <w:szCs w:val="19"/>
                    </w:rPr>
                    <w:t xml:space="preserve">Compares content and highlights changes across different editions of the same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Document Navigation</w:t>
                  </w:r>
                </w:p>
              </w:tc>
              <w:tc>
                <w:tcPr>
                  <w:tcW w:type="pct" w:w="33%"/>
                </w:tcPr>
                <w:p>
                  <w:r>
                    <w:rPr>
                      <w:rFonts w:ascii="Calibri" w:cs="Calibri" w:eastAsia="Calibri" w:hAnsi="Calibri"/>
                      <w:b w:val="false"/>
                      <w:bCs w:val="false"/>
                      <w:i w:val="false"/>
                      <w:iCs w:val="false"/>
                      <w:strike w:val="false"/>
                      <w:color w:val="000000"/>
                      <w:sz w:val="19"/>
                      <w:szCs w:val="19"/>
                    </w:rPr>
                    <w:t xml:space="preserve">Structured jump-to-section and structural-map navigation.</w:t>
                  </w:r>
                </w:p>
              </w:tc>
              <w:tc>
                <w:tcPr>
                  <w:tcW w:type="pct" w:w="33%"/>
                </w:tcPr>
                <w:p>
                  <w:r>
                    <w:rPr>
                      <w:rFonts w:ascii="Calibri" w:cs="Calibri" w:eastAsia="Calibri" w:hAnsi="Calibri"/>
                      <w:b w:val="false"/>
                      <w:bCs w:val="false"/>
                      <w:i w:val="false"/>
                      <w:iCs w:val="false"/>
                      <w:strike w:val="false"/>
                      <w:color w:val="000000"/>
                      <w:sz w:val="19"/>
                      <w:szCs w:val="19"/>
                    </w:rPr>
                    <w:t xml:space="preserve">— (delivery channel)</w:t>
                  </w:r>
                </w:p>
              </w:tc>
            </w:tr>
            <w:tr>
              <w:tc>
                <w:tcPr>
                  <w:tcW w:type="pct" w:w="33%"/>
                </w:tcPr>
                <w:p>
                  <w:r>
                    <w:rPr>
                      <w:rFonts w:ascii="Calibri" w:cs="Calibri" w:eastAsia="Calibri" w:hAnsi="Calibri"/>
                      <w:b w:val="false"/>
                      <w:bCs w:val="false"/>
                      <w:i w:val="false"/>
                      <w:iCs w:val="false"/>
                      <w:strike w:val="false"/>
                      <w:color w:val="000000"/>
                      <w:sz w:val="19"/>
                      <w:szCs w:val="19"/>
                    </w:rPr>
                    <w:t xml:space="preserve">Semantic Exploration</w:t>
                  </w:r>
                </w:p>
              </w:tc>
              <w:tc>
                <w:tcPr>
                  <w:tcW w:type="pct" w:w="33%"/>
                </w:tcPr>
                <w:p>
                  <w:r>
                    <w:rPr>
                      <w:rFonts w:ascii="Calibri" w:cs="Calibri" w:eastAsia="Calibri" w:hAnsi="Calibri"/>
                      <w:b w:val="false"/>
                      <w:bCs w:val="false"/>
                      <w:i w:val="false"/>
                      <w:iCs w:val="false"/>
                      <w:strike w:val="false"/>
                      <w:color w:val="000000"/>
                      <w:sz w:val="19"/>
                      <w:szCs w:val="19"/>
                    </w:rPr>
                    <w:t xml:space="preserve">Reader-driven exploration of concept relationships via the Ontology Mesh (Chapter 6) and Scenario Graph (Chapter 11).</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Entity-Focused</w:t>
                  </w:r>
                </w:p>
              </w:tc>
              <w:tc>
                <w:tcPr>
                  <w:tcW w:type="pct" w:w="33%"/>
                </w:tcPr>
                <w:p>
                  <w:r>
                    <w:rPr>
                      <w:rFonts w:ascii="Calibri" w:cs="Calibri" w:eastAsia="Calibri" w:hAnsi="Calibri"/>
                      <w:b w:val="false"/>
                      <w:bCs w:val="false"/>
                      <w:i w:val="false"/>
                      <w:iCs w:val="false"/>
                      <w:strike w:val="false"/>
                      <w:color w:val="000000"/>
                      <w:sz w:val="19"/>
                      <w:szCs w:val="19"/>
                    </w:rPr>
                    <w:t xml:space="preserve">Detailed information and relationship mapping for a specific entity — person, concept, or character — defined in the book.</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Timeline Reconstruction</w:t>
                  </w:r>
                </w:p>
              </w:tc>
              <w:tc>
                <w:tcPr>
                  <w:tcW w:type="pct" w:w="33%"/>
                </w:tcPr>
                <w:p>
                  <w:r>
                    <w:rPr>
                      <w:rFonts w:ascii="Calibri" w:cs="Calibri" w:eastAsia="Calibri" w:hAnsi="Calibri"/>
                      <w:b w:val="false"/>
                      <w:bCs w:val="false"/>
                      <w:i w:val="false"/>
                      <w:iCs w:val="false"/>
                      <w:strike w:val="false"/>
                      <w:color w:val="000000"/>
                      <w:sz w:val="19"/>
                      <w:szCs w:val="19"/>
                    </w:rPr>
                    <w:t xml:space="preserve">Reconstructs chronological event sequences, factual or narrative, from the book's content.</w:t>
                  </w:r>
                </w:p>
              </w:tc>
              <w:tc>
                <w:tcPr>
                  <w:tcW w:type="pct" w:w="33%"/>
                </w:tcPr>
                <w:p>
                  <w:r>
                    <w:rPr>
                      <w:rFonts w:ascii="Calibri" w:cs="Calibri" w:eastAsia="Calibri" w:hAnsi="Calibri"/>
                      <w:b w:val="false"/>
                      <w:bCs w:val="false"/>
                      <w:i w:val="false"/>
                      <w:iCs w:val="false"/>
                      <w:strike w:val="false"/>
                      <w:color w:val="000000"/>
                      <w:sz w:val="19"/>
                      <w:szCs w:val="19"/>
                    </w:rPr>
                    <w:t xml:space="preserve">INFORM</w:t>
                  </w:r>
                </w:p>
              </w:tc>
            </w:tr>
            <w:tr>
              <w:tc>
                <w:tcPr>
                  <w:tcW w:type="pct" w:w="33%"/>
                </w:tcPr>
                <w:p>
                  <w:r>
                    <w:rPr>
                      <w:rFonts w:ascii="Calibri" w:cs="Calibri" w:eastAsia="Calibri" w:hAnsi="Calibri"/>
                      <w:b w:val="false"/>
                      <w:bCs w:val="false"/>
                      <w:i w:val="false"/>
                      <w:iCs w:val="false"/>
                      <w:strike w:val="false"/>
                      <w:color w:val="000000"/>
                      <w:sz w:val="19"/>
                      <w:szCs w:val="19"/>
                    </w:rPr>
                    <w:t xml:space="preserve">Engineering</w:t>
                  </w:r>
                </w:p>
              </w:tc>
              <w:tc>
                <w:tcPr>
                  <w:tcW w:type="pct" w:w="33%"/>
                </w:tcPr>
                <w:p>
                  <w:r>
                    <w:rPr>
                      <w:rFonts w:ascii="Calibri" w:cs="Calibri" w:eastAsia="Calibri" w:hAnsi="Calibri"/>
                      <w:b w:val="false"/>
                      <w:bCs w:val="false"/>
                      <w:i w:val="false"/>
                      <w:iCs w:val="false"/>
                      <w:strike w:val="false"/>
                      <w:color w:val="000000"/>
                      <w:sz w:val="19"/>
                      <w:szCs w:val="19"/>
                    </w:rPr>
                    <w:t xml:space="preserve">Technical, algorithmic, system-level explanations for books with technical content.</w:t>
                  </w:r>
                </w:p>
              </w:tc>
              <w:tc>
                <w:tcPr>
                  <w:tcW w:type="pct" w:w="33%"/>
                </w:tcPr>
                <w:p>
                  <w:r>
                    <w:rPr>
                      <w:rFonts w:ascii="Calibri" w:cs="Calibri" w:eastAsia="Calibri" w:hAnsi="Calibri"/>
                      <w:b w:val="false"/>
                      <w:bCs w:val="false"/>
                      <w:i w:val="false"/>
                      <w:iCs w:val="false"/>
                      <w:strike w:val="false"/>
                      <w:color w:val="000000"/>
                      <w:sz w:val="19"/>
                      <w:szCs w:val="19"/>
                    </w:rPr>
                    <w:t xml:space="preserve">TEACH</w:t>
                  </w:r>
                </w:p>
              </w:tc>
            </w:tr>
            <w:tr>
              <w:tc>
                <w:tcPr>
                  <w:tcW w:type="pct" w:w="33%"/>
                </w:tcPr>
                <w:p>
                  <w:r>
                    <w:rPr>
                      <w:rFonts w:ascii="Calibri" w:cs="Calibri" w:eastAsia="Calibri" w:hAnsi="Calibri"/>
                      <w:b w:val="false"/>
                      <w:bCs w:val="false"/>
                      <w:i w:val="false"/>
                      <w:iCs w:val="false"/>
                      <w:strike w:val="false"/>
                      <w:color w:val="000000"/>
                      <w:sz w:val="19"/>
                      <w:szCs w:val="19"/>
                    </w:rPr>
                    <w:t xml:space="preserve">Custom</w:t>
                  </w:r>
                </w:p>
              </w:tc>
              <w:tc>
                <w:tcPr>
                  <w:tcW w:type="pct" w:w="33%"/>
                </w:tcPr>
                <w:p>
                  <w:r>
                    <w:rPr>
                      <w:rFonts w:ascii="Calibri" w:cs="Calibri" w:eastAsia="Calibri" w:hAnsi="Calibri"/>
                      <w:b w:val="false"/>
                      <w:bCs w:val="false"/>
                      <w:i w:val="false"/>
                      <w:iCs w:val="false"/>
                      <w:strike w:val="false"/>
                      <w:color w:val="000000"/>
                      <w:sz w:val="19"/>
                      <w:szCs w:val="19"/>
                    </w:rPr>
                    <w:t xml:space="preserve">Author-defined bespoke interaction patterns for specialized books, implemented via the same extension points as any other author customization (D0.5).</w:t>
                  </w:r>
                </w:p>
              </w:tc>
              <w:tc>
                <w:tcPr>
                  <w:tcW w:type="pct" w:w="33%"/>
                </w:tcPr>
                <w:p>
                  <w:r>
                    <w:rPr>
                      <w:rFonts w:ascii="Calibri" w:cs="Calibri" w:eastAsia="Calibri" w:hAnsi="Calibri"/>
                      <w:b w:val="false"/>
                      <w:bCs w:val="false"/>
                      <w:i w:val="false"/>
                      <w:iCs w:val="false"/>
                      <w:strike w:val="false"/>
                      <w:color w:val="000000"/>
                      <w:sz w:val="19"/>
                      <w:szCs w:val="19"/>
                    </w:rPr>
                    <w:t xml:space="preserve">author-defined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named in earlier drafts of this registry are intentionally not separate catalog entries: “Immersive VR Mode” and “Author VR Tour Mode” are not new modes requiring new architecture — they are this registry's entry points into IQR (§46.1–§46.8) and Tour and Exhibition Mode with Presenter Mode (§46.9–§46.10), respectively, which already specify this functionality in full, including the authorization and disclosure requirements Presenter Mode carries. Selecting either from the Interactive Mode Registry routes to Chapter 46; this section does not duplicate that specification. Developer Mode and Template Debug Mode are likewise not reader-facing catalog entries — they are authoring/operator tools, scoped to the same privilege requirements as any other administrative function (§9.5.1), not something a reader selects.</w:t>
            </w:r>
          </w:p>
          <w:p>
            <w:pPr>
              <w:pStyle w:val="Heading3"/>
              <w:spacing w:after="120" w:before="200" w:line="288" w:lineRule="auto"/>
            </w:pPr>
            <w:r>
              <w:rPr>
                <w:rFonts w:ascii="Calibri" w:cs="Calibri" w:eastAsia="Calibri" w:hAnsi="Calibri"/>
                <w:color w:val="000000"/>
                <w:sz w:val="28"/>
                <w:szCs w:val="28"/>
              </w:rPr>
              <w:t xml:space="preserve">52.13.2.1 Two Additional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modes are added here, found during a compatibility audit of an external draft's feature registry (Chapter 60's origin) and confirmed to be genuinely new — not covered by the 23-mode catalog above: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Contextual Footnotes: </w:t>
            </w:r>
            <w:r>
              <w:rPr>
                <w:rFonts w:ascii="Calibri" w:cs="Calibri" w:eastAsia="Calibri" w:hAnsi="Calibri"/>
                <w:b w:val="false"/>
                <w:bCs w:val="false"/>
                <w:i w:val="false"/>
                <w:iCs w:val="false"/>
                <w:strike w:val="false"/>
                <w:color w:val="000000"/>
                <w:sz w:val="22"/>
                <w:szCs w:val="22"/>
              </w:rPr>
              <w:t xml:space="preserve">inline, expandable annotations surfaced at specific points in the reading experience, sourced from the same Fact Units grounding the surrounding text (§12) rather than a separate annotation store; a footnote is fact-traceable the same way any other QueryBook output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Social Annotations: </w:t>
            </w:r>
            <w:r>
              <w:rPr>
                <w:rFonts w:ascii="Calibri" w:cs="Calibri" w:eastAsia="Calibri" w:hAnsi="Calibri"/>
                <w:b w:val="false"/>
                <w:bCs w:val="false"/>
                <w:i w:val="false"/>
                <w:iCs w:val="false"/>
                <w:strike w:val="false"/>
                <w:color w:val="000000"/>
                <w:sz w:val="22"/>
                <w:szCs w:val="22"/>
              </w:rPr>
              <w:t xml:space="preserve">reader-authored notes and highlights attached to specific passages, visible to other readers per author-configured sharing settings; stored as reader-generated Fact Units distinct from the book's own author-sourced Fact Graph, never conflated with it, and never treated as authoritative content the way the book's own Fact Units are.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Personal Notes: </w:t>
            </w:r>
            <w:r>
              <w:rPr>
                <w:rFonts w:ascii="Calibri" w:cs="Calibri" w:eastAsia="Calibri" w:hAnsi="Calibri"/>
                <w:b w:val="false"/>
                <w:bCs w:val="false"/>
                <w:i w:val="false"/>
                <w:iCs w:val="false"/>
                <w:strike w:val="false"/>
                <w:color w:val="000000"/>
                <w:sz w:val="22"/>
                <w:szCs w:val="22"/>
              </w:rPr>
              <w:t xml:space="preserve">private, reader-scoped annotations attached to a specific passage, page, diagram, or VR scene, distinct from Social Annotations' sharing model above — fully specified as its own system in Chapter 63, not a thin restatement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Both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52.13.2.2 Three Further Additions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more modes are added here, closing gaps found during a compatibility audit against an external feature inventory: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 generates study cards from a topic's Fact Units: a prompt side (a term, a question) and an answer side, drawn directly from the Fact Graph rather than paraphrased freely, so a flashcard's answer remains fact-traceable the same way any other QueryBook output is. Cards are reader-scoped by default, using the same Personal Notes sharing model (§63.4) if a reader chooses to share a deck.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 an explicit graph rendering (nodes and edges, not prose) of the concept relationships Semantic Exploration (§52.13.2) already navigates via the Ontology Mesh (Chapter 6) and Scenario Graph (Chapter 11). This is a visualization layer on Semantic Exploration's existing data, not a separate exploration mode — selecting Fact Graph Visualization renders the same underlying relationships Semantic Exploration already retrieves, as an interactive graph rather than a navigated sequence.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 a hover or tap interaction surfacing a Fact Unit's summary and citation without leaving the current view, for any Fact Unit a response, note, or board post already references. This is a presentation-layer convenience over the existing Factual Groundedness citation mechanism (Chapter 16), not a new fact-retrieval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default to INFORM Pedagogical Mode (§52.13.1) and are subject to the same Safety Substrate review as every other Interactive Mode (§52.13.6).</w:t>
            </w:r>
          </w:p>
          <w:p>
            <w:pPr>
              <w:pStyle w:val="Heading3"/>
              <w:spacing w:after="120" w:before="200" w:line="288" w:lineRule="auto"/>
            </w:pPr>
            <w:r>
              <w:rPr>
                <w:rFonts w:ascii="Calibri" w:cs="Calibri" w:eastAsia="Calibri" w:hAnsi="Calibri"/>
                <w:color w:val="000000"/>
                <w:sz w:val="28"/>
                <w:szCs w:val="28"/>
              </w:rPr>
              <w:t xml:space="preserve">52.13.3 Discussion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 is called out separately because its behavioral bounds are more consequential than most catalog entries: it authorizes the AI-Agent to analyze, critique, and adopt text-grounded viewpoints (for example, a character's perspective or a theoretical framework the book presents), not merely retrieve and restate.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Authoritative but bounded: analysis, critique, and exploration draw only on the book's internal content and author-defined knowledge base — the same Fact Graph boundary every other mode respects, with no exception.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Multi-perspective internal reasoning: the Agent may argue from a text-grounded viewpoint without that viewpoint being represented as QueryBook's own position — consistent with the evenhandedness QueryBook's underlying response generation already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Canon-faithful for fiction: for fictional works, Discussion Mode does not invent lore, plot, or characterization beyond what the text and author-approved supplementary material establish.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Author-aligned voice: tone, terminology, and conceptual posture stay consistent with the source material rather than drifting toward a generic register.</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workflow: load the author's knowledge container → load Discussion Mode's constraints → interpret the query → generate author-aligned discussion → validate against the authorial boundary → deliver. The validation step is not optional or advisory — it is the same Safety Substrate and Prime Directive review (§8.1, Domain 0) already mandatory for every other QueryBook output, applied here specifically to check that the generated discussion has not drifted outside the book's own content.</w:t>
            </w:r>
          </w:p>
          <w:p>
            <w:pPr>
              <w:pStyle w:val="Heading3"/>
              <w:spacing w:after="120" w:before="200" w:line="288" w:lineRule="auto"/>
            </w:pPr>
            <w:r>
              <w:rPr>
                <w:rFonts w:ascii="Calibri" w:cs="Calibri" w:eastAsia="Calibri" w:hAnsi="Calibri"/>
                <w:color w:val="000000"/>
                <w:sz w:val="28"/>
                <w:szCs w:val="28"/>
              </w:rPr>
              <w:t xml:space="preserve">52.13.4 Cross-Mode Relationships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general relationship patterns hold across the catalog, rather than a full pairwise matrix for every mode combination: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Extends: </w:t>
            </w:r>
            <w:r>
              <w:rPr>
                <w:rFonts w:ascii="Calibri" w:cs="Calibri" w:eastAsia="Calibri" w:hAnsi="Calibri"/>
                <w:b w:val="false"/>
                <w:bCs w:val="false"/>
                <w:i w:val="false"/>
                <w:iCs w:val="false"/>
                <w:strike w:val="false"/>
                <w:color w:val="000000"/>
                <w:sz w:val="22"/>
                <w:szCs w:val="22"/>
              </w:rPr>
              <w:t xml:space="preserve">Modes Discussion Mode extends: Guided Exploration, Standard Q&amp;A, Semantic Exploration, and Entity-Focused share Discussion Mode's conceptual territory at a lower intensity — Discussion Mode adds critical, multi-perspective analysis on top of what these modes retrieve or map.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Supports: </w:t>
            </w:r>
            <w:r>
              <w:rPr>
                <w:rFonts w:ascii="Calibri" w:cs="Calibri" w:eastAsia="Calibri" w:hAnsi="Calibri"/>
                <w:b w:val="false"/>
                <w:bCs w:val="false"/>
                <w:i w:val="false"/>
                <w:iCs w:val="false"/>
                <w:strike w:val="false"/>
                <w:color w:val="000000"/>
                <w:sz w:val="22"/>
                <w:szCs w:val="22"/>
              </w:rPr>
              <w:t xml:space="preserve">Modes that support other modes structurally: Document Navigation, Timeline Reconstruction, Review, and Progress Monitor locate, contextualize, or pace content that other modes then use — they are infrastructure other modes call on, not competing session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Bounded: </w:t>
            </w:r>
            <w:r>
              <w:rPr>
                <w:rFonts w:ascii="Calibri" w:cs="Calibri" w:eastAsia="Calibri" w:hAnsi="Calibri"/>
                <w:b w:val="false"/>
                <w:bCs w:val="false"/>
                <w:i w:val="false"/>
                <w:iCs w:val="false"/>
                <w:strike w:val="false"/>
                <w:color w:val="000000"/>
                <w:sz w:val="22"/>
                <w:szCs w:val="22"/>
              </w:rPr>
              <w:t xml:space="preserve">Modes with strict non-overlapping boundaries: Outside Queries, Quiz/Test, and the operator-only Developer and Template Debug modes occupy domains no other mode crosses into — Discussion Mode, for instance, never grades a reader the way Quiz/Test Mode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Channels: </w:t>
            </w:r>
            <w:r>
              <w:rPr>
                <w:rFonts w:ascii="Calibri" w:cs="Calibri" w:eastAsia="Calibri" w:hAnsi="Calibri"/>
                <w:b w:val="false"/>
                <w:bCs w:val="false"/>
                <w:i w:val="false"/>
                <w:iCs w:val="false"/>
                <w:strike w:val="false"/>
                <w:color w:val="000000"/>
                <w:sz w:val="22"/>
                <w:szCs w:val="22"/>
              </w:rPr>
              <w:t xml:space="preserve">Delivery channels, not content types: QR-Code, SMS, Live, Audio, Video, and Image are how content reaches the reader, not what kind of session they're in — Discussion Mode or Tutorial Mode can run over SMS with reduced verbosity, for example, without becoming a different mode.</w:t>
            </w:r>
          </w:p>
          <w:p>
            <w:pPr>
              <w:pStyle w:val="Heading3"/>
              <w:spacing w:after="120" w:before="200" w:line="288" w:lineRule="auto"/>
            </w:pPr>
            <w:r>
              <w:rPr>
                <w:rFonts w:ascii="Calibri" w:cs="Calibri" w:eastAsia="Calibri" w:hAnsi="Calibri"/>
                <w:color w:val="000000"/>
                <w:sz w:val="28"/>
                <w:szCs w:val="28"/>
              </w:rPr>
              <w:t xml:space="preserve">52.13.5 Mode Selection and Session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Interactive Mode is selected by explicit reader request (an in-app mode switch, a QR trigger, or a stated preference the Language Command Router recognizes, §50.7), by author-set default for the book or a specific section, or by QueryBook's own inference from query phrasing when neither of the above applies — in that order of precedence, matching the same Three-Tier Response Profile Governance Cascade already specified for Response Profile resolution generally (§52.7).</w:t>
            </w:r>
          </w:p>
          <w:p>
            <w:pPr>
              <w:pStyle w:val="Heading3"/>
              <w:spacing w:after="120" w:before="200" w:line="288" w:lineRule="auto"/>
            </w:pPr>
            <w:r>
              <w:rPr>
                <w:rFonts w:ascii="Calibri" w:cs="Calibri" w:eastAsia="Calibri" w:hAnsi="Calibri"/>
                <w:color w:val="000000"/>
                <w:sz w:val="28"/>
                <w:szCs w:val="28"/>
              </w:rPr>
              <w:t xml:space="preserve">52.13.6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Interactive Mode is subject to the same Safety Substrate enforcement and Prime Directive review as any other QueryBook output (§8.1, Domain 0) — no mode, including Discussion Mode's expanded analytical latitude, exempts a response from those gates. Outside Queries Mode's decline-or-redirect behavior is itself a Prime Directive-scoped decision (D0.2.1), not a separate rule set.</w:t>
            </w:r>
          </w:p>
          <w:p>
            <w:pPr>
              <w:pStyle w:val="Heading2"/>
              <w:spacing w:after="240" w:before="480" w:line="312" w:lineRule="auto"/>
            </w:pPr>
            <w:r>
              <w:rPr>
                <w:color w:val="0D2A5E"/>
              </w:rPr>
              <w:t xml:space="preserve">52.14 Patent Significance</w:t>
            </w:r>
          </w:p>
          <w:p>
            <w:pPr>
              <w:spacing w:after="240" w:line="408" w:lineRule="auto"/>
            </w:pPr>
            <w:r>
              <w:rPr>
                <w:rFonts w:ascii="Calibri" w:cs="Calibri" w:eastAsia="Calibri" w:hAnsi="Calibri"/>
                <w:b w:val="false"/>
                <w:bCs w:val="false"/>
                <w:i w:val="false"/>
                <w:iCs w:val="false"/>
                <w:strike w:val="false"/>
                <w:color w:val="000000"/>
                <w:sz w:val="22"/>
                <w:szCs w:val="22"/>
              </w:rPr>
              <w:t xml:space="preserve">The Adaptive Response Engine constitutes a cluster of novel, non-obvious inventions across the intersecting fields of knowledge management, natural language generation, and information systems governance. The following six claims are identified as primary patent-eligible inventions: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Novel Claim</w:t>
                  </w:r>
                </w:p>
              </w:tc>
              <w:tc>
                <w:tcPr>
                  <w:tcW w:type="pct" w:w="33.333333333333336%"/>
                  <w:shd w:fill="DCE6F0" w:color="auto" w:val="clear"/>
                </w:tcPr>
                <w:p>
                  <w:r>
                    <w:rPr>
                      <w:rFonts w:ascii="Calibri" w:cs="Calibri" w:eastAsia="Calibri" w:hAnsi="Calibri"/>
                      <w:b/>
                      <w:bCs/>
                      <w:i w:val="false"/>
                      <w:iCs w:val="false"/>
                      <w:strike w:val="false"/>
                      <w:color w:val="0D2A5E"/>
                      <w:sz w:val="20"/>
                      <w:szCs w:val="20"/>
                    </w:rPr>
                    <w:t xml:space="preserve">Basis of Novelty</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1</w:t>
                  </w:r>
                </w:p>
              </w:tc>
              <w:tc>
                <w:tcPr>
                  <w:tcW w:type="pct" w:w="33.333333333333336%"/>
                </w:tcPr>
                <w:p>
                  <w:r>
                    <w:rPr>
                      <w:rFonts w:ascii="Calibri" w:cs="Calibri" w:eastAsia="Calibri" w:hAnsi="Calibri"/>
                      <w:b/>
                      <w:bCs/>
                      <w:i w:val="false"/>
                      <w:iCs w:val="false"/>
                      <w:strike w:val="false"/>
                      <w:color w:val="000000"/>
                      <w:sz w:val="20"/>
                      <w:szCs w:val="20"/>
                    </w:rPr>
                    <w:t xml:space="preserve">Three-Tier Response Profile Governance Cascade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formal Operator → Author → Subscriber typed parameter resolution system applied to the natural language generation layer of a knowledge graph system, with auditable logging of each tier’s contribution to the resolved profile. Novel as a governance mechanism for AI-generated content in a multi-party publishing and subscription platform.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2</w:t>
                  </w:r>
                </w:p>
              </w:tc>
              <w:tc>
                <w:tcPr>
                  <w:tcW w:type="pct" w:w="33.333333333333336%"/>
                </w:tcPr>
                <w:p>
                  <w:r>
                    <w:rPr>
                      <w:rFonts w:ascii="Calibri" w:cs="Calibri" w:eastAsia="Calibri" w:hAnsi="Calibri"/>
                      <w:b/>
                      <w:bCs/>
                      <w:i w:val="false"/>
                      <w:iCs w:val="false"/>
                      <w:strike w:val="false"/>
                      <w:color w:val="000000"/>
                      <w:sz w:val="20"/>
                      <w:szCs w:val="20"/>
                    </w:rPr>
                    <w:t xml:space="preserve">The Generation Directive as Typed Intermediate Artifact</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typed intermediate artifact between a fact retrieval result set and a natural language generation engine — decoupling retrieval governance from generation governance and making response style auditable independently of content correctness. Novel as an architectural pattern in knowledge retrieval systems.</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3</w:t>
                  </w:r>
                </w:p>
              </w:tc>
              <w:tc>
                <w:tcPr>
                  <w:tcW w:type="pct" w:w="33.333333333333336%"/>
                </w:tcPr>
                <w:p>
                  <w:r>
                    <w:rPr>
                      <w:rFonts w:ascii="Calibri" w:cs="Calibri" w:eastAsia="Calibri" w:hAnsi="Calibri"/>
                      <w:b/>
                      <w:bCs/>
                      <w:i w:val="false"/>
                      <w:iCs w:val="false"/>
                      <w:strike w:val="false"/>
                      <w:color w:val="000000"/>
                      <w:sz w:val="20"/>
                      <w:szCs w:val="20"/>
                    </w:rPr>
                    <w:t xml:space="preserve">Result Set Profile with Operative Special Fact Annotations</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for propagating special fact annotations (Forward-Looking, Preliminary, Contraindication, Single-Source) from individual Fact Unit metadata into mandatory structural instructions for the generation layer — making provenance metadata structurally operative in response generation rather than merely informational. Novel.</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4</w:t>
                  </w:r>
                </w:p>
              </w:tc>
              <w:tc>
                <w:tcPr>
                  <w:tcW w:type="pct" w:w="33.333333333333336%"/>
                </w:tcPr>
                <w:p>
                  <w:r>
                    <w:rPr>
                      <w:rFonts w:ascii="Calibri" w:cs="Calibri" w:eastAsia="Calibri" w:hAnsi="Calibri"/>
                      <w:b/>
                      <w:bCs/>
                      <w:i w:val="false"/>
                      <w:iCs w:val="false"/>
                      <w:strike w:val="false"/>
                      <w:color w:val="000000"/>
                      <w:sz w:val="20"/>
                      <w:szCs w:val="20"/>
                    </w:rPr>
                    <w:t xml:space="preserve">The Discipline Mode Registry</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runtime-configurable database of generation templates with mandatory and prohibited structural elements, evaluated against the fact retrieval result set before generation begins. Novel as a mechanism for enforcing domain-specific response standards in a multi-domain knowledge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5</w:t>
                  </w:r>
                </w:p>
              </w:tc>
              <w:tc>
                <w:tcPr>
                  <w:tcW w:type="pct" w:w="33.333333333333336%"/>
                </w:tcPr>
                <w:p>
                  <w:r>
                    <w:rPr>
                      <w:rFonts w:ascii="Calibri" w:cs="Calibri" w:eastAsia="Calibri" w:hAnsi="Calibri"/>
                      <w:b/>
                      <w:bCs/>
                      <w:i w:val="false"/>
                      <w:iCs w:val="false"/>
                      <w:strike w:val="false"/>
                      <w:color w:val="000000"/>
                      <w:sz w:val="20"/>
                      <w:szCs w:val="20"/>
                    </w:rPr>
                    <w:t xml:space="preserve">Natural-Language Response Mode Declaration System</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mechanism by which a subscriber’s plain-language expression of audience or expertise context (e.g., “explain like I’m a first-year medical student”) is decomposed by the SPE into typed Response Profile parameter overrides and applied to all subsequent responses in the session. Novel as a mechanism for audience-adaptive generation in a knowledge-grounded AI system.</w:t>
                  </w:r>
                </w:p>
              </w:tc>
            </w:tr>
            <w:tr>
              <w:trPr>
                <w:tblHeader w:val="false"/>
              </w:trPr>
              <w:tc>
                <w:tcPr>
                  <w:tcW w:type="pct" w:w="33.333333333333336%"/>
                </w:tcPr>
                <w:p>
                  <w:r>
                    <w:rPr>
                      <w:rFonts w:ascii="Calibri" w:cs="Calibri" w:eastAsia="Calibri" w:hAnsi="Calibri"/>
                      <w:b/>
                      <w:bCs/>
                      <w:i w:val="false"/>
                      <w:iCs w:val="false"/>
                      <w:strike w:val="false"/>
                      <w:color w:val="0D2A5E"/>
                      <w:sz w:val="20"/>
                      <w:szCs w:val="20"/>
                    </w:rPr>
                    <w:t xml:space="preserve">6</w:t>
                  </w:r>
                </w:p>
              </w:tc>
              <w:tc>
                <w:tcPr>
                  <w:tcW w:type="pct" w:w="33.333333333333336%"/>
                </w:tcPr>
                <w:p>
                  <w:r>
                    <w:rPr>
                      <w:rFonts w:ascii="Calibri" w:cs="Calibri" w:eastAsia="Calibri" w:hAnsi="Calibri"/>
                      <w:b/>
                      <w:bCs/>
                      <w:i w:val="false"/>
                      <w:iCs w:val="false"/>
                      <w:strike w:val="false"/>
                      <w:color w:val="000000"/>
                      <w:sz w:val="20"/>
                      <w:szCs w:val="20"/>
                    </w:rPr>
                    <w:t xml:space="preserve">The Author Response Profile</w:t>
                  </w:r>
                </w:p>
              </w:tc>
              <w:tc>
                <w:tcPr>
                  <w:tcW w:type="pct" w:w="33.333333333333336%"/>
                </w:tcPr>
                <w:p>
                  <w:r>
                    <w:rPr>
                      <w:rFonts w:ascii="Calibri" w:cs="Calibri" w:eastAsia="Calibri" w:hAnsi="Calibri"/>
                      <w:b w:val="false"/>
                      <w:bCs w:val="false"/>
                      <w:i w:val="false"/>
                      <w:iCs w:val="false"/>
                      <w:strike w:val="false"/>
                      <w:color w:val="000000"/>
                      <w:sz w:val="20"/>
                      <w:szCs w:val="20"/>
                    </w:rPr>
                    <w:t xml:space="preserve">A corpus-level declaration of intended audience, expertise level, and discipline mode stored in QBFObject metadata and applied by the ARE when generating responses drawn primarily from that corpus. Novel as a mechanism for content-author governance of AI-generated responses derived from their content.</w:t>
                  </w:r>
                </w:p>
              </w:tc>
            </w:tr>
          </w:tbl>
          <w:p>
            <w:pPr>
              <w:spacing w:after="200" w:before="0"/>
            </w:pPr>
          </w:p>
          <w:p>
            <w:pPr>
              <w:spacing w:after="240" w:line="408" w:lineRule="auto"/>
            </w:pPr>
            <w:r>
              <w:rPr>
                <w:rFonts w:ascii="Calibri" w:cs="Calibri" w:eastAsia="Calibri" w:hAnsi="Calibri"/>
                <w:b w:val="false"/>
                <w:bCs w:val="false"/>
                <w:i/>
                <w:iCs/>
                <w:strike w:val="false"/>
                <w:color w:val="555555"/>
                <w:sz w:val="18"/>
                <w:szCs w:val="18"/>
              </w:rPr>
              <w:t xml:space="preserve">QueryBook Bible — CONFIDENTIAL — Chapter 52: The Adaptive Response Engine (ARE)</w:t>
            </w:r>
          </w:p>
          <w:p>
            <w:pPr>
              <w:spacing w:after="240" w:line="408" w:lineRule="auto"/>
            </w:pPr>
            <w:r>
              <w:rPr>
                <w:rFonts w:ascii="Calibri" w:cs="Calibri" w:eastAsia="Calibri" w:hAnsi="Calibri"/>
                <w:b w:val="false"/>
                <w:bCs w:val="false"/>
                <w:i w:val="false"/>
                <w:iCs w:val="false"/>
                <w:strike w:val="false"/>
                <w:color w:val="333333"/>
                <w:sz w:val="22"/>
                <w:szCs w:val="22"/>
              </w:rPr>
              <w:t xml:space="preserve">Appendix A: Complete Fact Unit Field Reference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table provides a consolidated reference for all Fact Unit fields as specified in Chapter 3.1. It is intended for use in patent claim drafting and API implementation verification.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Field Name</w:t>
            </w:r>
          </w:p>
        </w:tc>
        <w:tc>
          <w:tcPr>
            <w:tcW w:type="pct" w:w="20%"/>
            <w:shd w:fill="DCE6F0" w:color="auto" w:val="clear"/>
          </w:tcPr>
          <w:p>
            <w:r>
              <w:rPr>
                <w:rFonts w:ascii="Calibri" w:cs="Calibri" w:eastAsia="Calibri" w:hAnsi="Calibri"/>
                <w:b/>
                <w:bCs/>
                <w:i w:val="false"/>
                <w:iCs w:val="false"/>
                <w:strike w:val="false"/>
                <w:color w:val="0D2A5E"/>
                <w:sz w:val="20"/>
                <w:szCs w:val="20"/>
              </w:rPr>
              <w:t xml:space="preserve">Type</w:t>
            </w:r>
          </w:p>
        </w:tc>
        <w:tc>
          <w:tcPr>
            <w:tcW w:type="pct" w:w="10%"/>
            <w:shd w:fill="DCE6F0" w:color="auto" w:val="clear"/>
          </w:tcPr>
          <w:p>
            <w:r>
              <w:rPr>
                <w:rFonts w:ascii="Calibri" w:cs="Calibri" w:eastAsia="Calibri" w:hAnsi="Calibri"/>
                <w:b/>
                <w:bCs/>
                <w:i w:val="false"/>
                <w:iCs w:val="false"/>
                <w:strike w:val="false"/>
                <w:color w:val="0D2A5E"/>
                <w:sz w:val="20"/>
                <w:szCs w:val="20"/>
              </w:rPr>
              <w:t xml:space="preserve">Required / Optional</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Default Value</w:t>
            </w:r>
          </w:p>
        </w:tc>
        <w:tc>
          <w:tcPr>
            <w:tcW w:type="pct" w:w="25%"/>
            <w:shd w:fill="DCE6F0" w:color="auto" w:val="clear"/>
          </w:tcPr>
          <w:p>
            <w:r>
              <w:rPr>
                <w:rFonts w:ascii="Calibri" w:cs="Calibri" w:eastAsia="Calibri" w:hAnsi="Calibri"/>
                <w:b/>
                <w:bCs/>
                <w:i w:val="false"/>
                <w:iCs w:val="false"/>
                <w:strike w:val="false"/>
                <w:color w:val="0D2A5E"/>
                <w:sz w:val="20"/>
                <w:szCs w:val="20"/>
              </w:rPr>
              <w:t xml:space="preserve">Constraints</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Brief Description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FUID</w:t>
            </w:r>
          </w:p>
        </w:tc>
        <w:tc>
          <w:tcPr>
            <w:tcW w:type="pct" w:w="20%"/>
          </w:tcPr>
          <w:p>
            <w:r>
              <w:rPr>
                <w:rFonts w:ascii="Calibri" w:cs="Calibri" w:eastAsia="Calibri" w:hAnsi="Calibri"/>
                <w:b w:val="false"/>
                <w:bCs w:val="false"/>
                <w:i w:val="false"/>
                <w:iCs w:val="false"/>
                <w:strike w:val="false"/>
                <w:color w:val="000000"/>
                <w:sz w:val="20"/>
                <w:szCs w:val="20"/>
              </w:rPr>
              <w:t xml:space="preserve">128-bit UUID v7</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Globally unique; deterministically derived</w:t>
            </w:r>
          </w:p>
        </w:tc>
        <w:tc>
          <w:tcPr>
            <w:tcW w:type="pct" w:w="17%"/>
          </w:tcPr>
          <w:p>
            <w:r>
              <w:rPr>
                <w:rFonts w:ascii="Calibri" w:cs="Calibri" w:eastAsia="Calibri" w:hAnsi="Calibri"/>
                <w:b w:val="false"/>
                <w:bCs w:val="false"/>
                <w:i w:val="false"/>
                <w:iCs w:val="false"/>
                <w:strike w:val="false"/>
                <w:color w:val="000000"/>
                <w:sz w:val="20"/>
                <w:szCs w:val="20"/>
              </w:rPr>
              <w:t xml:space="preserve">Primary key and global identity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FactType</w:t>
            </w:r>
          </w:p>
        </w:tc>
        <w:tc>
          <w:tcPr>
            <w:tcW w:type="pct" w:w="20%"/>
          </w:tcPr>
          <w:p>
            <w:r>
              <w:rPr>
                <w:rFonts w:ascii="Calibri" w:cs="Calibri" w:eastAsia="Calibri" w:hAnsi="Calibri"/>
                <w:b w:val="false"/>
                <w:bCs w:val="false"/>
                <w:i w:val="false"/>
                <w:iCs w:val="false"/>
                <w:strike w:val="false"/>
                <w:color w:val="000000"/>
                <w:sz w:val="20"/>
                <w:szCs w:val="20"/>
              </w:rPr>
              <w:t xml:space="preserve">OntologyMesh.TypeID (UUID ref)</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non-deprecated Ontology Mesh type</w:t>
            </w:r>
          </w:p>
        </w:tc>
        <w:tc>
          <w:tcPr>
            <w:tcW w:type="pct" w:w="17%"/>
          </w:tcPr>
          <w:p>
            <w:r>
              <w:rPr>
                <w:rFonts w:ascii="Calibri" w:cs="Calibri" w:eastAsia="Calibri" w:hAnsi="Calibri"/>
                <w:b w:val="false"/>
                <w:bCs w:val="false"/>
                <w:i w:val="false"/>
                <w:iCs w:val="false"/>
                <w:strike w:val="false"/>
                <w:color w:val="000000"/>
                <w:sz w:val="20"/>
                <w:szCs w:val="20"/>
              </w:rPr>
              <w:t xml:space="preserve">Semantic type classifier</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SubjectRef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entity (may be PROVISIONAL)</w:t>
            </w:r>
          </w:p>
        </w:tc>
        <w:tc>
          <w:tcPr>
            <w:tcW w:type="pct" w:w="17%"/>
          </w:tcPr>
          <w:p>
            <w:r>
              <w:rPr>
                <w:rFonts w:ascii="Calibri" w:cs="Calibri" w:eastAsia="Calibri" w:hAnsi="Calibri"/>
                <w:b w:val="false"/>
                <w:bCs w:val="false"/>
                <w:i w:val="false"/>
                <w:iCs w:val="false"/>
                <w:strike w:val="false"/>
                <w:color w:val="000000"/>
                <w:sz w:val="20"/>
                <w:szCs w:val="20"/>
              </w:rPr>
              <w:t xml:space="preserve">Primary entity this fact describes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PredicateRef</w:t>
            </w:r>
          </w:p>
        </w:tc>
        <w:tc>
          <w:tcPr>
            <w:tcW w:type="pct" w:w="20%"/>
          </w:tcPr>
          <w:p>
            <w:r>
              <w:rPr>
                <w:rFonts w:ascii="Calibri" w:cs="Calibri" w:eastAsia="Calibri" w:hAnsi="Calibri"/>
                <w:b w:val="false"/>
                <w:bCs w:val="false"/>
                <w:i w:val="false"/>
                <w:iCs w:val="false"/>
                <w:strike w:val="false"/>
                <w:color w:val="000000"/>
                <w:sz w:val="20"/>
                <w:szCs w:val="20"/>
              </w:rPr>
              <w:t xml:space="preserve">PredicateRef (UUID → Predicate Library)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Must be consistent with FactType and SubjectRef entity type</w:t>
            </w:r>
          </w:p>
        </w:tc>
        <w:tc>
          <w:tcPr>
            <w:tcW w:type="pct" w:w="17%"/>
          </w:tcPr>
          <w:p>
            <w:r>
              <w:rPr>
                <w:rFonts w:ascii="Calibri" w:cs="Calibri" w:eastAsia="Calibri" w:hAnsi="Calibri"/>
                <w:b w:val="false"/>
                <w:bCs w:val="false"/>
                <w:i w:val="false"/>
                <w:iCs w:val="false"/>
                <w:strike w:val="false"/>
                <w:color w:val="000000"/>
                <w:sz w:val="20"/>
                <w:szCs w:val="20"/>
              </w:rPr>
              <w:t xml:space="preserve">Relationship or attribute being asserted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ObjectRef</w:t>
            </w:r>
          </w:p>
        </w:tc>
        <w:tc>
          <w:tcPr>
            <w:tcW w:type="pct" w:w="20%"/>
          </w:tcPr>
          <w:p>
            <w:r>
              <w:rPr>
                <w:rFonts w:ascii="Calibri" w:cs="Calibri" w:eastAsia="Calibri" w:hAnsi="Calibri"/>
                <w:b w:val="false"/>
                <w:bCs w:val="false"/>
                <w:i w:val="false"/>
                <w:iCs w:val="false"/>
                <w:strike w:val="false"/>
                <w:color w:val="000000"/>
                <w:sz w:val="20"/>
                <w:szCs w:val="20"/>
              </w:rPr>
              <w:t xml:space="preserve">EntityRef (UUID → QB-ER)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ObjectValue; required when object is a named entity</w:t>
            </w:r>
          </w:p>
        </w:tc>
        <w:tc>
          <w:tcPr>
            <w:tcW w:type="pct" w:w="17%"/>
          </w:tcPr>
          <w:p>
            <w:r>
              <w:rPr>
                <w:rFonts w:ascii="Calibri" w:cs="Calibri" w:eastAsia="Calibri" w:hAnsi="Calibri"/>
                <w:b w:val="false"/>
                <w:bCs w:val="false"/>
                <w:i w:val="false"/>
                <w:iCs w:val="false"/>
                <w:strike w:val="false"/>
                <w:color w:val="000000"/>
                <w:sz w:val="20"/>
                <w:szCs w:val="20"/>
              </w:rPr>
              <w:t xml:space="preserve">Named entity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ObjectValue</w:t>
            </w:r>
          </w:p>
        </w:tc>
        <w:tc>
          <w:tcPr>
            <w:tcW w:type="pct" w:w="20%"/>
          </w:tcPr>
          <w:p>
            <w:r>
              <w:rPr>
                <w:rFonts w:ascii="Calibri" w:cs="Calibri" w:eastAsia="Calibri" w:hAnsi="Calibri"/>
                <w:b w:val="false"/>
                <w:bCs w:val="false"/>
                <w:i w:val="false"/>
                <w:iCs w:val="false"/>
                <w:strike w:val="false"/>
                <w:color w:val="000000"/>
                <w:sz w:val="20"/>
                <w:szCs w:val="20"/>
              </w:rPr>
              <w:t xml:space="preserve">QBF-typed scalar</w:t>
            </w:r>
          </w:p>
        </w:tc>
        <w:tc>
          <w:tcPr>
            <w:tcW w:type="pct" w:w="10%"/>
          </w:tcPr>
          <w:p>
            <w:r>
              <w:rPr>
                <w:rFonts w:ascii="Calibri" w:cs="Calibri" w:eastAsia="Calibri" w:hAnsi="Calibri"/>
                <w:b w:val="false"/>
                <w:bCs w:val="false"/>
                <w:i w:val="false"/>
                <w:iCs w:val="false"/>
                <w:strike w:val="false"/>
                <w:color w:val="000000"/>
                <w:sz w:val="20"/>
                <w:szCs w:val="20"/>
              </w:rPr>
              <w:t xml:space="preserve">Conditional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Mutually exclusive with ObjectRef; type must match PredicateRef schema</w:t>
            </w:r>
          </w:p>
        </w:tc>
        <w:tc>
          <w:tcPr>
            <w:tcW w:type="pct" w:w="17%"/>
          </w:tcPr>
          <w:p>
            <w:r>
              <w:rPr>
                <w:rFonts w:ascii="Calibri" w:cs="Calibri" w:eastAsia="Calibri" w:hAnsi="Calibri"/>
                <w:b w:val="false"/>
                <w:bCs w:val="false"/>
                <w:i w:val="false"/>
                <w:iCs w:val="false"/>
                <w:strike w:val="false"/>
                <w:color w:val="000000"/>
                <w:sz w:val="20"/>
                <w:szCs w:val="20"/>
              </w:rPr>
              <w:t xml:space="preserve">Scalar value as object of assertion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TemporalAnchor</w:t>
            </w:r>
          </w:p>
        </w:tc>
        <w:tc>
          <w:tcPr>
            <w:tcW w:type="pct" w:w="20%"/>
          </w:tcPr>
          <w:p>
            <w:r>
              <w:rPr>
                <w:rFonts w:ascii="Calibri" w:cs="Calibri" w:eastAsia="Calibri" w:hAnsi="Calibri"/>
                <w:b w:val="false"/>
                <w:bCs w:val="false"/>
                <w:i w:val="false"/>
                <w:iCs w:val="false"/>
                <w:strike w:val="false"/>
                <w:color w:val="000000"/>
                <w:sz w:val="20"/>
                <w:szCs w:val="20"/>
              </w:rPr>
              <w:t xml:space="preserve">Struct {T_start, T_end, T_granularity, T_confidence}</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None</w:t>
            </w:r>
          </w:p>
        </w:tc>
        <w:tc>
          <w:tcPr>
            <w:tcW w:type="pct" w:w="25%"/>
          </w:tcPr>
          <w:p>
            <w:r>
              <w:rPr>
                <w:rFonts w:ascii="Calibri" w:cs="Calibri" w:eastAsia="Calibri" w:hAnsi="Calibri"/>
                <w:b w:val="false"/>
                <w:bCs w:val="false"/>
                <w:i w:val="false"/>
                <w:iCs w:val="false"/>
                <w:strike w:val="false"/>
                <w:color w:val="000000"/>
                <w:sz w:val="20"/>
                <w:szCs w:val="20"/>
              </w:rPr>
              <w:t xml:space="preserve">T_start ≤ T_end (if T_end present); T_confidence ∈ [0.0, 1.0]</w:t>
            </w:r>
          </w:p>
        </w:tc>
        <w:tc>
          <w:tcPr>
            <w:tcW w:type="pct" w:w="17%"/>
          </w:tcPr>
          <w:p>
            <w:r>
              <w:rPr>
                <w:rFonts w:ascii="Calibri" w:cs="Calibri" w:eastAsia="Calibri" w:hAnsi="Calibri"/>
                <w:b w:val="false"/>
                <w:bCs w:val="false"/>
                <w:i w:val="false"/>
                <w:iCs w:val="false"/>
                <w:strike w:val="false"/>
                <w:color w:val="000000"/>
                <w:sz w:val="20"/>
                <w:szCs w:val="20"/>
              </w:rPr>
              <w:t xml:space="preserve">Time interval to which this fact applies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SpatialAnchor</w:t>
            </w:r>
          </w:p>
        </w:tc>
        <w:tc>
          <w:tcPr>
            <w:tcW w:type="pct" w:w="20%"/>
          </w:tcPr>
          <w:p>
            <w:r>
              <w:rPr>
                <w:rFonts w:ascii="Calibri" w:cs="Calibri" w:eastAsia="Calibri" w:hAnsi="Calibri"/>
                <w:b w:val="false"/>
                <w:bCs w:val="false"/>
                <w:i w:val="false"/>
                <w:iCs w:val="false"/>
                <w:strike w:val="false"/>
                <w:color w:val="000000"/>
                <w:sz w:val="20"/>
                <w:szCs w:val="20"/>
              </w:rPr>
              <w:t xml:space="preserve">Struct {lat, lon, altitude, geohash, admin_region}</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w:t>
            </w:r>
          </w:p>
        </w:tc>
        <w:tc>
          <w:tcPr>
            <w:tcW w:type="pct" w:w="25%"/>
          </w:tcPr>
          <w:p>
            <w:r>
              <w:rPr>
                <w:rFonts w:ascii="Calibri" w:cs="Calibri" w:eastAsia="Calibri" w:hAnsi="Calibri"/>
                <w:b w:val="false"/>
                <w:bCs w:val="false"/>
                <w:i w:val="false"/>
                <w:iCs w:val="false"/>
                <w:strike w:val="false"/>
                <w:color w:val="000000"/>
                <w:sz w:val="20"/>
                <w:szCs w:val="20"/>
              </w:rPr>
              <w:t xml:space="preserve">lat ∈ [-90, 90]; lon ∈ [-180, 180]; geohash precision 1–12</w:t>
            </w:r>
          </w:p>
        </w:tc>
        <w:tc>
          <w:tcPr>
            <w:tcW w:type="pct" w:w="17%"/>
          </w:tcPr>
          <w:p>
            <w:r>
              <w:rPr>
                <w:rFonts w:ascii="Calibri" w:cs="Calibri" w:eastAsia="Calibri" w:hAnsi="Calibri"/>
                <w:b w:val="false"/>
                <w:bCs w:val="false"/>
                <w:i w:val="false"/>
                <w:iCs w:val="false"/>
                <w:strike w:val="false"/>
                <w:color w:val="000000"/>
                <w:sz w:val="20"/>
                <w:szCs w:val="20"/>
              </w:rPr>
              <w:t xml:space="preserve">Geographic location reference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ConfidenceScore</w:t>
            </w:r>
          </w:p>
        </w:tc>
        <w:tc>
          <w:tcPr>
            <w:tcW w:type="pct" w:w="20%"/>
          </w:tcPr>
          <w:p>
            <w:r>
              <w:rPr>
                <w:rFonts w:ascii="Calibri" w:cs="Calibri" w:eastAsia="Calibri" w:hAnsi="Calibri"/>
                <w:b w:val="false"/>
                <w:bCs w:val="false"/>
                <w:i w:val="false"/>
                <w:iCs w:val="false"/>
                <w:strike w:val="false"/>
                <w:color w:val="000000"/>
                <w:sz w:val="20"/>
                <w:szCs w:val="20"/>
              </w:rPr>
              <w:t xml:space="preserve">float32</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 [0.0, 1.0]; not exactly 0.0 unless definitively falsified</w:t>
            </w:r>
          </w:p>
        </w:tc>
        <w:tc>
          <w:tcPr>
            <w:tcW w:type="pct" w:w="17%"/>
          </w:tcPr>
          <w:p>
            <w:r>
              <w:rPr>
                <w:rFonts w:ascii="Calibri" w:cs="Calibri" w:eastAsia="Calibri" w:hAnsi="Calibri"/>
                <w:b w:val="false"/>
                <w:bCs w:val="false"/>
                <w:i w:val="false"/>
                <w:iCs w:val="false"/>
                <w:strike w:val="false"/>
                <w:color w:val="000000"/>
                <w:sz w:val="20"/>
                <w:szCs w:val="20"/>
              </w:rPr>
              <w:t xml:space="preserve">Epistemic certainty score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ProvenanceRef</w:t>
            </w:r>
          </w:p>
        </w:tc>
        <w:tc>
          <w:tcPr>
            <w:tcW w:type="pct" w:w="20%"/>
          </w:tcPr>
          <w:p>
            <w:r>
              <w:rPr>
                <w:rFonts w:ascii="Calibri" w:cs="Calibri" w:eastAsia="Calibri" w:hAnsi="Calibri"/>
                <w:b w:val="false"/>
                <w:bCs w:val="false"/>
                <w:i w:val="false"/>
                <w:iCs w:val="false"/>
                <w:strike w:val="false"/>
                <w:color w:val="000000"/>
                <w:sz w:val="20"/>
                <w:szCs w:val="20"/>
              </w:rPr>
              <w:t xml:space="preserve">ProvenanceID (SHA-256)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Generated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Must resolve to valid Provenance Ledger record; immutable after creation</w:t>
            </w:r>
          </w:p>
        </w:tc>
        <w:tc>
          <w:tcPr>
            <w:tcW w:type="pct" w:w="17%"/>
          </w:tcPr>
          <w:p>
            <w:r>
              <w:rPr>
                <w:rFonts w:ascii="Calibri" w:cs="Calibri" w:eastAsia="Calibri" w:hAnsi="Calibri"/>
                <w:b w:val="false"/>
                <w:bCs w:val="false"/>
                <w:i w:val="false"/>
                <w:iCs w:val="false"/>
                <w:strike w:val="false"/>
                <w:color w:val="000000"/>
                <w:sz w:val="20"/>
                <w:szCs w:val="20"/>
              </w:rPr>
              <w:t xml:space="preserve">Link to Provenance Ledger root record</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SemanticHash</w:t>
            </w:r>
          </w:p>
        </w:tc>
        <w:tc>
          <w:tcPr>
            <w:tcW w:type="pct" w:w="20%"/>
          </w:tcPr>
          <w:p>
            <w:r>
              <w:rPr>
                <w:rFonts w:ascii="Calibri" w:cs="Calibri" w:eastAsia="Calibri" w:hAnsi="Calibri"/>
                <w:b w:val="false"/>
                <w:bCs w:val="false"/>
                <w:i w:val="false"/>
                <w:iCs w:val="false"/>
                <w:strike w:val="false"/>
                <w:color w:val="000000"/>
                <w:sz w:val="20"/>
                <w:szCs w:val="20"/>
              </w:rPr>
              <w:t xml:space="preserve">256-bit bytes (SHA-3/256)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construction</w:t>
            </w:r>
          </w:p>
        </w:tc>
        <w:tc>
          <w:tcPr>
            <w:tcW w:type="pct" w:w="25%"/>
          </w:tcPr>
          <w:p>
            <w:r>
              <w:rPr>
                <w:rFonts w:ascii="Calibri" w:cs="Calibri" w:eastAsia="Calibri" w:hAnsi="Calibri"/>
                <w:b w:val="false"/>
                <w:bCs w:val="false"/>
                <w:i w:val="false"/>
                <w:iCs w:val="false"/>
                <w:strike w:val="false"/>
                <w:color w:val="000000"/>
                <w:sz w:val="20"/>
                <w:szCs w:val="20"/>
              </w:rPr>
              <w:t xml:space="preserve">Recomputed on every modification; language-independent</w:t>
            </w:r>
          </w:p>
        </w:tc>
        <w:tc>
          <w:tcPr>
            <w:tcW w:type="pct" w:w="17%"/>
          </w:tcPr>
          <w:p>
            <w:r>
              <w:rPr>
                <w:rFonts w:ascii="Calibri" w:cs="Calibri" w:eastAsia="Calibri" w:hAnsi="Calibri"/>
                <w:b w:val="false"/>
                <w:bCs w:val="false"/>
                <w:i w:val="false"/>
                <w:iCs w:val="false"/>
                <w:strike w:val="false"/>
                <w:color w:val="000000"/>
                <w:sz w:val="20"/>
                <w:szCs w:val="20"/>
              </w:rPr>
              <w:t xml:space="preserve">Content-addressable semantic fingerprint</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ModalitySignature</w:t>
            </w:r>
          </w:p>
        </w:tc>
        <w:tc>
          <w:tcPr>
            <w:tcW w:type="pct" w:w="20%"/>
          </w:tcPr>
          <w:p>
            <w:r>
              <w:rPr>
                <w:rFonts w:ascii="Calibri" w:cs="Calibri" w:eastAsia="Calibri" w:hAnsi="Calibri"/>
                <w:b w:val="false"/>
                <w:bCs w:val="false"/>
                <w:i w:val="false"/>
                <w:iCs w:val="false"/>
                <w:strike w:val="false"/>
                <w:color w:val="000000"/>
                <w:sz w:val="20"/>
                <w:szCs w:val="20"/>
              </w:rPr>
              <w:t xml:space="preserve">uint8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At least one bit must be set</w:t>
            </w:r>
          </w:p>
        </w:tc>
        <w:tc>
          <w:tcPr>
            <w:tcW w:type="pct" w:w="17%"/>
          </w:tcPr>
          <w:p>
            <w:r>
              <w:rPr>
                <w:rFonts w:ascii="Calibri" w:cs="Calibri" w:eastAsia="Calibri" w:hAnsi="Calibri"/>
                <w:b w:val="false"/>
                <w:bCs w:val="false"/>
                <w:i w:val="false"/>
                <w:iCs w:val="false"/>
                <w:strike w:val="false"/>
                <w:color w:val="000000"/>
                <w:sz w:val="20"/>
                <w:szCs w:val="20"/>
              </w:rPr>
              <w:t xml:space="preserve">Contributing input modalities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EmbeddingVector</w:t>
            </w:r>
          </w:p>
        </w:tc>
        <w:tc>
          <w:tcPr>
            <w:tcW w:type="pct" w:w="20%"/>
          </w:tcPr>
          <w:p>
            <w:r>
              <w:rPr>
                <w:rFonts w:ascii="Calibri" w:cs="Calibri" w:eastAsia="Calibri" w:hAnsi="Calibri"/>
                <w:b w:val="false"/>
                <w:bCs w:val="false"/>
                <w:i w:val="false"/>
                <w:iCs w:val="false"/>
                <w:strike w:val="false"/>
                <w:color w:val="000000"/>
                <w:sz w:val="20"/>
                <w:szCs w:val="20"/>
              </w:rPr>
              <w:t xml:space="preserve">float32[4096]</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Computed at ingestion</w:t>
            </w:r>
          </w:p>
        </w:tc>
        <w:tc>
          <w:tcPr>
            <w:tcW w:type="pct" w:w="25%"/>
          </w:tcPr>
          <w:p>
            <w:r>
              <w:rPr>
                <w:rFonts w:ascii="Calibri" w:cs="Calibri" w:eastAsia="Calibri" w:hAnsi="Calibri"/>
                <w:b w:val="false"/>
                <w:bCs w:val="false"/>
                <w:i w:val="false"/>
                <w:iCs w:val="false"/>
                <w:strike w:val="false"/>
                <w:color w:val="000000"/>
                <w:sz w:val="20"/>
                <w:szCs w:val="20"/>
              </w:rPr>
              <w:t xml:space="preserve">L2-normalized; dimensionality 4096 default; stored in sidecar</w:t>
            </w:r>
          </w:p>
        </w:tc>
        <w:tc>
          <w:tcPr>
            <w:tcW w:type="pct" w:w="17%"/>
          </w:tcPr>
          <w:p>
            <w:r>
              <w:rPr>
                <w:rFonts w:ascii="Calibri" w:cs="Calibri" w:eastAsia="Calibri" w:hAnsi="Calibri"/>
                <w:b w:val="false"/>
                <w:bCs w:val="false"/>
                <w:i w:val="false"/>
                <w:iCs w:val="false"/>
                <w:strike w:val="false"/>
                <w:color w:val="000000"/>
                <w:sz w:val="20"/>
                <w:szCs w:val="20"/>
              </w:rPr>
              <w:t xml:space="preserve">Semantic position in embedding space</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RelationSet</w:t>
            </w:r>
          </w:p>
        </w:tc>
        <w:tc>
          <w:tcPr>
            <w:tcW w:type="pct" w:w="20%"/>
          </w:tcPr>
          <w:p>
            <w:r>
              <w:rPr>
                <w:rFonts w:ascii="Calibri" w:cs="Calibri" w:eastAsia="Calibri" w:hAnsi="Calibri"/>
                <w:b w:val="false"/>
                <w:bCs w:val="false"/>
                <w:i w:val="false"/>
                <w:iCs w:val="false"/>
                <w:strike w:val="false"/>
                <w:color w:val="000000"/>
                <w:sz w:val="20"/>
                <w:szCs w:val="20"/>
              </w:rPr>
              <w:t xml:space="preserve">Set of RelationEdge</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set</w:t>
            </w:r>
          </w:p>
        </w:tc>
        <w:tc>
          <w:tcPr>
            <w:tcW w:type="pct" w:w="25%"/>
          </w:tcPr>
          <w:p>
            <w:r>
              <w:rPr>
                <w:rFonts w:ascii="Calibri" w:cs="Calibri" w:eastAsia="Calibri" w:hAnsi="Calibri"/>
                <w:b w:val="false"/>
                <w:bCs w:val="false"/>
                <w:i w:val="false"/>
                <w:iCs w:val="false"/>
                <w:strike w:val="false"/>
                <w:color w:val="000000"/>
                <w:sz w:val="20"/>
                <w:szCs w:val="20"/>
              </w:rPr>
              <w:t xml:space="preserve">Max 65,536 edges; weight ∈ [0.0, 1.0]; no self-loops</w:t>
            </w:r>
          </w:p>
        </w:tc>
        <w:tc>
          <w:tcPr>
            <w:tcW w:type="pct" w:w="17%"/>
          </w:tcPr>
          <w:p>
            <w:r>
              <w:rPr>
                <w:rFonts w:ascii="Calibri" w:cs="Calibri" w:eastAsia="Calibri" w:hAnsi="Calibri"/>
                <w:b w:val="false"/>
                <w:bCs w:val="false"/>
                <w:i w:val="false"/>
                <w:iCs w:val="false"/>
                <w:strike w:val="false"/>
                <w:color w:val="000000"/>
                <w:sz w:val="20"/>
                <w:szCs w:val="20"/>
              </w:rPr>
              <w:t xml:space="preserve">Typed weighted edges to related Fact Units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BundleRefs</w:t>
            </w:r>
          </w:p>
        </w:tc>
        <w:tc>
          <w:tcPr>
            <w:tcW w:type="pct" w:w="20%"/>
          </w:tcPr>
          <w:p>
            <w:r>
              <w:rPr>
                <w:rFonts w:ascii="Calibri" w:cs="Calibri" w:eastAsia="Calibri" w:hAnsi="Calibri"/>
                <w:b w:val="false"/>
                <w:bCs w:val="false"/>
                <w:i w:val="false"/>
                <w:iCs w:val="false"/>
                <w:strike w:val="false"/>
                <w:color w:val="000000"/>
                <w:sz w:val="20"/>
                <w:szCs w:val="20"/>
              </w:rPr>
              <w:t xml:space="preserve">List of BundleID (UUID)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Max 1,024 memberships; each must resolve to valid Bundle</w:t>
            </w:r>
          </w:p>
        </w:tc>
        <w:tc>
          <w:tcPr>
            <w:tcW w:type="pct" w:w="17%"/>
          </w:tcPr>
          <w:p>
            <w:r>
              <w:rPr>
                <w:rFonts w:ascii="Calibri" w:cs="Calibri" w:eastAsia="Calibri" w:hAnsi="Calibri"/>
                <w:b w:val="false"/>
                <w:bCs w:val="false"/>
                <w:i w:val="false"/>
                <w:iCs w:val="false"/>
                <w:strike w:val="false"/>
                <w:color w:val="000000"/>
                <w:sz w:val="20"/>
                <w:szCs w:val="20"/>
              </w:rPr>
              <w:t xml:space="preserve">Fact Bundle memberships</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VersionChain</w:t>
            </w:r>
          </w:p>
        </w:tc>
        <w:tc>
          <w:tcPr>
            <w:tcW w:type="pct" w:w="20%"/>
          </w:tcPr>
          <w:p>
            <w:r>
              <w:rPr>
                <w:rFonts w:ascii="Calibri" w:cs="Calibri" w:eastAsia="Calibri" w:hAnsi="Calibri"/>
                <w:b w:val="false"/>
                <w:bCs w:val="false"/>
                <w:i w:val="false"/>
                <w:iCs w:val="false"/>
                <w:strike w:val="false"/>
                <w:color w:val="000000"/>
                <w:sz w:val="20"/>
                <w:szCs w:val="20"/>
              </w:rPr>
              <w:t xml:space="preserve">Ordered List of FUID</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list</w:t>
            </w:r>
          </w:p>
        </w:tc>
        <w:tc>
          <w:tcPr>
            <w:tcW w:type="pct" w:w="25%"/>
          </w:tcPr>
          <w:p>
            <w:r>
              <w:rPr>
                <w:rFonts w:ascii="Calibri" w:cs="Calibri" w:eastAsia="Calibri" w:hAnsi="Calibri"/>
                <w:b w:val="false"/>
                <w:bCs w:val="false"/>
                <w:i w:val="false"/>
                <w:iCs w:val="false"/>
                <w:strike w:val="false"/>
                <w:color w:val="000000"/>
                <w:sz w:val="20"/>
                <w:szCs w:val="20"/>
              </w:rPr>
              <w:t xml:space="preserve">Chronological order; referenced FUIDs must be SUPERSEDED; max depth 4,096</w:t>
            </w:r>
          </w:p>
        </w:tc>
        <w:tc>
          <w:tcPr>
            <w:tcW w:type="pct" w:w="17%"/>
          </w:tcPr>
          <w:p>
            <w:r>
              <w:rPr>
                <w:rFonts w:ascii="Calibri" w:cs="Calibri" w:eastAsia="Calibri" w:hAnsi="Calibri"/>
                <w:b w:val="false"/>
                <w:bCs w:val="false"/>
                <w:i w:val="false"/>
                <w:iCs w:val="false"/>
                <w:strike w:val="false"/>
                <w:color w:val="000000"/>
                <w:sz w:val="20"/>
                <w:szCs w:val="20"/>
              </w:rPr>
              <w:t xml:space="preserve">Prior version history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SafetyFlags</w:t>
            </w:r>
          </w:p>
        </w:tc>
        <w:tc>
          <w:tcPr>
            <w:tcW w:type="pct" w:w="20%"/>
          </w:tcPr>
          <w:p>
            <w:r>
              <w:rPr>
                <w:rFonts w:ascii="Calibri" w:cs="Calibri" w:eastAsia="Calibri" w:hAnsi="Calibri"/>
                <w:b w:val="false"/>
                <w:bCs w:val="false"/>
                <w:i w:val="false"/>
                <w:iCs w:val="false"/>
                <w:strike w:val="false"/>
                <w:color w:val="000000"/>
                <w:sz w:val="20"/>
                <w:szCs w:val="20"/>
              </w:rPr>
              <w:t xml:space="preserve">uint32 bitmask</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0x00000001 (SAFE)</w:t>
            </w:r>
          </w:p>
        </w:tc>
        <w:tc>
          <w:tcPr>
            <w:tcW w:type="pct" w:w="25%"/>
          </w:tcPr>
          <w:p>
            <w:r>
              <w:rPr>
                <w:rFonts w:ascii="Calibri" w:cs="Calibri" w:eastAsia="Calibri" w:hAnsi="Calibri"/>
                <w:b w:val="false"/>
                <w:bCs w:val="false"/>
                <w:i w:val="false"/>
                <w:iCs w:val="false"/>
                <w:strike w:val="false"/>
                <w:color w:val="000000"/>
                <w:sz w:val="20"/>
                <w:szCs w:val="20"/>
              </w:rPr>
              <w:t xml:space="preserve">Controlled by Safety Substrate; bits 15–31 reserved (must be 0)</w:t>
            </w:r>
          </w:p>
        </w:tc>
        <w:tc>
          <w:tcPr>
            <w:tcW w:type="pct" w:w="17%"/>
          </w:tcPr>
          <w:p>
            <w:r>
              <w:rPr>
                <w:rFonts w:ascii="Calibri" w:cs="Calibri" w:eastAsia="Calibri" w:hAnsi="Calibri"/>
                <w:b w:val="false"/>
                <w:bCs w:val="false"/>
                <w:i w:val="false"/>
                <w:iCs w:val="false"/>
                <w:strike w:val="false"/>
                <w:color w:val="000000"/>
                <w:sz w:val="20"/>
                <w:szCs w:val="20"/>
              </w:rPr>
              <w:t xml:space="preserve">Safety and compliance classification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LinguisticMetadata</w:t>
            </w:r>
          </w:p>
        </w:tc>
        <w:tc>
          <w:tcPr>
            <w:tcW w:type="pct" w:w="20%"/>
          </w:tcPr>
          <w:p>
            <w:r>
              <w:rPr>
                <w:rFonts w:ascii="Calibri" w:cs="Calibri" w:eastAsia="Calibri" w:hAnsi="Calibri"/>
                <w:b w:val="false"/>
                <w:bCs w:val="false"/>
                <w:i w:val="false"/>
                <w:iCs w:val="false"/>
                <w:strike w:val="false"/>
                <w:color w:val="000000"/>
                <w:sz w:val="20"/>
                <w:szCs w:val="20"/>
              </w:rPr>
              <w:t xml:space="preserve">Struct {language, register, formality, domain_tag}</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Inferred from source</w:t>
            </w:r>
          </w:p>
        </w:tc>
        <w:tc>
          <w:tcPr>
            <w:tcW w:type="pct" w:w="25%"/>
          </w:tcPr>
          <w:p>
            <w:r>
              <w:rPr>
                <w:rFonts w:ascii="Calibri" w:cs="Calibri" w:eastAsia="Calibri" w:hAnsi="Calibri"/>
                <w:b w:val="false"/>
                <w:bCs w:val="false"/>
                <w:i w:val="false"/>
                <w:iCs w:val="false"/>
                <w:strike w:val="false"/>
                <w:color w:val="000000"/>
                <w:sz w:val="20"/>
                <w:szCs w:val="20"/>
              </w:rPr>
              <w:t xml:space="preserve">Valid BCP-47 language tag required</w:t>
            </w:r>
          </w:p>
        </w:tc>
        <w:tc>
          <w:tcPr>
            <w:tcW w:type="pct" w:w="17%"/>
          </w:tcPr>
          <w:p>
            <w:r>
              <w:rPr>
                <w:rFonts w:ascii="Calibri" w:cs="Calibri" w:eastAsia="Calibri" w:hAnsi="Calibri"/>
                <w:b w:val="false"/>
                <w:bCs w:val="false"/>
                <w:i w:val="false"/>
                <w:iCs w:val="false"/>
                <w:strike w:val="false"/>
                <w:color w:val="000000"/>
                <w:sz w:val="20"/>
                <w:szCs w:val="20"/>
              </w:rPr>
              <w:t xml:space="preserve">Linguistic context for regeneration</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AnnotationSet</w:t>
            </w:r>
          </w:p>
        </w:tc>
        <w:tc>
          <w:tcPr>
            <w:tcW w:type="pct" w:w="20%"/>
          </w:tcPr>
          <w:p>
            <w:r>
              <w:rPr>
                <w:rFonts w:ascii="Calibri" w:cs="Calibri" w:eastAsia="Calibri" w:hAnsi="Calibri"/>
                <w:b w:val="false"/>
                <w:bCs w:val="false"/>
                <w:i w:val="false"/>
                <w:iCs w:val="false"/>
                <w:strike w:val="false"/>
                <w:color w:val="000000"/>
                <w:sz w:val="20"/>
                <w:szCs w:val="20"/>
              </w:rPr>
              <w:t xml:space="preserve">Map&lt;string, QBF scalar&gt;</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Empty map</w:t>
            </w:r>
          </w:p>
        </w:tc>
        <w:tc>
          <w:tcPr>
            <w:tcW w:type="pct" w:w="25%"/>
          </w:tcPr>
          <w:p>
            <w:r>
              <w:rPr>
                <w:rFonts w:ascii="Calibri" w:cs="Calibri" w:eastAsia="Calibri" w:hAnsi="Calibri"/>
                <w:b w:val="false"/>
                <w:bCs w:val="false"/>
                <w:i w:val="false"/>
                <w:iCs w:val="false"/>
                <w:strike w:val="false"/>
                <w:color w:val="000000"/>
                <w:sz w:val="20"/>
                <w:szCs w:val="20"/>
              </w:rPr>
              <w:t xml:space="preserve">Max 512 entries; "qb:" prefix reserved; max key 256 bytes; max value 64KB</w:t>
            </w:r>
          </w:p>
        </w:tc>
        <w:tc>
          <w:tcPr>
            <w:tcW w:type="pct" w:w="17%"/>
          </w:tcPr>
          <w:p>
            <w:r>
              <w:rPr>
                <w:rFonts w:ascii="Calibri" w:cs="Calibri" w:eastAsia="Calibri" w:hAnsi="Calibri"/>
                <w:b w:val="false"/>
                <w:bCs w:val="false"/>
                <w:i w:val="false"/>
                <w:iCs w:val="false"/>
                <w:strike w:val="false"/>
                <w:color w:val="000000"/>
                <w:sz w:val="20"/>
                <w:szCs w:val="20"/>
              </w:rPr>
              <w:t xml:space="preserve">Extensible domain-specific metadata</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TTL</w:t>
            </w:r>
          </w:p>
        </w:tc>
        <w:tc>
          <w:tcPr>
            <w:tcW w:type="pct" w:w="20%"/>
          </w:tcPr>
          <w:p>
            <w:r>
              <w:rPr>
                <w:rFonts w:ascii="Calibri" w:cs="Calibri" w:eastAsia="Calibri" w:hAnsi="Calibri"/>
                <w:b w:val="false"/>
                <w:bCs w:val="false"/>
                <w:i w:val="false"/>
                <w:iCs w:val="false"/>
                <w:strike w:val="false"/>
                <w:color w:val="000000"/>
                <w:sz w:val="20"/>
                <w:szCs w:val="20"/>
              </w:rPr>
              <w:t xml:space="preserve">Struct {ttl_seconds, eviction_policy}</w:t>
            </w:r>
          </w:p>
        </w:tc>
        <w:tc>
          <w:tcPr>
            <w:tcW w:type="pct" w:w="10%"/>
          </w:tcPr>
          <w:p>
            <w:r>
              <w:rPr>
                <w:rFonts w:ascii="Calibri" w:cs="Calibri" w:eastAsia="Calibri" w:hAnsi="Calibri"/>
                <w:b w:val="false"/>
                <w:bCs w:val="false"/>
                <w:i w:val="false"/>
                <w:iCs w:val="false"/>
                <w:strike w:val="false"/>
                <w:color w:val="000000"/>
                <w:sz w:val="20"/>
                <w:szCs w:val="20"/>
              </w:rPr>
              <w:t xml:space="preserve">Optional</w:t>
            </w:r>
          </w:p>
        </w:tc>
        <w:tc>
          <w:tcPr>
            <w:tcW w:type="pct" w:w="16%"/>
          </w:tcPr>
          <w:p>
            <w:r>
              <w:rPr>
                <w:rFonts w:ascii="Calibri" w:cs="Calibri" w:eastAsia="Calibri" w:hAnsi="Calibri"/>
                <w:b w:val="false"/>
                <w:bCs w:val="false"/>
                <w:i w:val="false"/>
                <w:iCs w:val="false"/>
                <w:strike w:val="false"/>
                <w:color w:val="000000"/>
                <w:sz w:val="20"/>
                <w:szCs w:val="20"/>
              </w:rPr>
              <w:t xml:space="preserve">null (no expiry)</w:t>
            </w:r>
          </w:p>
        </w:tc>
        <w:tc>
          <w:tcPr>
            <w:tcW w:type="pct" w:w="25%"/>
          </w:tcPr>
          <w:p>
            <w:r>
              <w:rPr>
                <w:rFonts w:ascii="Calibri" w:cs="Calibri" w:eastAsia="Calibri" w:hAnsi="Calibri"/>
                <w:b w:val="false"/>
                <w:bCs w:val="false"/>
                <w:i w:val="false"/>
                <w:iCs w:val="false"/>
                <w:strike w:val="false"/>
                <w:color w:val="000000"/>
                <w:sz w:val="20"/>
                <w:szCs w:val="20"/>
              </w:rPr>
              <w:t xml:space="preserve">Minimum TTL 3,600 seconds if set</w:t>
            </w:r>
          </w:p>
        </w:tc>
        <w:tc>
          <w:tcPr>
            <w:tcW w:type="pct" w:w="17%"/>
          </w:tcPr>
          <w:p>
            <w:r>
              <w:rPr>
                <w:rFonts w:ascii="Calibri" w:cs="Calibri" w:eastAsia="Calibri" w:hAnsi="Calibri"/>
                <w:b w:val="false"/>
                <w:bCs w:val="false"/>
                <w:i w:val="false"/>
                <w:iCs w:val="false"/>
                <w:strike w:val="false"/>
                <w:color w:val="000000"/>
                <w:sz w:val="20"/>
                <w:szCs w:val="20"/>
              </w:rPr>
              <w:t xml:space="preserve">Expiry and eviction policy</w:t>
            </w:r>
          </w:p>
        </w:tc>
      </w:tr>
      <w:tr>
        <w:trPr>
          <w:tblHeader w:val="false"/>
        </w:trPr>
        <w:tc>
          <w:tcPr>
            <w:tcW w:type="pct" w:w="12%"/>
          </w:tcPr>
          <w:p>
            <w:r>
              <w:rPr>
                <w:rFonts w:ascii="Consolas" w:cs="Consolas" w:eastAsia="Consolas" w:hAnsi="Consolas"/>
                <w:b/>
                <w:bCs/>
                <w:i w:val="false"/>
                <w:iCs w:val="false"/>
                <w:strike w:val="false"/>
                <w:color w:val="0D2A5E"/>
                <w:sz w:val="19"/>
                <w:szCs w:val="19"/>
              </w:rPr>
              <w:t xml:space="preserve">AccessControlList</w:t>
            </w:r>
          </w:p>
        </w:tc>
        <w:tc>
          <w:tcPr>
            <w:tcW w:type="pct" w:w="20%"/>
          </w:tcPr>
          <w:p>
            <w:r>
              <w:rPr>
                <w:rFonts w:ascii="Calibri" w:cs="Calibri" w:eastAsia="Calibri" w:hAnsi="Calibri"/>
                <w:b w:val="false"/>
                <w:bCs w:val="false"/>
                <w:i w:val="false"/>
                <w:iCs w:val="false"/>
                <w:strike w:val="false"/>
                <w:color w:val="000000"/>
                <w:sz w:val="20"/>
                <w:szCs w:val="20"/>
              </w:rPr>
              <w:t xml:space="preserve">List of ACLEntry</w:t>
            </w:r>
          </w:p>
        </w:tc>
        <w:tc>
          <w:tcPr>
            <w:tcW w:type="pct" w:w="10%"/>
          </w:tcPr>
          <w:p>
            <w:r>
              <w:rPr>
                <w:rFonts w:ascii="Calibri" w:cs="Calibri" w:eastAsia="Calibri" w:hAnsi="Calibri"/>
                <w:b w:val="false"/>
                <w:bCs w:val="false"/>
                <w:i w:val="false"/>
                <w:iCs w:val="false"/>
                <w:strike w:val="false"/>
                <w:color w:val="000000"/>
                <w:sz w:val="20"/>
                <w:szCs w:val="20"/>
              </w:rPr>
              <w:t xml:space="preserve">Required</w:t>
            </w:r>
          </w:p>
        </w:tc>
        <w:tc>
          <w:tcPr>
            <w:tcW w:type="pct" w:w="16%"/>
          </w:tcPr>
          <w:p>
            <w:r>
              <w:rPr>
                <w:rFonts w:ascii="Calibri" w:cs="Calibri" w:eastAsia="Calibri" w:hAnsi="Calibri"/>
                <w:b w:val="false"/>
                <w:bCs w:val="false"/>
                <w:i w:val="false"/>
                <w:iCs w:val="false"/>
                <w:strike w:val="false"/>
                <w:color w:val="000000"/>
                <w:sz w:val="20"/>
                <w:szCs w:val="20"/>
              </w:rPr>
              <w:t xml:space="preserve">OWNER entry for creating principal</w:t>
            </w:r>
          </w:p>
        </w:tc>
        <w:tc>
          <w:tcPr>
            <w:tcW w:type="pct" w:w="25%"/>
          </w:tcPr>
          <w:p>
            <w:r>
              <w:rPr>
                <w:rFonts w:ascii="Calibri" w:cs="Calibri" w:eastAsia="Calibri" w:hAnsi="Calibri"/>
                <w:b w:val="false"/>
                <w:bCs w:val="false"/>
                <w:i w:val="false"/>
                <w:iCs w:val="false"/>
                <w:strike w:val="false"/>
                <w:color w:val="000000"/>
                <w:sz w:val="20"/>
                <w:szCs w:val="20"/>
              </w:rPr>
              <w:t xml:space="preserve">Must contain at least one OWNER; DENY overrides ALLOW</w:t>
            </w:r>
          </w:p>
        </w:tc>
        <w:tc>
          <w:tcPr>
            <w:tcW w:type="pct" w:w="17%"/>
          </w:tcPr>
          <w:p>
            <w:r>
              <w:rPr>
                <w:rFonts w:ascii="Calibri" w:cs="Calibri" w:eastAsia="Calibri" w:hAnsi="Calibri"/>
                <w:b w:val="false"/>
                <w:bCs w:val="false"/>
                <w:i w:val="false"/>
                <w:iCs w:val="false"/>
                <w:strike w:val="false"/>
                <w:color w:val="000000"/>
                <w:sz w:val="20"/>
                <w:szCs w:val="20"/>
              </w:rPr>
              <w:t xml:space="preserve">Role-based and attribute-based access control</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B: Complete Ontology Mesh Top-Level Taxonomy</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Layer</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Category</w:t>
            </w:r>
          </w:p>
        </w:tc>
        <w:tc>
          <w:tcPr>
            <w:tcW w:type="pct" w:w="34%"/>
            <w:shd w:fill="DCE6F0" w:color="auto" w:val="clear"/>
          </w:tcPr>
          <w:p>
            <w:r>
              <w:rPr>
                <w:rFonts w:ascii="Calibri" w:cs="Calibri" w:eastAsia="Calibri" w:hAnsi="Calibri"/>
                <w:b/>
                <w:bCs/>
                <w:i w:val="false"/>
                <w:iCs w:val="false"/>
                <w:strike w:val="false"/>
                <w:color w:val="0D2A5E"/>
                <w:sz w:val="20"/>
                <w:szCs w:val="20"/>
              </w:rPr>
              <w:t xml:space="preserve">Subcategory</w:t>
            </w:r>
          </w:p>
        </w:tc>
        <w:tc>
          <w:tcPr>
            <w:tcW w:type="pct" w:w="46%"/>
            <w:shd w:fill="DCE6F0" w:color="auto" w:val="cle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Entity</w:t>
            </w:r>
          </w:p>
        </w:tc>
        <w:tc>
          <w:tcPr>
            <w:tcW w:type="pct" w:w="34%"/>
          </w:tcPr>
          <w:p>
            <w:r>
              <w:rPr>
                <w:rFonts w:ascii="Calibri" w:cs="Calibri" w:eastAsia="Calibri" w:hAnsi="Calibri"/>
                <w:b w:val="false"/>
                <w:bCs w:val="false"/>
                <w:i w:val="false"/>
                <w:iCs w:val="false"/>
                <w:strike w:val="false"/>
                <w:color w:val="000000"/>
                <w:sz w:val="20"/>
                <w:szCs w:val="20"/>
              </w:rPr>
              <w:t xml:space="preserve">Person, Organization, Location, Artifact, Biological_Organism, Abstract_Concept, Document, Dataset, System</w:t>
            </w:r>
          </w:p>
        </w:tc>
        <w:tc>
          <w:tcPr>
            <w:tcW w:type="pct" w:w="46%"/>
          </w:tcPr>
          <w:p>
            <w:r>
              <w:rPr>
                <w:rFonts w:ascii="Calibri" w:cs="Calibri" w:eastAsia="Calibri" w:hAnsi="Calibri"/>
                <w:b w:val="false"/>
                <w:bCs w:val="false"/>
                <w:i w:val="false"/>
                <w:iCs w:val="false"/>
                <w:strike w:val="false"/>
                <w:color w:val="000000"/>
                <w:sz w:val="20"/>
                <w:szCs w:val="20"/>
              </w:rPr>
              <w:t xml:space="preserve">A thing that exists independently and can be the subject or object of facts; the fundamental ontological category for named things in the world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Event</w:t>
            </w:r>
          </w:p>
        </w:tc>
        <w:tc>
          <w:tcPr>
            <w:tcW w:type="pct" w:w="34%"/>
          </w:tcPr>
          <w:p>
            <w:r>
              <w:rPr>
                <w:rFonts w:ascii="Calibri" w:cs="Calibri" w:eastAsia="Calibri" w:hAnsi="Calibri"/>
                <w:b w:val="false"/>
                <w:bCs w:val="false"/>
                <w:i w:val="false"/>
                <w:iCs w:val="false"/>
                <w:strike w:val="false"/>
                <w:color w:val="000000"/>
                <w:sz w:val="20"/>
                <w:szCs w:val="20"/>
              </w:rPr>
              <w:t xml:space="preserve">Natural_Event, Human_Activity, Process_Occurrence, Transaction, Communication_Event, Conflict_Event, Election_Event</w:t>
            </w:r>
          </w:p>
        </w:tc>
        <w:tc>
          <w:tcPr>
            <w:tcW w:type="pct" w:w="46%"/>
          </w:tcPr>
          <w:p>
            <w:r>
              <w:rPr>
                <w:rFonts w:ascii="Calibri" w:cs="Calibri" w:eastAsia="Calibri" w:hAnsi="Calibri"/>
                <w:b w:val="false"/>
                <w:bCs w:val="false"/>
                <w:i w:val="false"/>
                <w:iCs w:val="false"/>
                <w:strike w:val="false"/>
                <w:color w:val="000000"/>
                <w:sz w:val="20"/>
                <w:szCs w:val="20"/>
              </w:rPr>
              <w:t xml:space="preserve">A thing that happens at a specific time or over a time interval, involving participants; events are bounded in time and causally connected to states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State</w:t>
            </w:r>
          </w:p>
        </w:tc>
        <w:tc>
          <w:tcPr>
            <w:tcW w:type="pct" w:w="34%"/>
          </w:tcPr>
          <w:p>
            <w:r>
              <w:rPr>
                <w:rFonts w:ascii="Calibri" w:cs="Calibri" w:eastAsia="Calibri" w:hAnsi="Calibri"/>
                <w:b w:val="false"/>
                <w:bCs w:val="false"/>
                <w:i w:val="false"/>
                <w:iCs w:val="false"/>
                <w:strike w:val="false"/>
                <w:color w:val="000000"/>
                <w:sz w:val="20"/>
                <w:szCs w:val="20"/>
              </w:rPr>
              <w:t xml:space="preserve">Physical_State, Social_State, Economic_State, Epistemic_State, Legal_State, Health_State, Environmental_State</w:t>
            </w:r>
          </w:p>
        </w:tc>
        <w:tc>
          <w:tcPr>
            <w:tcW w:type="pct" w:w="46%"/>
          </w:tcPr>
          <w:p>
            <w:r>
              <w:rPr>
                <w:rFonts w:ascii="Calibri" w:cs="Calibri" w:eastAsia="Calibri" w:hAnsi="Calibri"/>
                <w:b w:val="false"/>
                <w:bCs w:val="false"/>
                <w:i w:val="false"/>
                <w:iCs w:val="false"/>
                <w:strike w:val="false"/>
                <w:color w:val="000000"/>
                <w:sz w:val="20"/>
                <w:szCs w:val="20"/>
              </w:rPr>
              <w:t xml:space="preserve">A condition or situation that holds for an entity over a time interval; states are the persistence medium between events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Relation</w:t>
            </w:r>
          </w:p>
        </w:tc>
        <w:tc>
          <w:tcPr>
            <w:tcW w:type="pct" w:w="34%"/>
          </w:tcPr>
          <w:p>
            <w:r>
              <w:rPr>
                <w:rFonts w:ascii="Calibri" w:cs="Calibri" w:eastAsia="Calibri" w:hAnsi="Calibri"/>
                <w:b w:val="false"/>
                <w:bCs w:val="false"/>
                <w:i w:val="false"/>
                <w:iCs w:val="false"/>
                <w:strike w:val="false"/>
                <w:color w:val="000000"/>
                <w:sz w:val="20"/>
                <w:szCs w:val="20"/>
              </w:rPr>
              <w:t xml:space="preserve">Causal_Relation, Parthood_Relation, Temporal_Relation, Social_Relation, Spatial_Relation, Equivalence_Relation, Opposition_Relation</w:t>
            </w:r>
          </w:p>
        </w:tc>
        <w:tc>
          <w:tcPr>
            <w:tcW w:type="pct" w:w="46%"/>
          </w:tcPr>
          <w:p>
            <w:r>
              <w:rPr>
                <w:rFonts w:ascii="Calibri" w:cs="Calibri" w:eastAsia="Calibri" w:hAnsi="Calibri"/>
                <w:b w:val="false"/>
                <w:bCs w:val="false"/>
                <w:i w:val="false"/>
                <w:iCs w:val="false"/>
                <w:strike w:val="false"/>
                <w:color w:val="000000"/>
                <w:sz w:val="20"/>
                <w:szCs w:val="20"/>
              </w:rPr>
              <w:t xml:space="preserve">A typed connection between two or more entities, events, or states; relations are the edges of the semantic world model</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Property</w:t>
            </w:r>
          </w:p>
        </w:tc>
        <w:tc>
          <w:tcPr>
            <w:tcW w:type="pct" w:w="34%"/>
          </w:tcPr>
          <w:p>
            <w:r>
              <w:rPr>
                <w:rFonts w:ascii="Calibri" w:cs="Calibri" w:eastAsia="Calibri" w:hAnsi="Calibri"/>
                <w:b w:val="false"/>
                <w:bCs w:val="false"/>
                <w:i w:val="false"/>
                <w:iCs w:val="false"/>
                <w:strike w:val="false"/>
                <w:color w:val="000000"/>
                <w:sz w:val="20"/>
                <w:szCs w:val="20"/>
              </w:rPr>
              <w:t xml:space="preserve">Physical_Property, Social_Property, Epistemic_Property, Normative_Property, Quantitative_Property, Qualitative_Property</w:t>
            </w:r>
          </w:p>
        </w:tc>
        <w:tc>
          <w:tcPr>
            <w:tcW w:type="pct" w:w="46%"/>
          </w:tcPr>
          <w:p>
            <w:r>
              <w:rPr>
                <w:rFonts w:ascii="Calibri" w:cs="Calibri" w:eastAsia="Calibri" w:hAnsi="Calibri"/>
                <w:b w:val="false"/>
                <w:bCs w:val="false"/>
                <w:i w:val="false"/>
                <w:iCs w:val="false"/>
                <w:strike w:val="false"/>
                <w:color w:val="000000"/>
                <w:sz w:val="20"/>
                <w:szCs w:val="20"/>
              </w:rPr>
              <w:t xml:space="preserve">An attribute or characteristic that an entity, event, or state may possess; properties are inherent features rather than relational connections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Process</w:t>
            </w:r>
          </w:p>
        </w:tc>
        <w:tc>
          <w:tcPr>
            <w:tcW w:type="pct" w:w="34%"/>
          </w:tcPr>
          <w:p>
            <w:r>
              <w:rPr>
                <w:rFonts w:ascii="Calibri" w:cs="Calibri" w:eastAsia="Calibri" w:hAnsi="Calibri"/>
                <w:b w:val="false"/>
                <w:bCs w:val="false"/>
                <w:i w:val="false"/>
                <w:iCs w:val="false"/>
                <w:strike w:val="false"/>
                <w:color w:val="000000"/>
                <w:sz w:val="20"/>
                <w:szCs w:val="20"/>
              </w:rPr>
              <w:t xml:space="preserve">Biological_Process, Chemical_Process, Social_Process, Computational_Process, Economic_Process, Geological_Process</w:t>
            </w:r>
          </w:p>
        </w:tc>
        <w:tc>
          <w:tcPr>
            <w:tcW w:type="pct" w:w="46%"/>
          </w:tcPr>
          <w:p>
            <w:r>
              <w:rPr>
                <w:rFonts w:ascii="Calibri" w:cs="Calibri" w:eastAsia="Calibri" w:hAnsi="Calibri"/>
                <w:b w:val="false"/>
                <w:bCs w:val="false"/>
                <w:i w:val="false"/>
                <w:iCs w:val="false"/>
                <w:strike w:val="false"/>
                <w:color w:val="000000"/>
                <w:sz w:val="20"/>
                <w:szCs w:val="20"/>
              </w:rPr>
              <w:t xml:space="preserve">A sequence of causally connected events or state changes that unfold over time according to regular patterns; processes are distinguished from events by their temporal extension and regularity</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Region</w:t>
            </w:r>
          </w:p>
        </w:tc>
        <w:tc>
          <w:tcPr>
            <w:tcW w:type="pct" w:w="34%"/>
          </w:tcPr>
          <w:p>
            <w:r>
              <w:rPr>
                <w:rFonts w:ascii="Calibri" w:cs="Calibri" w:eastAsia="Calibri" w:hAnsi="Calibri"/>
                <w:b w:val="false"/>
                <w:bCs w:val="false"/>
                <w:i w:val="false"/>
                <w:iCs w:val="false"/>
                <w:strike w:val="false"/>
                <w:color w:val="000000"/>
                <w:sz w:val="20"/>
                <w:szCs w:val="20"/>
              </w:rPr>
              <w:t xml:space="preserve">Geographic_Region, Temporal_Region, Conceptual_Domain, Administrative_Region, Cyberspace_Region</w:t>
            </w:r>
          </w:p>
        </w:tc>
        <w:tc>
          <w:tcPr>
            <w:tcW w:type="pct" w:w="46%"/>
          </w:tcPr>
          <w:p>
            <w:r>
              <w:rPr>
                <w:rFonts w:ascii="Calibri" w:cs="Calibri" w:eastAsia="Calibri" w:hAnsi="Calibri"/>
                <w:b w:val="false"/>
                <w:bCs w:val="false"/>
                <w:i w:val="false"/>
                <w:iCs w:val="false"/>
                <w:strike w:val="false"/>
                <w:color w:val="000000"/>
                <w:sz w:val="20"/>
                <w:szCs w:val="20"/>
              </w:rPr>
              <w:t xml:space="preserve">A bounded area in space, time, or an abstract domain; regions are the containers within which entities, events, and states are located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Upper</w:t>
            </w:r>
          </w:p>
        </w:tc>
        <w:tc>
          <w:tcPr>
            <w:tcW w:type="pct" w:w="11%"/>
          </w:tcPr>
          <w:p>
            <w:r>
              <w:rPr>
                <w:rFonts w:ascii="Calibri" w:cs="Calibri" w:eastAsia="Calibri" w:hAnsi="Calibri"/>
                <w:b w:val="false"/>
                <w:bCs w:val="false"/>
                <w:i w:val="false"/>
                <w:iCs w:val="false"/>
                <w:strike w:val="false"/>
                <w:color w:val="000000"/>
                <w:sz w:val="20"/>
                <w:szCs w:val="20"/>
              </w:rPr>
              <w:t xml:space="preserve">Time</w:t>
            </w:r>
          </w:p>
        </w:tc>
        <w:tc>
          <w:tcPr>
            <w:tcW w:type="pct" w:w="34%"/>
          </w:tcPr>
          <w:p>
            <w:r>
              <w:rPr>
                <w:rFonts w:ascii="Calibri" w:cs="Calibri" w:eastAsia="Calibri" w:hAnsi="Calibri"/>
                <w:b w:val="false"/>
                <w:bCs w:val="false"/>
                <w:i w:val="false"/>
                <w:iCs w:val="false"/>
                <w:strike w:val="false"/>
                <w:color w:val="000000"/>
                <w:sz w:val="20"/>
                <w:szCs w:val="20"/>
              </w:rPr>
              <w:t xml:space="preserve">Time_Instant, Time_Interval, Duration, Temporal_Order, Recurrence_Pattern</w:t>
            </w:r>
          </w:p>
        </w:tc>
        <w:tc>
          <w:tcPr>
            <w:tcW w:type="pct" w:w="46%"/>
          </w:tcPr>
          <w:p>
            <w:r>
              <w:rPr>
                <w:rFonts w:ascii="Calibri" w:cs="Calibri" w:eastAsia="Calibri" w:hAnsi="Calibri"/>
                <w:b w:val="false"/>
                <w:bCs w:val="false"/>
                <w:i w:val="false"/>
                <w:iCs w:val="false"/>
                <w:strike w:val="false"/>
                <w:color w:val="000000"/>
                <w:sz w:val="20"/>
                <w:szCs w:val="20"/>
              </w:rPr>
              <w:t xml:space="preserve">A representation of temporal position, interval, or ordering; the temporal ontology is unified with the TemporalAnchor Fact Unit field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Science (SCI)</w:t>
            </w:r>
          </w:p>
        </w:tc>
        <w:tc>
          <w:tcPr>
            <w:tcW w:type="pct" w:w="34%"/>
          </w:tcPr>
          <w:p>
            <w:r>
              <w:rPr>
                <w:rFonts w:ascii="Calibri" w:cs="Calibri" w:eastAsia="Calibri" w:hAnsi="Calibri"/>
                <w:b w:val="false"/>
                <w:bCs w:val="false"/>
                <w:i w:val="false"/>
                <w:iCs w:val="false"/>
                <w:strike w:val="false"/>
                <w:color w:val="000000"/>
                <w:sz w:val="20"/>
                <w:szCs w:val="20"/>
              </w:rPr>
              <w:t xml:space="preserve">ResearchStudy, Hypothesis, Experiment, Finding, Dataset, ResearchInstitution, Peer_Reviewed_Publication, Grant</w:t>
            </w:r>
          </w:p>
        </w:tc>
        <w:tc>
          <w:tcPr>
            <w:tcW w:type="pct" w:w="46%"/>
          </w:tcPr>
          <w:p>
            <w:r>
              <w:rPr>
                <w:rFonts w:ascii="Calibri" w:cs="Calibri" w:eastAsia="Calibri" w:hAnsi="Calibri"/>
                <w:b w:val="false"/>
                <w:bCs w:val="false"/>
                <w:i w:val="false"/>
                <w:iCs w:val="false"/>
                <w:strike w:val="false"/>
                <w:color w:val="000000"/>
                <w:sz w:val="20"/>
                <w:szCs w:val="20"/>
              </w:rPr>
              <w:t xml:space="preserve">Scientific entities and knowledge artifacts; governed by the SCI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Law (LAW)</w:t>
            </w:r>
          </w:p>
        </w:tc>
        <w:tc>
          <w:tcPr>
            <w:tcW w:type="pct" w:w="34%"/>
          </w:tcPr>
          <w:p>
            <w:r>
              <w:rPr>
                <w:rFonts w:ascii="Calibri" w:cs="Calibri" w:eastAsia="Calibri" w:hAnsi="Calibri"/>
                <w:b w:val="false"/>
                <w:bCs w:val="false"/>
                <w:i w:val="false"/>
                <w:iCs w:val="false"/>
                <w:strike w:val="false"/>
                <w:color w:val="000000"/>
                <w:sz w:val="20"/>
                <w:szCs w:val="20"/>
              </w:rPr>
              <w:t xml:space="preserve">Statute, Regulation, Case, Ruling, LegalEntity, Jurisdiction, Contract, Patent, Treaty, LegalPrecedent</w:t>
            </w:r>
          </w:p>
        </w:tc>
        <w:tc>
          <w:tcPr>
            <w:tcW w:type="pct" w:w="46%"/>
          </w:tcPr>
          <w:p>
            <w:r>
              <w:rPr>
                <w:rFonts w:ascii="Calibri" w:cs="Calibri" w:eastAsia="Calibri" w:hAnsi="Calibri"/>
                <w:b w:val="false"/>
                <w:bCs w:val="false"/>
                <w:i w:val="false"/>
                <w:iCs w:val="false"/>
                <w:strike w:val="false"/>
                <w:color w:val="000000"/>
                <w:sz w:val="20"/>
                <w:szCs w:val="20"/>
              </w:rPr>
              <w:t xml:space="preserve">Legal entities, documents, and processes; governed by the LAW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Medicine (MED)</w:t>
            </w:r>
          </w:p>
        </w:tc>
        <w:tc>
          <w:tcPr>
            <w:tcW w:type="pct" w:w="34%"/>
          </w:tcPr>
          <w:p>
            <w:r>
              <w:rPr>
                <w:rFonts w:ascii="Calibri" w:cs="Calibri" w:eastAsia="Calibri" w:hAnsi="Calibri"/>
                <w:b w:val="false"/>
                <w:bCs w:val="false"/>
                <w:i w:val="false"/>
                <w:iCs w:val="false"/>
                <w:strike w:val="false"/>
                <w:color w:val="000000"/>
                <w:sz w:val="20"/>
                <w:szCs w:val="20"/>
              </w:rPr>
              <w:t xml:space="preserve">Disease, Drug, ClinicalTrial, MedicalProcedure, Symptom, Biomarker, Patient_Cohort, Medical_Device, Protein, Gene</w:t>
            </w:r>
          </w:p>
        </w:tc>
        <w:tc>
          <w:tcPr>
            <w:tcW w:type="pct" w:w="46%"/>
          </w:tcPr>
          <w:p>
            <w:r>
              <w:rPr>
                <w:rFonts w:ascii="Calibri" w:cs="Calibri" w:eastAsia="Calibri" w:hAnsi="Calibri"/>
                <w:b w:val="false"/>
                <w:bCs w:val="false"/>
                <w:i w:val="false"/>
                <w:iCs w:val="false"/>
                <w:strike w:val="false"/>
                <w:color w:val="000000"/>
                <w:sz w:val="20"/>
                <w:szCs w:val="20"/>
              </w:rPr>
              <w:t xml:space="preserve">Medical and biomedical entities; governed by the MED domain ontology steward; HIPAA-sensitive by default</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Finance (FIN)</w:t>
            </w:r>
          </w:p>
        </w:tc>
        <w:tc>
          <w:tcPr>
            <w:tcW w:type="pct" w:w="34%"/>
          </w:tcPr>
          <w:p>
            <w:r>
              <w:rPr>
                <w:rFonts w:ascii="Calibri" w:cs="Calibri" w:eastAsia="Calibri" w:hAnsi="Calibri"/>
                <w:b w:val="false"/>
                <w:bCs w:val="false"/>
                <w:i w:val="false"/>
                <w:iCs w:val="false"/>
                <w:strike w:val="false"/>
                <w:color w:val="000000"/>
                <w:sz w:val="20"/>
                <w:szCs w:val="20"/>
              </w:rPr>
              <w:t xml:space="preserve">FinancialInstrument, Market, Transaction, Portfolio, RegulatoryBody, EconomicIndicator, Company, Fund, Exchange</w:t>
            </w:r>
          </w:p>
        </w:tc>
        <w:tc>
          <w:tcPr>
            <w:tcW w:type="pct" w:w="46%"/>
          </w:tcPr>
          <w:p>
            <w:r>
              <w:rPr>
                <w:rFonts w:ascii="Calibri" w:cs="Calibri" w:eastAsia="Calibri" w:hAnsi="Calibri"/>
                <w:b w:val="false"/>
                <w:bCs w:val="false"/>
                <w:i w:val="false"/>
                <w:iCs w:val="false"/>
                <w:strike w:val="false"/>
                <w:color w:val="000000"/>
                <w:sz w:val="20"/>
                <w:szCs w:val="20"/>
              </w:rPr>
              <w:t xml:space="preserve">Financial entities and instruments; governed by the FIN domain ontology steward; FINRA-regulated facts require additional SafetyFlags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Engineering (ENG)</w:t>
            </w:r>
          </w:p>
        </w:tc>
        <w:tc>
          <w:tcPr>
            <w:tcW w:type="pct" w:w="34%"/>
          </w:tcPr>
          <w:p>
            <w:r>
              <w:rPr>
                <w:rFonts w:ascii="Calibri" w:cs="Calibri" w:eastAsia="Calibri" w:hAnsi="Calibri"/>
                <w:b w:val="false"/>
                <w:bCs w:val="false"/>
                <w:i w:val="false"/>
                <w:iCs w:val="false"/>
                <w:strike w:val="false"/>
                <w:color w:val="000000"/>
                <w:sz w:val="20"/>
                <w:szCs w:val="20"/>
              </w:rPr>
              <w:t xml:space="preserve">SystemComponent, Interface, Specification, Standard, TechnicalProcess, Patent, SoftwareLibrary, HardwareComponent</w:t>
            </w:r>
          </w:p>
        </w:tc>
        <w:tc>
          <w:tcPr>
            <w:tcW w:type="pct" w:w="46%"/>
          </w:tcPr>
          <w:p>
            <w:r>
              <w:rPr>
                <w:rFonts w:ascii="Calibri" w:cs="Calibri" w:eastAsia="Calibri" w:hAnsi="Calibri"/>
                <w:b w:val="false"/>
                <w:bCs w:val="false"/>
                <w:i w:val="false"/>
                <w:iCs w:val="false"/>
                <w:strike w:val="false"/>
                <w:color w:val="000000"/>
                <w:sz w:val="20"/>
                <w:szCs w:val="20"/>
              </w:rPr>
              <w:t xml:space="preserve">Engineering and technical entities; governed by the ENG domain ontology steward; includes the QueryBook system's own self-description</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Geopolitics (GEO)</w:t>
            </w:r>
          </w:p>
        </w:tc>
        <w:tc>
          <w:tcPr>
            <w:tcW w:type="pct" w:w="34%"/>
          </w:tcPr>
          <w:p>
            <w:r>
              <w:rPr>
                <w:rFonts w:ascii="Calibri" w:cs="Calibri" w:eastAsia="Calibri" w:hAnsi="Calibri"/>
                <w:b w:val="false"/>
                <w:bCs w:val="false"/>
                <w:i w:val="false"/>
                <w:iCs w:val="false"/>
                <w:strike w:val="false"/>
                <w:color w:val="000000"/>
                <w:sz w:val="20"/>
                <w:szCs w:val="20"/>
              </w:rPr>
              <w:t xml:space="preserve">Country, Government, Military_Force, Treaty, PoliticalParty, ElectionEvent, ConflictEvent, SanctionRegime</w:t>
            </w:r>
          </w:p>
        </w:tc>
        <w:tc>
          <w:tcPr>
            <w:tcW w:type="pct" w:w="46%"/>
          </w:tcPr>
          <w:p>
            <w:r>
              <w:rPr>
                <w:rFonts w:ascii="Calibri" w:cs="Calibri" w:eastAsia="Calibri" w:hAnsi="Calibri"/>
                <w:b w:val="false"/>
                <w:bCs w:val="false"/>
                <w:i w:val="false"/>
                <w:iCs w:val="false"/>
                <w:strike w:val="false"/>
                <w:color w:val="000000"/>
                <w:sz w:val="20"/>
                <w:szCs w:val="20"/>
              </w:rPr>
              <w:t xml:space="preserve">Geopolitical entities and events; governed by the GEO domain ontology steward; high risk of EXPORT_CONTROLLED and LEGALLY_SENSITIVE flags</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Culture (CUL)</w:t>
            </w:r>
          </w:p>
        </w:tc>
        <w:tc>
          <w:tcPr>
            <w:tcW w:type="pct" w:w="34%"/>
          </w:tcPr>
          <w:p>
            <w:r>
              <w:rPr>
                <w:rFonts w:ascii="Calibri" w:cs="Calibri" w:eastAsia="Calibri" w:hAnsi="Calibri"/>
                <w:b w:val="false"/>
                <w:bCs w:val="false"/>
                <w:i w:val="false"/>
                <w:iCs w:val="false"/>
                <w:strike w:val="false"/>
                <w:color w:val="000000"/>
                <w:sz w:val="20"/>
                <w:szCs w:val="20"/>
              </w:rPr>
              <w:t xml:space="preserve">ArtWork, CulturalMovement, Language, Religion, CulturalPractice, Person, Historical_Period</w:t>
            </w:r>
          </w:p>
        </w:tc>
        <w:tc>
          <w:tcPr>
            <w:tcW w:type="pct" w:w="46%"/>
          </w:tcPr>
          <w:p>
            <w:r>
              <w:rPr>
                <w:rFonts w:ascii="Calibri" w:cs="Calibri" w:eastAsia="Calibri" w:hAnsi="Calibri"/>
                <w:b w:val="false"/>
                <w:bCs w:val="false"/>
                <w:i w:val="false"/>
                <w:iCs w:val="false"/>
                <w:strike w:val="false"/>
                <w:color w:val="000000"/>
                <w:sz w:val="20"/>
                <w:szCs w:val="20"/>
              </w:rPr>
              <w:t xml:space="preserve">Cultural entities and artifacts; governed by the CUL domain ontology steward</w:t>
            </w:r>
          </w:p>
        </w:tc>
      </w:tr>
      <w:tr>
        <w:trPr>
          <w:tblHeader w:val="false"/>
        </w:trPr>
        <w:tc>
          <w:tcPr>
            <w:tcW w:type="pct" w:w="9%"/>
          </w:tcPr>
          <w:p>
            <w:r>
              <w:rPr>
                <w:rFonts w:ascii="Calibri" w:cs="Calibri" w:eastAsia="Calibri" w:hAnsi="Calibri"/>
                <w:b w:val="false"/>
                <w:bCs w:val="false"/>
                <w:i w:val="false"/>
                <w:iCs w:val="false"/>
                <w:strike w:val="false"/>
                <w:color w:val="000000"/>
                <w:sz w:val="20"/>
                <w:szCs w:val="20"/>
              </w:rPr>
              <w:t xml:space="preserve">Domain</w:t>
            </w:r>
          </w:p>
        </w:tc>
        <w:tc>
          <w:tcPr>
            <w:tcW w:type="pct" w:w="11%"/>
          </w:tcPr>
          <w:p>
            <w:r>
              <w:rPr>
                <w:rFonts w:ascii="Calibri" w:cs="Calibri" w:eastAsia="Calibri" w:hAnsi="Calibri"/>
                <w:b w:val="false"/>
                <w:bCs w:val="false"/>
                <w:i w:val="false"/>
                <w:iCs w:val="false"/>
                <w:strike w:val="false"/>
                <w:color w:val="000000"/>
                <w:sz w:val="20"/>
                <w:szCs w:val="20"/>
              </w:rPr>
              <w:t xml:space="preserve">Technology (TEC)</w:t>
            </w:r>
          </w:p>
        </w:tc>
        <w:tc>
          <w:tcPr>
            <w:tcW w:type="pct" w:w="34%"/>
          </w:tcPr>
          <w:p>
            <w:r>
              <w:rPr>
                <w:rFonts w:ascii="Calibri" w:cs="Calibri" w:eastAsia="Calibri" w:hAnsi="Calibri"/>
                <w:b w:val="false"/>
                <w:bCs w:val="false"/>
                <w:i w:val="false"/>
                <w:iCs w:val="false"/>
                <w:strike w:val="false"/>
                <w:color w:val="000000"/>
                <w:sz w:val="20"/>
                <w:szCs w:val="20"/>
              </w:rPr>
              <w:t xml:space="preserve">SoftwareSystem, Algorithm, AIModel, HardwarePlatform, API, ComputingInfrastructure, DataFormat</w:t>
            </w:r>
          </w:p>
        </w:tc>
        <w:tc>
          <w:tcPr>
            <w:tcW w:type="pct" w:w="46%"/>
          </w:tcPr>
          <w:p>
            <w:r>
              <w:rPr>
                <w:rFonts w:ascii="Calibri" w:cs="Calibri" w:eastAsia="Calibri" w:hAnsi="Calibri"/>
                <w:b w:val="false"/>
                <w:bCs w:val="false"/>
                <w:i w:val="false"/>
                <w:iCs w:val="false"/>
                <w:strike w:val="false"/>
                <w:color w:val="000000"/>
                <w:sz w:val="20"/>
                <w:szCs w:val="20"/>
              </w:rPr>
              <w:t xml:space="preserve">Technology entities and systems; governed by the TEC domain ontology steward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C: QBF Byte Layout Diagram</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represents an annotated canonical QBF file byte layout for a single-Fact-Unit file. Byte offsets are relative to the start of the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CCCCC" w:sz="24"/>
              <w:bottom w:val="nil" w:color="FFFFFF" w:sz="0"/>
              <w:right w:val="nil" w:color="FFFFFF" w:sz="0"/>
            </w:tcBorders>
            <w:shd w:fill="F5F5F5" w:color="auto" w:val="clear"/>
            <w:tcMar>
              <w:top w:type="dxa" w:w="360"/>
              <w:left w:type="dxa" w:w="504"/>
              <w:bottom w:type="dxa" w:w="360"/>
              <w:right w:type="dxa" w:w="504"/>
            </w:tcMar>
          </w:tcPr>
          <w:p>
            <w:pPr>
              <w:spacing w:after="120" w:line="408" w:lineRule="auto"/>
            </w:pPr>
            <w:r>
              <w:rPr>
                <w:rFonts w:ascii="Calibri" w:cs="Calibri" w:eastAsia="Calibri" w:hAnsi="Calibri"/>
                <w:b w:val="false"/>
                <w:bCs w:val="false"/>
                <w:i w:val="false"/>
                <w:iCs w:val="false"/>
                <w:strike w:val="false"/>
                <w:color w:val="333333"/>
                <w:sz w:val="22"/>
                <w:szCs w:val="22"/>
              </w:rPr>
              <w:t xml:space="preserve">QBF CANONICAL BYTE LAYOUT (Single Fact Unit, Uncompressed,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OFFSET SIZE FIELD VALUE / DESCRIPTION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 ----------------------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0x0000 4 Magic bytes 51 42 46 00 ("QBF\0")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0x0004 1 Major version 01</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0x0005 1 Minor version 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HEADER BLOCK (256 bytes, starts at 0x0006)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0x0006 8 Total payload size uint64 LE (varies)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0x000E 8 Schema version uint64 LE (e.g., 00 01 00 00 = v1.0.0)</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0x0016 1 Compression algo 00 (NONE)</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0x0017 1 Encryption flag 00 (PLAINTEXT)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0x0018 1 Checksum algo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0x0019 1 Record type 01 (FACT_UNIT)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0x001A 8 Creation timestamp int64 LE (Unix nanoseconds UTC)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0x0022 8 FUID count 01 00 00 00 00 00 00 00 (1 Fact Unit)</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0x002A 8 Index offset 00 00 00 00 00 00 00 00 (no index)</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0x0032 12 Encryption IV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0x003E 16 Encryption tag 00...00 (not encrypted)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0x004E 180 Reserved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SCHEMA BLOCK (starts at 0x0106)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0x0106 4 Block length 00 00 00 00 (standard schema, 0 bytes)</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PAYLOAD BLOCK (starts at 0x010A)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0x010A -- Field presence bitmask [3 bytes: 21 fields → 3 bytes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0x010D 16 FUID [16 bytes UUID, big-endian]</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0x011D varint FactType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0x012D varint SubjectRef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0x013D varint PredicateRef [UUID ref, 16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0x014D -- ObjectRef / ObjectValue [conditional, type-prefixed]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TemporalAnchor [struct: T_start int64, T_end int64/null,</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T_granularity varint, T_confidence float32]</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ConfidenceScore [float32,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ProvenanceRef [SHA-256,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0x-- 32 SemanticHash [SHA-3/256, 32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 ModalitySignature [uint8 bitmask]</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0x-- 16388 EmbeddingVector ref [4-byte dim prefix + 4096*4 float32 OR</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4-byte sidecar CID length + CID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RelationSet [4-byte count + count * RelationEdge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SafetyFlags [uint32 LE, 4 bytes]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LinguisticMetadata [struct: language string + 2 enums]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0x-- -- AccessControlList [4-byte count + count * ACLEntry records]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[Optional fields follow if presence bits set]</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INDEX BLOCK (absent in this example) --</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 TRAILER BLOCK (64 bytes, at end of file) --</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EOF-64 4 CRC-32C checksum [CRC-32C of bytes 0x0000 through EOF-65]</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EOF-60 1 Checksum type 00 (CRC32C)</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EOF-59 32 Extended hash 00...00 (not enabled)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EOF-27 2 ECDSA sig length 00 00 (unsigned)</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EOF-25 4 EOF marker 51 42 45 4F ("QBEO")</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EOF-21 21 Pad 00...00</w:t>
            </w:r>
            <w:r>
              <w:rPr>
                <w:rFonts w:ascii="Calibri" w:cs="Calibri" w:eastAsia="Calibri" w:hAnsi="Calibri"/>
                <w:b w:val="false"/>
                <w:bCs w:val="false"/>
                <w:i w:val="false"/>
                <w:iCs w:val="false"/>
                <w:color w:val="333333"/>
                <w:sz w:val="22"/>
                <w:szCs w:val="22"/>
              </w:rPr>
              <w:br/>
              <w:br/>
            </w:r>
            <w:r>
              <w:rPr>
                <w:rFonts w:ascii="Calibri" w:cs="Calibri" w:eastAsia="Calibri" w:hAnsi="Calibri"/>
                <w:b w:val="false"/>
                <w:bCs w:val="false"/>
                <w:i w:val="false"/>
                <w:iCs w:val="false"/>
                <w:strike w:val="false"/>
                <w:color w:val="333333"/>
                <w:sz w:val="22"/>
                <w:szCs w:val="22"/>
              </w:rPr>
              <w:t xml:space="preserve">NOTE: Fields marked "--" for offset have variable starting positions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dependent on preceding variable-length fields. Implementors</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must use the field presence bitmask and length-prefixed encoding</w:t>
            </w:r>
            <w:r>
              <w:rPr>
                <w:rFonts w:ascii="Calibri" w:cs="Calibri" w:eastAsia="Calibri" w:hAnsi="Calibri"/>
                <w:b w:val="false"/>
                <w:bCs w:val="false"/>
                <w:i w:val="false"/>
                <w:iCs w:val="false"/>
                <w:color w:val="333333"/>
                <w:sz w:val="22"/>
                <w:szCs w:val="22"/>
              </w:rPr>
              <w:br/>
            </w:r>
            <w:r>
              <w:rPr>
                <w:rFonts w:ascii="Calibri" w:cs="Calibri" w:eastAsia="Calibri" w:hAnsi="Calibri"/>
                <w:b w:val="false"/>
                <w:bCs w:val="false"/>
                <w:i w:val="false"/>
                <w:iCs w:val="false"/>
                <w:strike w:val="false"/>
                <w:color w:val="333333"/>
                <w:sz w:val="22"/>
                <w:szCs w:val="22"/>
              </w:rPr>
              <w:t xml:space="preserve"> rules specified in Section 13.3 to parse variable-position fields.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D: Safety Flag Bitmask Reference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Bit Position</w:t>
            </w:r>
          </w:p>
        </w:tc>
        <w:tc>
          <w:tcPr>
            <w:tcW w:type="pct" w:w="11%"/>
            <w:shd w:fill="DCE6F0" w:color="auto" w:val="clear"/>
          </w:tcPr>
          <w:p>
            <w:r>
              <w:rPr>
                <w:rFonts w:ascii="Calibri" w:cs="Calibri" w:eastAsia="Calibri" w:hAnsi="Calibri"/>
                <w:b/>
                <w:bCs/>
                <w:i w:val="false"/>
                <w:iCs w:val="false"/>
                <w:strike w:val="false"/>
                <w:color w:val="0D2A5E"/>
                <w:sz w:val="20"/>
                <w:szCs w:val="20"/>
              </w:rPr>
              <w:t xml:space="preserve">Hex Mask</w:t>
            </w:r>
          </w:p>
        </w:tc>
        <w:tc>
          <w:tcPr>
            <w:tcW w:type="pct" w:w="16%"/>
            <w:shd w:fill="DCE6F0" w:color="auto" w:val="clear"/>
          </w:tcPr>
          <w:p>
            <w:r>
              <w:rPr>
                <w:rFonts w:ascii="Calibri" w:cs="Calibri" w:eastAsia="Calibri" w:hAnsi="Calibri"/>
                <w:b/>
                <w:bCs/>
                <w:i w:val="false"/>
                <w:iCs w:val="false"/>
                <w:strike w:val="false"/>
                <w:color w:val="0D2A5E"/>
                <w:sz w:val="20"/>
                <w:szCs w:val="20"/>
              </w:rPr>
              <w:t xml:space="preserve">Flag Name</w:t>
            </w:r>
          </w:p>
        </w:tc>
        <w:tc>
          <w:tcPr>
            <w:tcW w:type="pct" w:w="26%"/>
            <w:shd w:fill="DCE6F0" w:color="auto" w:val="clear"/>
          </w:tcPr>
          <w:p>
            <w:r>
              <w:rPr>
                <w:rFonts w:ascii="Calibri" w:cs="Calibri" w:eastAsia="Calibri" w:hAnsi="Calibri"/>
                <w:b/>
                <w:bCs/>
                <w:i w:val="false"/>
                <w:iCs w:val="false"/>
                <w:strike w:val="false"/>
                <w:color w:val="0D2A5E"/>
                <w:sz w:val="20"/>
                <w:szCs w:val="20"/>
              </w:rPr>
              <w:t xml:space="preserve">Description</w:t>
            </w:r>
          </w:p>
        </w:tc>
        <w:tc>
          <w:tcPr>
            <w:tcW w:type="pct" w:w="36%"/>
            <w:shd w:fill="DCE6F0" w:color="auto" w:val="clear"/>
          </w:tcPr>
          <w:p>
            <w:r>
              <w:rPr>
                <w:rFonts w:ascii="Calibri" w:cs="Calibri" w:eastAsia="Calibri" w:hAnsi="Calibri"/>
                <w:b/>
                <w:bCs/>
                <w:i w:val="false"/>
                <w:iCs w:val="false"/>
                <w:strike w:val="false"/>
                <w:color w:val="0D2A5E"/>
                <w:sz w:val="20"/>
                <w:szCs w:val="20"/>
              </w:rPr>
              <w:t xml:space="preserve">Primary Enforcement Actions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0</w:t>
            </w:r>
          </w:p>
        </w:tc>
        <w:tc>
          <w:tcPr>
            <w:tcW w:type="pct" w:w="11%"/>
          </w:tcPr>
          <w:p>
            <w:r>
              <w:rPr>
                <w:rFonts w:ascii="Calibri" w:cs="Calibri" w:eastAsia="Calibri" w:hAnsi="Calibri"/>
                <w:b w:val="false"/>
                <w:bCs w:val="false"/>
                <w:i w:val="false"/>
                <w:iCs w:val="false"/>
                <w:strike w:val="false"/>
                <w:color w:val="000000"/>
                <w:sz w:val="20"/>
                <w:szCs w:val="20"/>
              </w:rPr>
              <w:t xml:space="preserve">0x00000001</w:t>
            </w:r>
          </w:p>
        </w:tc>
        <w:tc>
          <w:tcPr>
            <w:tcW w:type="pct" w:w="16%"/>
          </w:tcPr>
          <w:p>
            <w:r>
              <w:rPr>
                <w:rFonts w:ascii="Calibri" w:cs="Calibri" w:eastAsia="Calibri" w:hAnsi="Calibri"/>
                <w:b w:val="false"/>
                <w:bCs w:val="false"/>
                <w:i w:val="false"/>
                <w:iCs w:val="false"/>
                <w:strike w:val="false"/>
                <w:color w:val="000000"/>
                <w:sz w:val="20"/>
                <w:szCs w:val="20"/>
              </w:rPr>
              <w:t xml:space="preserve">SAFE</w:t>
            </w:r>
          </w:p>
        </w:tc>
        <w:tc>
          <w:tcPr>
            <w:tcW w:type="pct" w:w="26%"/>
          </w:tcPr>
          <w:p>
            <w:r>
              <w:rPr>
                <w:rFonts w:ascii="Calibri" w:cs="Calibri" w:eastAsia="Calibri" w:hAnsi="Calibri"/>
                <w:b w:val="false"/>
                <w:bCs w:val="false"/>
                <w:i w:val="false"/>
                <w:iCs w:val="false"/>
                <w:strike w:val="false"/>
                <w:color w:val="000000"/>
                <w:sz w:val="20"/>
                <w:szCs w:val="20"/>
              </w:rPr>
              <w:t xml:space="preserve">No special restrictions; default state</w:t>
            </w:r>
          </w:p>
        </w:tc>
        <w:tc>
          <w:tcPr>
            <w:tcW w:type="pct" w:w="36%"/>
          </w:tcPr>
          <w:p>
            <w:r>
              <w:rPr>
                <w:rFonts w:ascii="Calibri" w:cs="Calibri" w:eastAsia="Calibri" w:hAnsi="Calibri"/>
                <w:b w:val="false"/>
                <w:bCs w:val="false"/>
                <w:i w:val="false"/>
                <w:iCs w:val="false"/>
                <w:strike w:val="false"/>
                <w:color w:val="000000"/>
                <w:sz w:val="20"/>
                <w:szCs w:val="20"/>
              </w:rPr>
              <w:t xml:space="preserve">ACL enforcement only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w:t>
            </w:r>
          </w:p>
        </w:tc>
        <w:tc>
          <w:tcPr>
            <w:tcW w:type="pct" w:w="11%"/>
          </w:tcPr>
          <w:p>
            <w:r>
              <w:rPr>
                <w:rFonts w:ascii="Calibri" w:cs="Calibri" w:eastAsia="Calibri" w:hAnsi="Calibri"/>
                <w:b w:val="false"/>
                <w:bCs w:val="false"/>
                <w:i w:val="false"/>
                <w:iCs w:val="false"/>
                <w:strike w:val="false"/>
                <w:color w:val="000000"/>
                <w:sz w:val="20"/>
                <w:szCs w:val="20"/>
              </w:rPr>
              <w:t xml:space="preserve">0x00000002</w:t>
            </w:r>
          </w:p>
        </w:tc>
        <w:tc>
          <w:tcPr>
            <w:tcW w:type="pct" w:w="16%"/>
          </w:tcPr>
          <w:p>
            <w:r>
              <w:rPr>
                <w:rFonts w:ascii="Calibri" w:cs="Calibri" w:eastAsia="Calibri" w:hAnsi="Calibri"/>
                <w:b w:val="false"/>
                <w:bCs w:val="false"/>
                <w:i w:val="false"/>
                <w:iCs w:val="false"/>
                <w:strike w:val="false"/>
                <w:color w:val="000000"/>
                <w:sz w:val="20"/>
                <w:szCs w:val="20"/>
              </w:rPr>
              <w:t xml:space="preserve">SENSITIVE</w:t>
            </w:r>
          </w:p>
        </w:tc>
        <w:tc>
          <w:tcPr>
            <w:tcW w:type="pct" w:w="26%"/>
          </w:tcPr>
          <w:p>
            <w:r>
              <w:rPr>
                <w:rFonts w:ascii="Calibri" w:cs="Calibri" w:eastAsia="Calibri" w:hAnsi="Calibri"/>
                <w:b w:val="false"/>
                <w:bCs w:val="false"/>
                <w:i w:val="false"/>
                <w:iCs w:val="false"/>
                <w:strike w:val="false"/>
                <w:color w:val="000000"/>
                <w:sz w:val="20"/>
                <w:szCs w:val="20"/>
              </w:rPr>
              <w:t xml:space="preserve">Elevated access scrutiny warranted</w:t>
            </w:r>
          </w:p>
        </w:tc>
        <w:tc>
          <w:tcPr>
            <w:tcW w:type="pct" w:w="36%"/>
          </w:tcPr>
          <w:p>
            <w:r>
              <w:rPr>
                <w:rFonts w:ascii="Calibri" w:cs="Calibri" w:eastAsia="Calibri" w:hAnsi="Calibri"/>
                <w:b w:val="false"/>
                <w:bCs w:val="false"/>
                <w:i w:val="false"/>
                <w:iCs w:val="false"/>
                <w:strike w:val="false"/>
                <w:color w:val="000000"/>
                <w:sz w:val="20"/>
                <w:szCs w:val="20"/>
              </w:rPr>
              <w:t xml:space="preserve">Authentication required; all access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2</w:t>
            </w:r>
          </w:p>
        </w:tc>
        <w:tc>
          <w:tcPr>
            <w:tcW w:type="pct" w:w="11%"/>
          </w:tcPr>
          <w:p>
            <w:r>
              <w:rPr>
                <w:rFonts w:ascii="Calibri" w:cs="Calibri" w:eastAsia="Calibri" w:hAnsi="Calibri"/>
                <w:b w:val="false"/>
                <w:bCs w:val="false"/>
                <w:i w:val="false"/>
                <w:iCs w:val="false"/>
                <w:strike w:val="false"/>
                <w:color w:val="000000"/>
                <w:sz w:val="20"/>
                <w:szCs w:val="20"/>
              </w:rPr>
              <w:t xml:space="preserve">0x00000004</w:t>
            </w:r>
          </w:p>
        </w:tc>
        <w:tc>
          <w:tcPr>
            <w:tcW w:type="pct" w:w="16%"/>
          </w:tcPr>
          <w:p>
            <w:r>
              <w:rPr>
                <w:rFonts w:ascii="Calibri" w:cs="Calibri" w:eastAsia="Calibri" w:hAnsi="Calibri"/>
                <w:b w:val="false"/>
                <w:bCs w:val="false"/>
                <w:i w:val="false"/>
                <w:iCs w:val="false"/>
                <w:strike w:val="false"/>
                <w:color w:val="000000"/>
                <w:sz w:val="20"/>
                <w:szCs w:val="20"/>
              </w:rPr>
              <w:t xml:space="preserve">RESTRICTED</w:t>
            </w:r>
          </w:p>
        </w:tc>
        <w:tc>
          <w:tcPr>
            <w:tcW w:type="pct" w:w="26%"/>
          </w:tcPr>
          <w:p>
            <w:r>
              <w:rPr>
                <w:rFonts w:ascii="Calibri" w:cs="Calibri" w:eastAsia="Calibri" w:hAnsi="Calibri"/>
                <w:b w:val="false"/>
                <w:bCs w:val="false"/>
                <w:i w:val="false"/>
                <w:iCs w:val="false"/>
                <w:strike w:val="false"/>
                <w:color w:val="000000"/>
                <w:sz w:val="20"/>
                <w:szCs w:val="20"/>
              </w:rPr>
              <w:t xml:space="preserve">Role-based access limitation</w:t>
            </w:r>
          </w:p>
        </w:tc>
        <w:tc>
          <w:tcPr>
            <w:tcW w:type="pct" w:w="36%"/>
          </w:tcPr>
          <w:p>
            <w:r>
              <w:rPr>
                <w:rFonts w:ascii="Calibri" w:cs="Calibri" w:eastAsia="Calibri" w:hAnsi="Calibri"/>
                <w:b w:val="false"/>
                <w:bCs w:val="false"/>
                <w:i w:val="false"/>
                <w:iCs w:val="false"/>
                <w:strike w:val="false"/>
                <w:color w:val="000000"/>
                <w:sz w:val="20"/>
                <w:szCs w:val="20"/>
              </w:rPr>
              <w:t xml:space="preserve">RBAC enforced; all queries logged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3</w:t>
            </w:r>
          </w:p>
        </w:tc>
        <w:tc>
          <w:tcPr>
            <w:tcW w:type="pct" w:w="11%"/>
          </w:tcPr>
          <w:p>
            <w:r>
              <w:rPr>
                <w:rFonts w:ascii="Calibri" w:cs="Calibri" w:eastAsia="Calibri" w:hAnsi="Calibri"/>
                <w:b w:val="false"/>
                <w:bCs w:val="false"/>
                <w:i w:val="false"/>
                <w:iCs w:val="false"/>
                <w:strike w:val="false"/>
                <w:color w:val="000000"/>
                <w:sz w:val="20"/>
                <w:szCs w:val="20"/>
              </w:rPr>
              <w:t xml:space="preserve">0x00000008</w:t>
            </w:r>
          </w:p>
        </w:tc>
        <w:tc>
          <w:tcPr>
            <w:tcW w:type="pct" w:w="16%"/>
          </w:tcPr>
          <w:p>
            <w:r>
              <w:rPr>
                <w:rFonts w:ascii="Calibri" w:cs="Calibri" w:eastAsia="Calibri" w:hAnsi="Calibri"/>
                <w:b w:val="false"/>
                <w:bCs w:val="false"/>
                <w:i w:val="false"/>
                <w:iCs w:val="false"/>
                <w:strike w:val="false"/>
                <w:color w:val="000000"/>
                <w:sz w:val="20"/>
                <w:szCs w:val="20"/>
              </w:rPr>
              <w:t xml:space="preserve">CONFIDENTIAL</w:t>
            </w:r>
          </w:p>
        </w:tc>
        <w:tc>
          <w:tcPr>
            <w:tcW w:type="pct" w:w="26%"/>
          </w:tcPr>
          <w:p>
            <w:r>
              <w:rPr>
                <w:rFonts w:ascii="Calibri" w:cs="Calibri" w:eastAsia="Calibri" w:hAnsi="Calibri"/>
                <w:b w:val="false"/>
                <w:bCs w:val="false"/>
                <w:i w:val="false"/>
                <w:iCs w:val="false"/>
                <w:strike w:val="false"/>
                <w:color w:val="000000"/>
                <w:sz w:val="20"/>
                <w:szCs w:val="20"/>
              </w:rPr>
              <w:t xml:space="preserve">Commercial/legally protected content</w:t>
            </w:r>
          </w:p>
        </w:tc>
        <w:tc>
          <w:tcPr>
            <w:tcW w:type="pct" w:w="36%"/>
          </w:tcPr>
          <w:p>
            <w:r>
              <w:rPr>
                <w:rFonts w:ascii="Calibri" w:cs="Calibri" w:eastAsia="Calibri" w:hAnsi="Calibri"/>
                <w:b w:val="false"/>
                <w:bCs w:val="false"/>
                <w:i w:val="false"/>
                <w:iCs w:val="false"/>
                <w:strike w:val="false"/>
                <w:color w:val="000000"/>
                <w:sz w:val="20"/>
                <w:szCs w:val="20"/>
              </w:rPr>
              <w:t xml:space="preserve">AES-256-GCM at rest and in transit; HSM key management</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4</w:t>
            </w:r>
          </w:p>
        </w:tc>
        <w:tc>
          <w:tcPr>
            <w:tcW w:type="pct" w:w="11%"/>
          </w:tcPr>
          <w:p>
            <w:r>
              <w:rPr>
                <w:rFonts w:ascii="Calibri" w:cs="Calibri" w:eastAsia="Calibri" w:hAnsi="Calibri"/>
                <w:b w:val="false"/>
                <w:bCs w:val="false"/>
                <w:i w:val="false"/>
                <w:iCs w:val="false"/>
                <w:strike w:val="false"/>
                <w:color w:val="000000"/>
                <w:sz w:val="20"/>
                <w:szCs w:val="20"/>
              </w:rPr>
              <w:t xml:space="preserve">0x00000010</w:t>
            </w:r>
          </w:p>
        </w:tc>
        <w:tc>
          <w:tcPr>
            <w:tcW w:type="pct" w:w="16%"/>
          </w:tcPr>
          <w:p>
            <w:r>
              <w:rPr>
                <w:rFonts w:ascii="Calibri" w:cs="Calibri" w:eastAsia="Calibri" w:hAnsi="Calibri"/>
                <w:b w:val="false"/>
                <w:bCs w:val="false"/>
                <w:i w:val="false"/>
                <w:iCs w:val="false"/>
                <w:strike w:val="false"/>
                <w:color w:val="000000"/>
                <w:sz w:val="20"/>
                <w:szCs w:val="20"/>
              </w:rPr>
              <w:t xml:space="preserve">HAZARDOUS</w:t>
            </w:r>
          </w:p>
        </w:tc>
        <w:tc>
          <w:tcPr>
            <w:tcW w:type="pct" w:w="26%"/>
          </w:tcPr>
          <w:p>
            <w:r>
              <w:rPr>
                <w:rFonts w:ascii="Calibri" w:cs="Calibri" w:eastAsia="Calibri" w:hAnsi="Calibri"/>
                <w:b w:val="false"/>
                <w:bCs w:val="false"/>
                <w:i w:val="false"/>
                <w:iCs w:val="false"/>
                <w:strike w:val="false"/>
                <w:color w:val="000000"/>
                <w:sz w:val="20"/>
                <w:szCs w:val="20"/>
              </w:rPr>
              <w:t xml:space="preserve">Could facilitate harm if improperly accessed</w:t>
            </w:r>
          </w:p>
        </w:tc>
        <w:tc>
          <w:tcPr>
            <w:tcW w:type="pct" w:w="36%"/>
          </w:tcPr>
          <w:p>
            <w:r>
              <w:rPr>
                <w:rFonts w:ascii="Calibri" w:cs="Calibri" w:eastAsia="Calibri" w:hAnsi="Calibri"/>
                <w:b w:val="false"/>
                <w:bCs w:val="false"/>
                <w:i w:val="false"/>
                <w:iCs w:val="false"/>
                <w:strike w:val="false"/>
                <w:color w:val="000000"/>
                <w:sz w:val="20"/>
                <w:szCs w:val="20"/>
              </w:rPr>
              <w:t xml:space="preserve">Dual-approval for retrieval/modification; written justification required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5</w:t>
            </w:r>
          </w:p>
        </w:tc>
        <w:tc>
          <w:tcPr>
            <w:tcW w:type="pct" w:w="11%"/>
          </w:tcPr>
          <w:p>
            <w:r>
              <w:rPr>
                <w:rFonts w:ascii="Calibri" w:cs="Calibri" w:eastAsia="Calibri" w:hAnsi="Calibri"/>
                <w:b w:val="false"/>
                <w:bCs w:val="false"/>
                <w:i w:val="false"/>
                <w:iCs w:val="false"/>
                <w:strike w:val="false"/>
                <w:color w:val="000000"/>
                <w:sz w:val="20"/>
                <w:szCs w:val="20"/>
              </w:rPr>
              <w:t xml:space="preserve">0x00000020</w:t>
            </w:r>
          </w:p>
        </w:tc>
        <w:tc>
          <w:tcPr>
            <w:tcW w:type="pct" w:w="16%"/>
          </w:tcPr>
          <w:p>
            <w:r>
              <w:rPr>
                <w:rFonts w:ascii="Calibri" w:cs="Calibri" w:eastAsia="Calibri" w:hAnsi="Calibri"/>
                <w:b w:val="false"/>
                <w:bCs w:val="false"/>
                <w:i w:val="false"/>
                <w:iCs w:val="false"/>
                <w:strike w:val="false"/>
                <w:color w:val="000000"/>
                <w:sz w:val="20"/>
                <w:szCs w:val="20"/>
              </w:rPr>
              <w:t xml:space="preserve">LEGALLY_SENSITIVE</w:t>
            </w:r>
          </w:p>
        </w:tc>
        <w:tc>
          <w:tcPr>
            <w:tcW w:type="pct" w:w="26%"/>
          </w:tcPr>
          <w:p>
            <w:r>
              <w:rPr>
                <w:rFonts w:ascii="Calibri" w:cs="Calibri" w:eastAsia="Calibri" w:hAnsi="Calibri"/>
                <w:b w:val="false"/>
                <w:bCs w:val="false"/>
                <w:i w:val="false"/>
                <w:iCs w:val="false"/>
                <w:strike w:val="false"/>
                <w:color w:val="000000"/>
                <w:sz w:val="20"/>
                <w:szCs w:val="20"/>
              </w:rPr>
              <w:t xml:space="preserve">Subject to legal privilege or hold</w:t>
            </w:r>
          </w:p>
        </w:tc>
        <w:tc>
          <w:tcPr>
            <w:tcW w:type="pct" w:w="36%"/>
          </w:tcPr>
          <w:p>
            <w:r>
              <w:rPr>
                <w:rFonts w:ascii="Calibri" w:cs="Calibri" w:eastAsia="Calibri" w:hAnsi="Calibri"/>
                <w:b w:val="false"/>
                <w:bCs w:val="false"/>
                <w:i w:val="false"/>
                <w:iCs w:val="false"/>
                <w:strike w:val="false"/>
                <w:color w:val="000000"/>
                <w:sz w:val="20"/>
                <w:szCs w:val="20"/>
              </w:rPr>
              <w:t xml:space="preserve">Legal review before export; litigation hold prevents archival</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6</w:t>
            </w:r>
          </w:p>
        </w:tc>
        <w:tc>
          <w:tcPr>
            <w:tcW w:type="pct" w:w="11%"/>
          </w:tcPr>
          <w:p>
            <w:r>
              <w:rPr>
                <w:rFonts w:ascii="Calibri" w:cs="Calibri" w:eastAsia="Calibri" w:hAnsi="Calibri"/>
                <w:b w:val="false"/>
                <w:bCs w:val="false"/>
                <w:i w:val="false"/>
                <w:iCs w:val="false"/>
                <w:strike w:val="false"/>
                <w:color w:val="000000"/>
                <w:sz w:val="20"/>
                <w:szCs w:val="20"/>
              </w:rPr>
              <w:t xml:space="preserve">0x00000040</w:t>
            </w:r>
          </w:p>
        </w:tc>
        <w:tc>
          <w:tcPr>
            <w:tcW w:type="pct" w:w="16%"/>
          </w:tcPr>
          <w:p>
            <w:r>
              <w:rPr>
                <w:rFonts w:ascii="Calibri" w:cs="Calibri" w:eastAsia="Calibri" w:hAnsi="Calibri"/>
                <w:b w:val="false"/>
                <w:bCs w:val="false"/>
                <w:i w:val="false"/>
                <w:iCs w:val="false"/>
                <w:strike w:val="false"/>
                <w:color w:val="000000"/>
                <w:sz w:val="20"/>
                <w:szCs w:val="20"/>
              </w:rPr>
              <w:t xml:space="preserve">PERSONALLY_IDENTIFIABLE</w:t>
            </w:r>
          </w:p>
        </w:tc>
        <w:tc>
          <w:tcPr>
            <w:tcW w:type="pct" w:w="26%"/>
          </w:tcPr>
          <w:p>
            <w:r>
              <w:rPr>
                <w:rFonts w:ascii="Calibri" w:cs="Calibri" w:eastAsia="Calibri" w:hAnsi="Calibri"/>
                <w:b w:val="false"/>
                <w:bCs w:val="false"/>
                <w:i w:val="false"/>
                <w:iCs w:val="false"/>
                <w:strike w:val="false"/>
                <w:color w:val="000000"/>
                <w:sz w:val="20"/>
                <w:szCs w:val="20"/>
              </w:rPr>
              <w:t xml:space="preserve">Contains or derived from PII</w:t>
            </w:r>
          </w:p>
        </w:tc>
        <w:tc>
          <w:tcPr>
            <w:tcW w:type="pct" w:w="36%"/>
          </w:tcPr>
          <w:p>
            <w:r>
              <w:rPr>
                <w:rFonts w:ascii="Calibri" w:cs="Calibri" w:eastAsia="Calibri" w:hAnsi="Calibri"/>
                <w:b w:val="false"/>
                <w:bCs w:val="false"/>
                <w:i w:val="false"/>
                <w:iCs w:val="false"/>
                <w:strike w:val="false"/>
                <w:color w:val="000000"/>
                <w:sz w:val="20"/>
                <w:szCs w:val="20"/>
              </w:rPr>
              <w:t xml:space="preserve">Consent verification; purpose limitation; GDPR Article 25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7</w:t>
            </w:r>
          </w:p>
        </w:tc>
        <w:tc>
          <w:tcPr>
            <w:tcW w:type="pct" w:w="11%"/>
          </w:tcPr>
          <w:p>
            <w:r>
              <w:rPr>
                <w:rFonts w:ascii="Calibri" w:cs="Calibri" w:eastAsia="Calibri" w:hAnsi="Calibri"/>
                <w:b w:val="false"/>
                <w:bCs w:val="false"/>
                <w:i w:val="false"/>
                <w:iCs w:val="false"/>
                <w:strike w:val="false"/>
                <w:color w:val="000000"/>
                <w:sz w:val="20"/>
                <w:szCs w:val="20"/>
              </w:rPr>
              <w:t xml:space="preserve">0x00000080</w:t>
            </w:r>
          </w:p>
        </w:tc>
        <w:tc>
          <w:tcPr>
            <w:tcW w:type="pct" w:w="16%"/>
          </w:tcPr>
          <w:p>
            <w:r>
              <w:rPr>
                <w:rFonts w:ascii="Calibri" w:cs="Calibri" w:eastAsia="Calibri" w:hAnsi="Calibri"/>
                <w:b w:val="false"/>
                <w:bCs w:val="false"/>
                <w:i w:val="false"/>
                <w:iCs w:val="false"/>
                <w:strike w:val="false"/>
                <w:color w:val="000000"/>
                <w:sz w:val="20"/>
                <w:szCs w:val="20"/>
              </w:rPr>
              <w:t xml:space="preserve">REGULATED_HIPAA</w:t>
            </w:r>
          </w:p>
        </w:tc>
        <w:tc>
          <w:tcPr>
            <w:tcW w:type="pct" w:w="26%"/>
          </w:tcPr>
          <w:p>
            <w:r>
              <w:rPr>
                <w:rFonts w:ascii="Calibri" w:cs="Calibri" w:eastAsia="Calibri" w:hAnsi="Calibri"/>
                <w:b w:val="false"/>
                <w:bCs w:val="false"/>
                <w:i w:val="false"/>
                <w:iCs w:val="false"/>
                <w:strike w:val="false"/>
                <w:color w:val="000000"/>
                <w:sz w:val="20"/>
                <w:szCs w:val="20"/>
              </w:rPr>
              <w:t xml:space="preserve">Protected Health Information (PHI)</w:t>
            </w:r>
          </w:p>
        </w:tc>
        <w:tc>
          <w:tcPr>
            <w:tcW w:type="pct" w:w="36%"/>
          </w:tcPr>
          <w:p>
            <w:r>
              <w:rPr>
                <w:rFonts w:ascii="Calibri" w:cs="Calibri" w:eastAsia="Calibri" w:hAnsi="Calibri"/>
                <w:b w:val="false"/>
                <w:bCs w:val="false"/>
                <w:i w:val="false"/>
                <w:iCs w:val="false"/>
                <w:strike w:val="false"/>
                <w:color w:val="000000"/>
                <w:sz w:val="20"/>
                <w:szCs w:val="20"/>
              </w:rPr>
              <w:t xml:space="preserve">HIPAA minimum-necessary; BAA verification; 6-year retention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8</w:t>
            </w:r>
          </w:p>
        </w:tc>
        <w:tc>
          <w:tcPr>
            <w:tcW w:type="pct" w:w="11%"/>
          </w:tcPr>
          <w:p>
            <w:r>
              <w:rPr>
                <w:rFonts w:ascii="Calibri" w:cs="Calibri" w:eastAsia="Calibri" w:hAnsi="Calibri"/>
                <w:b w:val="false"/>
                <w:bCs w:val="false"/>
                <w:i w:val="false"/>
                <w:iCs w:val="false"/>
                <w:strike w:val="false"/>
                <w:color w:val="000000"/>
                <w:sz w:val="20"/>
                <w:szCs w:val="20"/>
              </w:rPr>
              <w:t xml:space="preserve">0x00000100</w:t>
            </w:r>
          </w:p>
        </w:tc>
        <w:tc>
          <w:tcPr>
            <w:tcW w:type="pct" w:w="16%"/>
          </w:tcPr>
          <w:p>
            <w:r>
              <w:rPr>
                <w:rFonts w:ascii="Calibri" w:cs="Calibri" w:eastAsia="Calibri" w:hAnsi="Calibri"/>
                <w:b w:val="false"/>
                <w:bCs w:val="false"/>
                <w:i w:val="false"/>
                <w:iCs w:val="false"/>
                <w:strike w:val="false"/>
                <w:color w:val="000000"/>
                <w:sz w:val="20"/>
                <w:szCs w:val="20"/>
              </w:rPr>
              <w:t xml:space="preserve">REGULATED_GDPR</w:t>
            </w:r>
          </w:p>
        </w:tc>
        <w:tc>
          <w:tcPr>
            <w:tcW w:type="pct" w:w="26%"/>
          </w:tcPr>
          <w:p>
            <w:r>
              <w:rPr>
                <w:rFonts w:ascii="Calibri" w:cs="Calibri" w:eastAsia="Calibri" w:hAnsi="Calibri"/>
                <w:b w:val="false"/>
                <w:bCs w:val="false"/>
                <w:i w:val="false"/>
                <w:iCs w:val="false"/>
                <w:strike w:val="false"/>
                <w:color w:val="000000"/>
                <w:sz w:val="20"/>
                <w:szCs w:val="20"/>
              </w:rPr>
              <w:t xml:space="preserve">Personal data under GDPR jurisdiction</w:t>
            </w:r>
          </w:p>
        </w:tc>
        <w:tc>
          <w:tcPr>
            <w:tcW w:type="pct" w:w="36%"/>
          </w:tcPr>
          <w:p>
            <w:r>
              <w:rPr>
                <w:rFonts w:ascii="Calibri" w:cs="Calibri" w:eastAsia="Calibri" w:hAnsi="Calibri"/>
                <w:b w:val="false"/>
                <w:bCs w:val="false"/>
                <w:i w:val="false"/>
                <w:iCs w:val="false"/>
                <w:strike w:val="false"/>
                <w:color w:val="000000"/>
                <w:sz w:val="20"/>
                <w:szCs w:val="20"/>
              </w:rPr>
              <w:t xml:space="preserve">Lawful basis verification; data subject rights; cross-border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9</w:t>
            </w:r>
          </w:p>
        </w:tc>
        <w:tc>
          <w:tcPr>
            <w:tcW w:type="pct" w:w="11%"/>
          </w:tcPr>
          <w:p>
            <w:r>
              <w:rPr>
                <w:rFonts w:ascii="Calibri" w:cs="Calibri" w:eastAsia="Calibri" w:hAnsi="Calibri"/>
                <w:b w:val="false"/>
                <w:bCs w:val="false"/>
                <w:i w:val="false"/>
                <w:iCs w:val="false"/>
                <w:strike w:val="false"/>
                <w:color w:val="000000"/>
                <w:sz w:val="20"/>
                <w:szCs w:val="20"/>
              </w:rPr>
              <w:t xml:space="preserve">0x00000200</w:t>
            </w:r>
          </w:p>
        </w:tc>
        <w:tc>
          <w:tcPr>
            <w:tcW w:type="pct" w:w="16%"/>
          </w:tcPr>
          <w:p>
            <w:r>
              <w:rPr>
                <w:rFonts w:ascii="Calibri" w:cs="Calibri" w:eastAsia="Calibri" w:hAnsi="Calibri"/>
                <w:b w:val="false"/>
                <w:bCs w:val="false"/>
                <w:i w:val="false"/>
                <w:iCs w:val="false"/>
                <w:strike w:val="false"/>
                <w:color w:val="000000"/>
                <w:sz w:val="20"/>
                <w:szCs w:val="20"/>
              </w:rPr>
              <w:t xml:space="preserve">REGULATED_CCPA</w:t>
            </w:r>
          </w:p>
        </w:tc>
        <w:tc>
          <w:tcPr>
            <w:tcW w:type="pct" w:w="26%"/>
          </w:tcPr>
          <w:p>
            <w:r>
              <w:rPr>
                <w:rFonts w:ascii="Calibri" w:cs="Calibri" w:eastAsia="Calibri" w:hAnsi="Calibri"/>
                <w:b w:val="false"/>
                <w:bCs w:val="false"/>
                <w:i w:val="false"/>
                <w:iCs w:val="false"/>
                <w:strike w:val="false"/>
                <w:color w:val="000000"/>
                <w:sz w:val="20"/>
                <w:szCs w:val="20"/>
              </w:rPr>
              <w:t xml:space="preserve">Personal information under CCPA/CPRA</w:t>
            </w:r>
          </w:p>
        </w:tc>
        <w:tc>
          <w:tcPr>
            <w:tcW w:type="pct" w:w="36%"/>
          </w:tcPr>
          <w:p>
            <w:r>
              <w:rPr>
                <w:rFonts w:ascii="Calibri" w:cs="Calibri" w:eastAsia="Calibri" w:hAnsi="Calibri"/>
                <w:b w:val="false"/>
                <w:bCs w:val="false"/>
                <w:i w:val="false"/>
                <w:iCs w:val="false"/>
                <w:strike w:val="false"/>
                <w:color w:val="000000"/>
                <w:sz w:val="20"/>
                <w:szCs w:val="20"/>
              </w:rPr>
              <w:t xml:space="preserve">Opt-out of sale; right-to-know; sensitive PI restrictions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10</w:t>
            </w:r>
          </w:p>
        </w:tc>
        <w:tc>
          <w:tcPr>
            <w:tcW w:type="pct" w:w="11%"/>
          </w:tcPr>
          <w:p>
            <w:r>
              <w:rPr>
                <w:rFonts w:ascii="Calibri" w:cs="Calibri" w:eastAsia="Calibri" w:hAnsi="Calibri"/>
                <w:b w:val="false"/>
                <w:bCs w:val="false"/>
                <w:i w:val="false"/>
                <w:iCs w:val="false"/>
                <w:strike w:val="false"/>
                <w:color w:val="000000"/>
                <w:sz w:val="20"/>
                <w:szCs w:val="20"/>
              </w:rPr>
              <w:t xml:space="preserve">0x00000400</w:t>
            </w:r>
          </w:p>
        </w:tc>
        <w:tc>
          <w:tcPr>
            <w:tcW w:type="pct" w:w="16%"/>
          </w:tcPr>
          <w:p>
            <w:r>
              <w:rPr>
                <w:rFonts w:ascii="Calibri" w:cs="Calibri" w:eastAsia="Calibri" w:hAnsi="Calibri"/>
                <w:b w:val="false"/>
                <w:bCs w:val="false"/>
                <w:i w:val="false"/>
                <w:iCs w:val="false"/>
                <w:strike w:val="false"/>
                <w:color w:val="000000"/>
                <w:sz w:val="20"/>
                <w:szCs w:val="20"/>
              </w:rPr>
              <w:t xml:space="preserve">REGULATED_FINRA</w:t>
            </w:r>
          </w:p>
        </w:tc>
        <w:tc>
          <w:tcPr>
            <w:tcW w:type="pct" w:w="26%"/>
          </w:tcPr>
          <w:p>
            <w:r>
              <w:rPr>
                <w:rFonts w:ascii="Calibri" w:cs="Calibri" w:eastAsia="Calibri" w:hAnsi="Calibri"/>
                <w:b w:val="false"/>
                <w:bCs w:val="false"/>
                <w:i w:val="false"/>
                <w:iCs w:val="false"/>
                <w:strike w:val="false"/>
                <w:color w:val="000000"/>
                <w:sz w:val="20"/>
                <w:szCs w:val="20"/>
              </w:rPr>
              <w:t xml:space="preserve">Financial records subject to FINRA</w:t>
            </w:r>
          </w:p>
        </w:tc>
        <w:tc>
          <w:tcPr>
            <w:tcW w:type="pct" w:w="36%"/>
          </w:tcPr>
          <w:p>
            <w:r>
              <w:rPr>
                <w:rFonts w:ascii="Calibri" w:cs="Calibri" w:eastAsia="Calibri" w:hAnsi="Calibri"/>
                <w:b w:val="false"/>
                <w:bCs w:val="false"/>
                <w:i w:val="false"/>
                <w:iCs w:val="false"/>
                <w:strike w:val="false"/>
                <w:color w:val="000000"/>
                <w:sz w:val="20"/>
                <w:szCs w:val="20"/>
              </w:rPr>
              <w:t xml:space="preserve">7-year retention; WORM storage; supervisory review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11</w:t>
            </w:r>
          </w:p>
        </w:tc>
        <w:tc>
          <w:tcPr>
            <w:tcW w:type="pct" w:w="11%"/>
          </w:tcPr>
          <w:p>
            <w:r>
              <w:rPr>
                <w:rFonts w:ascii="Calibri" w:cs="Calibri" w:eastAsia="Calibri" w:hAnsi="Calibri"/>
                <w:b w:val="false"/>
                <w:bCs w:val="false"/>
                <w:i w:val="false"/>
                <w:iCs w:val="false"/>
                <w:strike w:val="false"/>
                <w:color w:val="000000"/>
                <w:sz w:val="20"/>
                <w:szCs w:val="20"/>
              </w:rPr>
              <w:t xml:space="preserve">0x00000800</w:t>
            </w:r>
          </w:p>
        </w:tc>
        <w:tc>
          <w:tcPr>
            <w:tcW w:type="pct" w:w="16%"/>
          </w:tcPr>
          <w:p>
            <w:r>
              <w:rPr>
                <w:rFonts w:ascii="Calibri" w:cs="Calibri" w:eastAsia="Calibri" w:hAnsi="Calibri"/>
                <w:b w:val="false"/>
                <w:bCs w:val="false"/>
                <w:i w:val="false"/>
                <w:iCs w:val="false"/>
                <w:strike w:val="false"/>
                <w:color w:val="000000"/>
                <w:sz w:val="20"/>
                <w:szCs w:val="20"/>
              </w:rPr>
              <w:t xml:space="preserve">EXPORT_CONTROLLED</w:t>
            </w:r>
          </w:p>
        </w:tc>
        <w:tc>
          <w:tcPr>
            <w:tcW w:type="pct" w:w="26%"/>
          </w:tcPr>
          <w:p>
            <w:r>
              <w:rPr>
                <w:rFonts w:ascii="Calibri" w:cs="Calibri" w:eastAsia="Calibri" w:hAnsi="Calibri"/>
                <w:b w:val="false"/>
                <w:bCs w:val="false"/>
                <w:i w:val="false"/>
                <w:iCs w:val="false"/>
                <w:strike w:val="false"/>
                <w:color w:val="000000"/>
                <w:sz w:val="20"/>
                <w:szCs w:val="20"/>
              </w:rPr>
              <w:t xml:space="preserve">Subject to EAR/ITAR export controls</w:t>
            </w:r>
          </w:p>
        </w:tc>
        <w:tc>
          <w:tcPr>
            <w:tcW w:type="pct" w:w="36%"/>
          </w:tcPr>
          <w:p>
            <w:r>
              <w:rPr>
                <w:rFonts w:ascii="Calibri" w:cs="Calibri" w:eastAsia="Calibri" w:hAnsi="Calibri"/>
                <w:b w:val="false"/>
                <w:bCs w:val="false"/>
                <w:i w:val="false"/>
                <w:iCs w:val="false"/>
                <w:strike w:val="false"/>
                <w:color w:val="000000"/>
                <w:sz w:val="20"/>
                <w:szCs w:val="20"/>
              </w:rPr>
              <w:t xml:space="preserve">Nationality-based access; geographic restriction; deemed export controls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12</w:t>
            </w:r>
          </w:p>
        </w:tc>
        <w:tc>
          <w:tcPr>
            <w:tcW w:type="pct" w:w="11%"/>
          </w:tcPr>
          <w:p>
            <w:r>
              <w:rPr>
                <w:rFonts w:ascii="Calibri" w:cs="Calibri" w:eastAsia="Calibri" w:hAnsi="Calibri"/>
                <w:b w:val="false"/>
                <w:bCs w:val="false"/>
                <w:i w:val="false"/>
                <w:iCs w:val="false"/>
                <w:strike w:val="false"/>
                <w:color w:val="000000"/>
                <w:sz w:val="20"/>
                <w:szCs w:val="20"/>
              </w:rPr>
              <w:t xml:space="preserve">0x00001000</w:t>
            </w:r>
          </w:p>
        </w:tc>
        <w:tc>
          <w:tcPr>
            <w:tcW w:type="pct" w:w="16%"/>
          </w:tcPr>
          <w:p>
            <w:r>
              <w:rPr>
                <w:rFonts w:ascii="Calibri" w:cs="Calibri" w:eastAsia="Calibri" w:hAnsi="Calibri"/>
                <w:b w:val="false"/>
                <w:bCs w:val="false"/>
                <w:i w:val="false"/>
                <w:iCs w:val="false"/>
                <w:strike w:val="false"/>
                <w:color w:val="000000"/>
                <w:sz w:val="20"/>
                <w:szCs w:val="20"/>
              </w:rPr>
              <w:t xml:space="preserve">AI_GENERATED</w:t>
            </w:r>
          </w:p>
        </w:tc>
        <w:tc>
          <w:tcPr>
            <w:tcW w:type="pct" w:w="26%"/>
          </w:tcPr>
          <w:p>
            <w:r>
              <w:rPr>
                <w:rFonts w:ascii="Calibri" w:cs="Calibri" w:eastAsia="Calibri" w:hAnsi="Calibri"/>
                <w:b w:val="false"/>
                <w:bCs w:val="false"/>
                <w:i w:val="false"/>
                <w:iCs w:val="false"/>
                <w:strike w:val="false"/>
                <w:color w:val="000000"/>
                <w:sz w:val="20"/>
                <w:szCs w:val="20"/>
              </w:rPr>
              <w:t xml:space="preserve">Primarily from AI model output</w:t>
            </w:r>
          </w:p>
        </w:tc>
        <w:tc>
          <w:tcPr>
            <w:tcW w:type="pct" w:w="36%"/>
          </w:tcPr>
          <w:p>
            <w:r>
              <w:rPr>
                <w:rFonts w:ascii="Calibri" w:cs="Calibri" w:eastAsia="Calibri" w:hAnsi="Calibri"/>
                <w:b w:val="false"/>
                <w:bCs w:val="false"/>
                <w:i w:val="false"/>
                <w:iCs w:val="false"/>
                <w:strike w:val="false"/>
                <w:color w:val="000000"/>
                <w:sz w:val="20"/>
                <w:szCs w:val="20"/>
              </w:rPr>
              <w:t xml:space="preserve">AI-origin disclosure; ConfidenceScore cap 0.85; extra hallucination scrutiny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13</w:t>
            </w:r>
          </w:p>
        </w:tc>
        <w:tc>
          <w:tcPr>
            <w:tcW w:type="pct" w:w="11%"/>
          </w:tcPr>
          <w:p>
            <w:r>
              <w:rPr>
                <w:rFonts w:ascii="Calibri" w:cs="Calibri" w:eastAsia="Calibri" w:hAnsi="Calibri"/>
                <w:b w:val="false"/>
                <w:bCs w:val="false"/>
                <w:i w:val="false"/>
                <w:iCs w:val="false"/>
                <w:strike w:val="false"/>
                <w:color w:val="000000"/>
                <w:sz w:val="20"/>
                <w:szCs w:val="20"/>
              </w:rPr>
              <w:t xml:space="preserve">0x00002000</w:t>
            </w:r>
          </w:p>
        </w:tc>
        <w:tc>
          <w:tcPr>
            <w:tcW w:type="pct" w:w="16%"/>
          </w:tcPr>
          <w:p>
            <w:r>
              <w:rPr>
                <w:rFonts w:ascii="Calibri" w:cs="Calibri" w:eastAsia="Calibri" w:hAnsi="Calibri"/>
                <w:b w:val="false"/>
                <w:bCs w:val="false"/>
                <w:i w:val="false"/>
                <w:iCs w:val="false"/>
                <w:strike w:val="false"/>
                <w:color w:val="000000"/>
                <w:sz w:val="20"/>
                <w:szCs w:val="20"/>
              </w:rPr>
              <w:t xml:space="preserve">UNDER_REVIEW</w:t>
            </w:r>
          </w:p>
        </w:tc>
        <w:tc>
          <w:tcPr>
            <w:tcW w:type="pct" w:w="26%"/>
          </w:tcPr>
          <w:p>
            <w:r>
              <w:rPr>
                <w:rFonts w:ascii="Calibri" w:cs="Calibri" w:eastAsia="Calibri" w:hAnsi="Calibri"/>
                <w:b w:val="false"/>
                <w:bCs w:val="false"/>
                <w:i w:val="false"/>
                <w:iCs w:val="false"/>
                <w:strike w:val="false"/>
                <w:color w:val="000000"/>
                <w:sz w:val="20"/>
                <w:szCs w:val="20"/>
              </w:rPr>
              <w:t xml:space="preserve">Flagged for human review</w:t>
            </w:r>
          </w:p>
        </w:tc>
        <w:tc>
          <w:tcPr>
            <w:tcW w:type="pct" w:w="36%"/>
          </w:tcPr>
          <w:p>
            <w:r>
              <w:rPr>
                <w:rFonts w:ascii="Calibri" w:cs="Calibri" w:eastAsia="Calibri" w:hAnsi="Calibri"/>
                <w:b w:val="false"/>
                <w:bCs w:val="false"/>
                <w:i w:val="false"/>
                <w:iCs w:val="false"/>
                <w:strike w:val="false"/>
                <w:color w:val="000000"/>
                <w:sz w:val="20"/>
                <w:szCs w:val="20"/>
              </w:rPr>
              <w:t xml:space="preserve">Excluded from default queries; REVIEWER role required; version changes blocked</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 14</w:t>
            </w:r>
          </w:p>
        </w:tc>
        <w:tc>
          <w:tcPr>
            <w:tcW w:type="pct" w:w="11%"/>
          </w:tcPr>
          <w:p>
            <w:r>
              <w:rPr>
                <w:rFonts w:ascii="Calibri" w:cs="Calibri" w:eastAsia="Calibri" w:hAnsi="Calibri"/>
                <w:b w:val="false"/>
                <w:bCs w:val="false"/>
                <w:i w:val="false"/>
                <w:iCs w:val="false"/>
                <w:strike w:val="false"/>
                <w:color w:val="000000"/>
                <w:sz w:val="20"/>
                <w:szCs w:val="20"/>
              </w:rPr>
              <w:t xml:space="preserve">0x00004000</w:t>
            </w:r>
          </w:p>
        </w:tc>
        <w:tc>
          <w:tcPr>
            <w:tcW w:type="pct" w:w="16%"/>
          </w:tcPr>
          <w:p>
            <w:r>
              <w:rPr>
                <w:rFonts w:ascii="Calibri" w:cs="Calibri" w:eastAsia="Calibri" w:hAnsi="Calibri"/>
                <w:b w:val="false"/>
                <w:bCs w:val="false"/>
                <w:i w:val="false"/>
                <w:iCs w:val="false"/>
                <w:strike w:val="false"/>
                <w:color w:val="000000"/>
                <w:sz w:val="20"/>
                <w:szCs w:val="20"/>
              </w:rPr>
              <w:t xml:space="preserve">SYNTHETIC</w:t>
            </w:r>
          </w:p>
        </w:tc>
        <w:tc>
          <w:tcPr>
            <w:tcW w:type="pct" w:w="26%"/>
          </w:tcPr>
          <w:p>
            <w:r>
              <w:rPr>
                <w:rFonts w:ascii="Calibri" w:cs="Calibri" w:eastAsia="Calibri" w:hAnsi="Calibri"/>
                <w:b w:val="false"/>
                <w:bCs w:val="false"/>
                <w:i w:val="false"/>
                <w:iCs w:val="false"/>
                <w:strike w:val="false"/>
                <w:color w:val="000000"/>
                <w:sz w:val="20"/>
                <w:szCs w:val="20"/>
              </w:rPr>
              <w:t xml:space="preserve">From Scenario Graph / simulation, not real observation</w:t>
            </w:r>
          </w:p>
        </w:tc>
        <w:tc>
          <w:tcPr>
            <w:tcW w:type="pct" w:w="36%"/>
          </w:tcPr>
          <w:p>
            <w:r>
              <w:rPr>
                <w:rFonts w:ascii="Calibri" w:cs="Calibri" w:eastAsia="Calibri" w:hAnsi="Calibri"/>
                <w:b w:val="false"/>
                <w:bCs w:val="false"/>
                <w:i w:val="false"/>
                <w:iCs w:val="false"/>
                <w:strike w:val="false"/>
                <w:color w:val="000000"/>
                <w:sz w:val="20"/>
                <w:szCs w:val="20"/>
              </w:rPr>
              <w:t xml:space="preserve">Labeled synthetic in outputs; excluded from training exports; no Provenance attestation</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Bits 15–31</w:t>
            </w:r>
          </w:p>
        </w:tc>
        <w:tc>
          <w:tcPr>
            <w:tcW w:type="pct" w:w="11%"/>
          </w:tcPr>
          <w:p>
            <w:r>
              <w:rPr>
                <w:rFonts w:ascii="Calibri" w:cs="Calibri" w:eastAsia="Calibri" w:hAnsi="Calibri"/>
                <w:b w:val="false"/>
                <w:bCs w:val="false"/>
                <w:i w:val="false"/>
                <w:iCs w:val="false"/>
                <w:strike w:val="false"/>
                <w:color w:val="000000"/>
                <w:sz w:val="20"/>
                <w:szCs w:val="20"/>
              </w:rPr>
              <w:t xml:space="preserve">0xFFFF8000</w:t>
            </w:r>
          </w:p>
        </w:tc>
        <w:tc>
          <w:tcPr>
            <w:tcW w:type="pct" w:w="16%"/>
          </w:tcPr>
          <w:p>
            <w:r>
              <w:rPr>
                <w:rFonts w:ascii="Calibri" w:cs="Calibri" w:eastAsia="Calibri" w:hAnsi="Calibri"/>
                <w:b w:val="false"/>
                <w:bCs w:val="false"/>
                <w:i w:val="false"/>
                <w:iCs w:val="false"/>
                <w:strike w:val="false"/>
                <w:color w:val="000000"/>
                <w:sz w:val="20"/>
                <w:szCs w:val="20"/>
              </w:rPr>
              <w:t xml:space="preserve">RESERVED</w:t>
            </w:r>
          </w:p>
        </w:tc>
        <w:tc>
          <w:tcPr>
            <w:tcW w:type="pct" w:w="26%"/>
          </w:tcPr>
          <w:p>
            <w:r>
              <w:rPr>
                <w:rFonts w:ascii="Calibri" w:cs="Calibri" w:eastAsia="Calibri" w:hAnsi="Calibri"/>
                <w:b w:val="false"/>
                <w:bCs w:val="false"/>
                <w:i w:val="false"/>
                <w:iCs w:val="false"/>
                <w:strike w:val="false"/>
                <w:color w:val="000000"/>
                <w:sz w:val="20"/>
                <w:szCs w:val="20"/>
              </w:rPr>
              <w:t xml:space="preserve">Reserved for future Safety Substrate expansion</w:t>
            </w:r>
          </w:p>
        </w:tc>
        <w:tc>
          <w:tcPr>
            <w:tcW w:type="pct" w:w="36%"/>
          </w:tcPr>
          <w:p>
            <w:r>
              <w:rPr>
                <w:rFonts w:ascii="Calibri" w:cs="Calibri" w:eastAsia="Calibri" w:hAnsi="Calibri"/>
                <w:b w:val="false"/>
                <w:bCs w:val="false"/>
                <w:i w:val="false"/>
                <w:iCs w:val="false"/>
                <w:strike w:val="false"/>
                <w:color w:val="000000"/>
                <w:sz w:val="20"/>
                <w:szCs w:val="20"/>
              </w:rPr>
              <w:t xml:space="preserve">Must be zero; non-zero bits cause Fact Unit rejection at all Safety Substrate gates</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E: Supported Language Table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See Section 16.2 for the full supported language table with BCP-47 codes, scripts, MRE support levels, and special handling notes. The following summarizes the two support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CE6F0" w:color="auto" w:val="clear"/>
          </w:tcPr>
          <w:p>
            <w:r>
              <w:rPr>
                <w:rFonts w:ascii="Calibri" w:cs="Calibri" w:eastAsia="Calibri" w:hAnsi="Calibri"/>
                <w:b/>
                <w:bCs/>
                <w:i w:val="false"/>
                <w:iCs w:val="false"/>
                <w:strike w:val="false"/>
                <w:color w:val="0D2A5E"/>
                <w:sz w:val="20"/>
                <w:szCs w:val="20"/>
              </w:rPr>
              <w:t xml:space="preserve">Support Level</w:t>
            </w:r>
          </w:p>
        </w:tc>
        <w:tc>
          <w:tcPr>
            <w:tcW w:type="pct" w:w="64%"/>
            <w:shd w:fill="DCE6F0" w:color="auto" w:val="clear"/>
          </w:tcPr>
          <w:p>
            <w:r>
              <w:rPr>
                <w:rFonts w:ascii="Calibri" w:cs="Calibri" w:eastAsia="Calibri" w:hAnsi="Calibri"/>
                <w:b/>
                <w:bCs/>
                <w:i w:val="false"/>
                <w:iCs w:val="false"/>
                <w:strike w:val="false"/>
                <w:color w:val="0D2A5E"/>
                <w:sz w:val="20"/>
                <w:szCs w:val="20"/>
              </w:rPr>
              <w:t xml:space="preserve">Definition</w:t>
            </w:r>
          </w:p>
        </w:tc>
        <w:tc>
          <w:tcPr>
            <w:tcW w:type="pct" w:w="27%"/>
            <w:shd w:fill="DCE6F0" w:color="auto" w:val="clear"/>
          </w:tcPr>
          <w:p>
            <w:r>
              <w:rPr>
                <w:rFonts w:ascii="Calibri" w:cs="Calibri" w:eastAsia="Calibri" w:hAnsi="Calibri"/>
                <w:b/>
                <w:bCs/>
                <w:i w:val="false"/>
                <w:iCs w:val="false"/>
                <w:strike w:val="false"/>
                <w:color w:val="0D2A5E"/>
                <w:sz w:val="20"/>
                <w:szCs w:val="20"/>
              </w:rPr>
              <w:t xml:space="preserve">Number of Languages in v1.0</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Full</w:t>
            </w:r>
          </w:p>
        </w:tc>
        <w:tc>
          <w:tcPr>
            <w:tcW w:type="pct" w:w="64%"/>
          </w:tcPr>
          <w:p>
            <w:r>
              <w:rPr>
                <w:rFonts w:ascii="Calibri" w:cs="Calibri" w:eastAsia="Calibri" w:hAnsi="Calibri"/>
                <w:b w:val="false"/>
                <w:bCs w:val="false"/>
                <w:i w:val="false"/>
                <w:iCs w:val="false"/>
                <w:strike w:val="false"/>
                <w:color w:val="000000"/>
                <w:sz w:val="20"/>
                <w:szCs w:val="20"/>
              </w:rPr>
              <w:t xml:space="preserve">All six MRE regeneration pipeline stages are fully supported; all NarrativeStyle options available; hallucination prevention enforced; simultaneous multi-language regeneration supported; accuracy benchmarked against native-speaker quality standards</w:t>
            </w:r>
          </w:p>
        </w:tc>
        <w:tc>
          <w:tcPr>
            <w:tcW w:type="pct" w:w="27%"/>
          </w:tcPr>
          <w:p>
            <w:r>
              <w:rPr>
                <w:rFonts w:ascii="Calibri" w:cs="Calibri" w:eastAsia="Calibri" w:hAnsi="Calibri"/>
                <w:b w:val="false"/>
                <w:bCs w:val="false"/>
                <w:i w:val="false"/>
                <w:iCs w:val="false"/>
                <w:strike w:val="false"/>
                <w:color w:val="000000"/>
                <w:sz w:val="20"/>
                <w:szCs w:val="20"/>
              </w:rPr>
              <w:t xml:space="preserve">44 languages</w:t>
            </w:r>
          </w:p>
        </w:tc>
      </w:tr>
      <w:tr>
        <w:trPr>
          <w:tblHeader w:val="false"/>
        </w:trPr>
        <w:tc>
          <w:tcPr>
            <w:tcW w:type="pct" w:w="9%"/>
          </w:tcPr>
          <w:p>
            <w:r>
              <w:rPr>
                <w:rFonts w:ascii="Calibri" w:cs="Calibri" w:eastAsia="Calibri" w:hAnsi="Calibri"/>
                <w:b/>
                <w:bCs/>
                <w:i w:val="false"/>
                <w:iCs w:val="false"/>
                <w:strike w:val="false"/>
                <w:color w:val="000000"/>
                <w:sz w:val="22"/>
                <w:szCs w:val="22"/>
              </w:rPr>
              <w:t xml:space="preserve">Partial</w:t>
            </w:r>
          </w:p>
        </w:tc>
        <w:tc>
          <w:tcPr>
            <w:tcW w:type="pct" w:w="64%"/>
          </w:tcPr>
          <w:p>
            <w:r>
              <w:rPr>
                <w:rFonts w:ascii="Calibri" w:cs="Calibri" w:eastAsia="Calibri" w:hAnsi="Calibri"/>
                <w:b w:val="false"/>
                <w:bCs w:val="false"/>
                <w:i w:val="false"/>
                <w:iCs w:val="false"/>
                <w:strike w:val="false"/>
                <w:color w:val="000000"/>
                <w:sz w:val="20"/>
                <w:szCs w:val="20"/>
              </w:rPr>
              <w:t xml:space="preserve">All six MRE stages are functionally operational but accuracy benchmarks are ongoing; some NarrativeStyle options may have reduced quality; hallucination prevention fully enforced; additional linguistic resources may be required for morphologically complex languages</w:t>
            </w:r>
          </w:p>
        </w:tc>
        <w:tc>
          <w:tcPr>
            <w:tcW w:type="pct" w:w="27%"/>
          </w:tcPr>
          <w:p>
            <w:r>
              <w:rPr>
                <w:rFonts w:ascii="Calibri" w:cs="Calibri" w:eastAsia="Calibri" w:hAnsi="Calibri"/>
                <w:b w:val="false"/>
                <w:bCs w:val="false"/>
                <w:i w:val="false"/>
                <w:iCs w:val="false"/>
                <w:strike w:val="false"/>
                <w:color w:val="000000"/>
                <w:sz w:val="20"/>
                <w:szCs w:val="20"/>
              </w:rPr>
              <w:t xml:space="preserve">9 languages (Welsh, Irish, Basque, Maltese, Kazakh, Azerbaijani, Georgian, Amharic, Farsi)</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F: Microservices Reference Table</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DCE6F0" w:color="auto" w:val="clear"/>
          </w:tcPr>
          <w:p>
            <w:r>
              <w:rPr>
                <w:rFonts w:ascii="Calibri" w:cs="Calibri" w:eastAsia="Calibri" w:hAnsi="Calibri"/>
                <w:b/>
                <w:bCs/>
                <w:i w:val="false"/>
                <w:iCs w:val="false"/>
                <w:strike w:val="false"/>
                <w:color w:val="0D2A5E"/>
                <w:sz w:val="20"/>
                <w:szCs w:val="20"/>
              </w:rPr>
              <w:t xml:space="preserve">Service Name</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Internal Port</w:t>
            </w:r>
          </w:p>
        </w:tc>
        <w:tc>
          <w:tcPr>
            <w:tcW w:type="pct" w:w="14%"/>
            <w:shd w:fill="DCE6F0" w:color="auto" w:val="clear"/>
          </w:tcPr>
          <w:p>
            <w:r>
              <w:rPr>
                <w:rFonts w:ascii="Calibri" w:cs="Calibri" w:eastAsia="Calibri" w:hAnsi="Calibri"/>
                <w:b/>
                <w:bCs/>
                <w:i w:val="false"/>
                <w:iCs w:val="false"/>
                <w:strike w:val="false"/>
                <w:color w:val="0D2A5E"/>
                <w:sz w:val="20"/>
                <w:szCs w:val="20"/>
              </w:rPr>
              <w:t xml:space="preserve">Protocol</w:t>
            </w:r>
          </w:p>
        </w:tc>
        <w:tc>
          <w:tcPr>
            <w:tcW w:type="pct" w:w="21%"/>
            <w:shd w:fill="DCE6F0" w:color="auto" w:val="clear"/>
          </w:tcPr>
          <w:p>
            <w:r>
              <w:rPr>
                <w:rFonts w:ascii="Calibri" w:cs="Calibri" w:eastAsia="Calibri" w:hAnsi="Calibri"/>
                <w:b/>
                <w:bCs/>
                <w:i w:val="false"/>
                <w:iCs w:val="false"/>
                <w:strike w:val="false"/>
                <w:color w:val="0D2A5E"/>
                <w:sz w:val="20"/>
                <w:szCs w:val="20"/>
              </w:rPr>
              <w:t xml:space="preserve">Key Dependencies</w:t>
            </w:r>
          </w:p>
        </w:tc>
        <w:tc>
          <w:tcPr>
            <w:tcW w:type="pct" w:w="22%"/>
            <w:shd w:fill="DCE6F0" w:color="auto" w:val="clear"/>
          </w:tcPr>
          <w:p>
            <w:r>
              <w:rPr>
                <w:rFonts w:ascii="Calibri" w:cs="Calibri" w:eastAsia="Calibri" w:hAnsi="Calibri"/>
                <w:b/>
                <w:bCs/>
                <w:i w:val="false"/>
                <w:iCs w:val="false"/>
                <w:strike w:val="false"/>
                <w:color w:val="0D2A5E"/>
                <w:sz w:val="20"/>
                <w:szCs w:val="20"/>
              </w:rPr>
              <w:t xml:space="preserve">Scaling Parameters</w:t>
            </w:r>
          </w:p>
        </w:tc>
        <w:tc>
          <w:tcPr>
            <w:tcW w:type="pct" w:w="18%"/>
            <w:shd w:fill="DCE6F0" w:color="auto" w:val="clear"/>
          </w:tcPr>
          <w:p>
            <w:r>
              <w:rPr>
                <w:rFonts w:ascii="Calibri" w:cs="Calibri" w:eastAsia="Calibri" w:hAnsi="Calibri"/>
                <w:b/>
                <w:bCs/>
                <w:i w:val="false"/>
                <w:iCs w:val="false"/>
                <w:strike w:val="false"/>
                <w:color w:val="0D2A5E"/>
                <w:sz w:val="20"/>
                <w:szCs w:val="20"/>
              </w:rPr>
              <w:t xml:space="preserve">Health Check</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qb-query-gateway</w:t>
            </w:r>
          </w:p>
        </w:tc>
        <w:tc>
          <w:tcPr>
            <w:tcW w:type="pct" w:w="14%"/>
          </w:tcPr>
          <w:p>
            <w:r>
              <w:rPr>
                <w:rFonts w:ascii="Calibri" w:cs="Calibri" w:eastAsia="Calibri" w:hAnsi="Calibri"/>
                <w:b w:val="false"/>
                <w:bCs w:val="false"/>
                <w:i w:val="false"/>
                <w:iCs w:val="false"/>
                <w:strike w:val="false"/>
                <w:color w:val="000000"/>
                <w:sz w:val="20"/>
                <w:szCs w:val="20"/>
              </w:rPr>
              <w:t xml:space="preserve">8080 (REST), 9090 (gRPC)</w:t>
            </w:r>
          </w:p>
        </w:tc>
        <w:tc>
          <w:tcPr>
            <w:tcW w:type="pct" w:w="14%"/>
          </w:tcPr>
          <w:p>
            <w:r>
              <w:rPr>
                <w:rFonts w:ascii="Calibri" w:cs="Calibri" w:eastAsia="Calibri" w:hAnsi="Calibri"/>
                <w:b w:val="false"/>
                <w:bCs w:val="false"/>
                <w:i w:val="false"/>
                <w:iCs w:val="false"/>
                <w:strike w:val="false"/>
                <w:color w:val="000000"/>
                <w:sz w:val="20"/>
                <w:szCs w:val="20"/>
              </w:rPr>
              <w:t xml:space="preserve">HTTP/2 + 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qb-mre-engine,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3, max 50; scale on request rate and p99 latency</w:t>
            </w:r>
          </w:p>
        </w:tc>
        <w:tc>
          <w:tcPr>
            <w:tcW w:type="pct" w:w="18%"/>
          </w:tcPr>
          <w:p>
            <w:r>
              <w:rPr>
                <w:rFonts w:ascii="Calibri" w:cs="Calibri" w:eastAsia="Calibri" w:hAnsi="Calibri"/>
                <w:b w:val="false"/>
                <w:bCs w:val="false"/>
                <w:i w:val="false"/>
                <w:iCs w:val="false"/>
                <w:strike w:val="false"/>
                <w:color w:val="000000"/>
                <w:sz w:val="20"/>
                <w:szCs w:val="20"/>
              </w:rPr>
              <w:t xml:space="preserve">GET /health → 200; gRPC health.Check → SERVING</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qb-ncl-engine</w:t>
            </w:r>
          </w:p>
        </w:tc>
        <w:tc>
          <w:tcPr>
            <w:tcW w:type="pct" w:w="14%"/>
          </w:tcPr>
          <w:p>
            <w:r>
              <w:rPr>
                <w:rFonts w:ascii="Calibri" w:cs="Calibri" w:eastAsia="Calibri" w:hAnsi="Calibri"/>
                <w:b w:val="false"/>
                <w:bCs w:val="false"/>
                <w:i w:val="false"/>
                <w:iCs w:val="false"/>
                <w:strike w:val="false"/>
                <w:color w:val="000000"/>
                <w:sz w:val="20"/>
                <w:szCs w:val="20"/>
              </w:rPr>
              <w:t xml:space="preserve">9091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qb-vector-index, qb-fact-graph-store, 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session affinity; scale on query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SWS write latency &lt; 10ms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qb-safety-substrate</w:t>
            </w:r>
          </w:p>
        </w:tc>
        <w:tc>
          <w:tcPr>
            <w:tcW w:type="pct" w:w="14%"/>
          </w:tcPr>
          <w:p>
            <w:r>
              <w:rPr>
                <w:rFonts w:ascii="Calibri" w:cs="Calibri" w:eastAsia="Calibri" w:hAnsi="Calibri"/>
                <w:b w:val="false"/>
                <w:bCs w:val="false"/>
                <w:i w:val="false"/>
                <w:iCs w:val="false"/>
                <w:strike w:val="false"/>
                <w:color w:val="000000"/>
                <w:sz w:val="20"/>
                <w:szCs w:val="20"/>
              </w:rPr>
              <w:t xml:space="preserve">9092 (gRPC)</w:t>
            </w:r>
          </w:p>
        </w:tc>
        <w:tc>
          <w:tcPr>
            <w:tcW w:type="pct" w:w="14%"/>
          </w:tcPr>
          <w:p>
            <w:r>
              <w:rPr>
                <w:rFonts w:ascii="Calibri" w:cs="Calibri" w:eastAsia="Calibri" w:hAnsi="Calibri"/>
                <w:b w:val="false"/>
                <w:bCs w:val="false"/>
                <w:i w:val="false"/>
                <w:iCs w:val="false"/>
                <w:strike w:val="false"/>
                <w:color w:val="000000"/>
                <w:sz w:val="20"/>
                <w:szCs w:val="20"/>
              </w:rPr>
              <w:t xml:space="preserve">gRPC (mTLS required)</w:t>
            </w:r>
          </w:p>
        </w:tc>
        <w:tc>
          <w:tcPr>
            <w:tcW w:type="pct" w:w="21%"/>
          </w:tcPr>
          <w:p>
            <w:r>
              <w:rPr>
                <w:rFonts w:ascii="Calibri" w:cs="Calibri" w:eastAsia="Calibri" w:hAnsi="Calibri"/>
                <w:b w:val="false"/>
                <w:bCs w:val="false"/>
                <w:i w:val="false"/>
                <w:iCs w:val="false"/>
                <w:strike w:val="false"/>
                <w:color w:val="000000"/>
                <w:sz w:val="20"/>
                <w:szCs w:val="20"/>
              </w:rPr>
              <w:t xml:space="preserve">Safety Audit Log (append-only),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5, max 100; no single point of failure; scale on enforcement call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Safety Audit Log write latency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qb-ingestion-orchestrator</w:t>
            </w:r>
          </w:p>
        </w:tc>
        <w:tc>
          <w:tcPr>
            <w:tcW w:type="pct" w:w="14%"/>
          </w:tcPr>
          <w:p>
            <w:r>
              <w:rPr>
                <w:rFonts w:ascii="Calibri" w:cs="Calibri" w:eastAsia="Calibri" w:hAnsi="Calibri"/>
                <w:b w:val="false"/>
                <w:bCs w:val="false"/>
                <w:i w:val="false"/>
                <w:iCs w:val="false"/>
                <w:strike w:val="false"/>
                <w:color w:val="000000"/>
                <w:sz w:val="20"/>
                <w:szCs w:val="20"/>
              </w:rPr>
              <w:t xml:space="preserve">9093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qb-stl-broker, qb-safety-substrate, all qb-ingestion-worker-{modality}</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scale 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GET /health → 200; queue depth &lt; 10,000 healthy</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qb-fact-graph-store</w:t>
            </w:r>
          </w:p>
        </w:tc>
        <w:tc>
          <w:tcPr>
            <w:tcW w:type="pct" w:w="14%"/>
          </w:tcPr>
          <w:p>
            <w:r>
              <w:rPr>
                <w:rFonts w:ascii="Calibri" w:cs="Calibri" w:eastAsia="Calibri" w:hAnsi="Calibri"/>
                <w:b w:val="false"/>
                <w:bCs w:val="false"/>
                <w:i w:val="false"/>
                <w:iCs w:val="false"/>
                <w:strike w:val="false"/>
                <w:color w:val="000000"/>
                <w:sz w:val="20"/>
                <w:szCs w:val="20"/>
              </w:rPr>
              <w:t xml:space="preserve">9094 (gRPC), 9095 (Raft)</w:t>
            </w:r>
          </w:p>
        </w:tc>
        <w:tc>
          <w:tcPr>
            <w:tcW w:type="pct" w:w="14%"/>
          </w:tcPr>
          <w:p>
            <w:r>
              <w:rPr>
                <w:rFonts w:ascii="Calibri" w:cs="Calibri" w:eastAsia="Calibri" w:hAnsi="Calibri"/>
                <w:b w:val="false"/>
                <w:bCs w:val="false"/>
                <w:i w:val="false"/>
                <w:iCs w:val="false"/>
                <w:strike w:val="false"/>
                <w:color w:val="000000"/>
                <w:sz w:val="20"/>
                <w:szCs w:val="20"/>
              </w:rPr>
              <w:t xml:space="preserve">gRPC + Raft</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qb-provenance-ledger</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4096 virtual shards; shard split at 500M FU</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Raft leader heartbeat &lt; 500ms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qb-vector-index</w:t>
            </w:r>
          </w:p>
        </w:tc>
        <w:tc>
          <w:tcPr>
            <w:tcW w:type="pct" w:w="14%"/>
          </w:tcPr>
          <w:p>
            <w:r>
              <w:rPr>
                <w:rFonts w:ascii="Calibri" w:cs="Calibri" w:eastAsia="Calibri" w:hAnsi="Calibri"/>
                <w:b w:val="false"/>
                <w:bCs w:val="false"/>
                <w:i w:val="false"/>
                <w:iCs w:val="false"/>
                <w:strike w:val="false"/>
                <w:color w:val="000000"/>
                <w:sz w:val="20"/>
                <w:szCs w:val="20"/>
              </w:rPr>
              <w:t xml:space="preserve">9096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(EmbeddingVector sync)</w:t>
            </w:r>
          </w:p>
        </w:tc>
        <w:tc>
          <w:tcPr>
            <w:tcW w:type="pct" w:w="22%"/>
          </w:tcPr>
          <w:p>
            <w:r>
              <w:rPr>
                <w:rFonts w:ascii="Calibri" w:cs="Calibri" w:eastAsia="Calibri" w:hAnsi="Calibri"/>
                <w:b w:val="false"/>
                <w:bCs w:val="false"/>
                <w:i w:val="false"/>
                <w:iCs w:val="false"/>
                <w:strike w:val="false"/>
                <w:color w:val="000000"/>
                <w:sz w:val="20"/>
                <w:szCs w:val="20"/>
              </w:rPr>
              <w:t xml:space="preserve">Stateful; 3 replicas per shard; split at 100M FU per shard</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ANN query p99 &lt; 50ms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qb-provenance-ledger</w:t>
            </w:r>
          </w:p>
        </w:tc>
        <w:tc>
          <w:tcPr>
            <w:tcW w:type="pct" w:w="14%"/>
          </w:tcPr>
          <w:p>
            <w:r>
              <w:rPr>
                <w:rFonts w:ascii="Calibri" w:cs="Calibri" w:eastAsia="Calibri" w:hAnsi="Calibri"/>
                <w:b w:val="false"/>
                <w:bCs w:val="false"/>
                <w:i w:val="false"/>
                <w:iCs w:val="false"/>
                <w:strike w:val="false"/>
                <w:color w:val="000000"/>
                <w:sz w:val="20"/>
                <w:szCs w:val="20"/>
              </w:rPr>
              <w:t xml:space="preserve">9097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External notarization service (RFC 3161);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Stateful append-only primary; up to 10 read replicas; scale read replicas on lineage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chain tip hash freshness &lt; 60s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qb-mre-engine</w:t>
            </w:r>
          </w:p>
        </w:tc>
        <w:tc>
          <w:tcPr>
            <w:tcW w:type="pct" w:w="14%"/>
          </w:tcPr>
          <w:p>
            <w:r>
              <w:rPr>
                <w:rFonts w:ascii="Calibri" w:cs="Calibri" w:eastAsia="Calibri" w:hAnsi="Calibri"/>
                <w:b w:val="false"/>
                <w:bCs w:val="false"/>
                <w:i w:val="false"/>
                <w:iCs w:val="false"/>
                <w:strike w:val="false"/>
                <w:color w:val="000000"/>
                <w:sz w:val="20"/>
                <w:szCs w:val="20"/>
              </w:rPr>
              <w:t xml:space="preserve">9098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qb-ncl-engine, qb-safety-substrate, qb-ontology-mesh-service</w:t>
            </w:r>
          </w:p>
        </w:tc>
        <w:tc>
          <w:tcPr>
            <w:tcW w:type="pct" w:w="22%"/>
          </w:tcPr>
          <w:p>
            <w:r>
              <w:rPr>
                <w:rFonts w:ascii="Calibri" w:cs="Calibri" w:eastAsia="Calibri" w:hAnsi="Calibri"/>
                <w:b w:val="false"/>
                <w:bCs w:val="false"/>
                <w:i w:val="false"/>
                <w:iCs w:val="false"/>
                <w:strike w:val="false"/>
                <w:color w:val="000000"/>
                <w:sz w:val="20"/>
                <w:szCs w:val="20"/>
              </w:rPr>
              <w:t xml:space="preserve">HPA: min 3, max 30; scale on regeneration request rate and token output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groundedness check latency &lt; 20ms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qb-cdre-engine</w:t>
            </w:r>
          </w:p>
        </w:tc>
        <w:tc>
          <w:tcPr>
            <w:tcW w:type="pct" w:w="14%"/>
          </w:tcPr>
          <w:p>
            <w:r>
              <w:rPr>
                <w:rFonts w:ascii="Calibri" w:cs="Calibri" w:eastAsia="Calibri" w:hAnsi="Calibri"/>
                <w:b w:val="false"/>
                <w:bCs w:val="false"/>
                <w:i w:val="false"/>
                <w:iCs w:val="false"/>
                <w:strike w:val="false"/>
                <w:color w:val="000000"/>
                <w:sz w:val="20"/>
                <w:szCs w:val="20"/>
              </w:rPr>
              <w:t xml:space="preserve">9099 (gRPC)</w:t>
            </w:r>
          </w:p>
        </w:tc>
        <w:tc>
          <w:tcPr>
            <w:tcW w:type="pct" w:w="14%"/>
          </w:tcPr>
          <w:p>
            <w:r>
              <w:rPr>
                <w:rFonts w:ascii="Calibri" w:cs="Calibri" w:eastAsia="Calibri" w:hAnsi="Calibri"/>
                <w:b w:val="false"/>
                <w:bCs w:val="false"/>
                <w:i w:val="false"/>
                <w:iCs w:val="false"/>
                <w:strike w:val="false"/>
                <w:color w:val="000000"/>
                <w:sz w:val="20"/>
                <w:szCs w:val="20"/>
              </w:rPr>
              <w:t xml:space="preserve">gRPC + Kafka (change events)</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qb-ontology-mesh-service,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rule evaluation throughput (Fact Unit insertions/s)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rule evaluation lag &lt; 5s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qb-aem-service</w:t>
            </w:r>
          </w:p>
        </w:tc>
        <w:tc>
          <w:tcPr>
            <w:tcW w:type="pct" w:w="14%"/>
          </w:tcPr>
          <w:p>
            <w:r>
              <w:rPr>
                <w:rFonts w:ascii="Calibri" w:cs="Calibri" w:eastAsia="Calibri" w:hAnsi="Calibri"/>
                <w:b w:val="false"/>
                <w:bCs w:val="false"/>
                <w:i w:val="false"/>
                <w:iCs w:val="false"/>
                <w:strike w:val="false"/>
                <w:color w:val="000000"/>
                <w:sz w:val="20"/>
                <w:szCs w:val="20"/>
              </w:rPr>
              <w:t xml:space="preserve">9100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qb-ncl-engine, qb-fact-graph-store, qb-pie-engine,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20; GPU-attached nodes for AEM-2 and AEM-3 neural methods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AEM job queue depth &lt; 1000</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qb-pie-engine</w:t>
            </w:r>
          </w:p>
        </w:tc>
        <w:tc>
          <w:tcPr>
            <w:tcW w:type="pct" w:w="14%"/>
          </w:tcPr>
          <w:p>
            <w:r>
              <w:rPr>
                <w:rFonts w:ascii="Calibri" w:cs="Calibri" w:eastAsia="Calibri" w:hAnsi="Calibri"/>
                <w:b w:val="false"/>
                <w:bCs w:val="false"/>
                <w:i w:val="false"/>
                <w:iCs w:val="false"/>
                <w:strike w:val="false"/>
                <w:color w:val="000000"/>
                <w:sz w:val="20"/>
                <w:szCs w:val="20"/>
              </w:rPr>
              <w:t xml:space="preserve">9101 (gRPC)</w:t>
            </w:r>
          </w:p>
        </w:tc>
        <w:tc>
          <w:tcPr>
            <w:tcW w:type="pct" w:w="14%"/>
          </w:tcPr>
          <w:p>
            <w:r>
              <w:rPr>
                <w:rFonts w:ascii="Calibri" w:cs="Calibri" w:eastAsia="Calibri" w:hAnsi="Calibri"/>
                <w:b w:val="false"/>
                <w:bCs w:val="false"/>
                <w:i w:val="false"/>
                <w:iCs w:val="false"/>
                <w:strike w:val="false"/>
                <w:color w:val="000000"/>
                <w:sz w:val="20"/>
                <w:szCs w:val="20"/>
              </w:rPr>
              <w:t xml:space="preserve">gRPC + Kafka</w:t>
            </w:r>
          </w:p>
        </w:tc>
        <w:tc>
          <w:tcPr>
            <w:tcW w:type="pct" w:w="21%"/>
          </w:tcPr>
          <w:p>
            <w:r>
              <w:rPr>
                <w:rFonts w:ascii="Calibri" w:cs="Calibri" w:eastAsia="Calibri" w:hAnsi="Calibri"/>
                <w:b w:val="false"/>
                <w:bCs w:val="false"/>
                <w:i w:val="false"/>
                <w:iCs w:val="false"/>
                <w:strike w:val="false"/>
                <w:color w:val="000000"/>
                <w:sz w:val="20"/>
                <w:szCs w:val="20"/>
              </w:rPr>
              <w:t xml:space="preserve">qb-ncl-engine (TMM), qb-fact-graph-store, qb-scenario-graph-service,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10; scale on prediction job queue depth</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calibration check passes within 24h window</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qb-ontology-mesh-service</w:t>
            </w:r>
          </w:p>
        </w:tc>
        <w:tc>
          <w:tcPr>
            <w:tcW w:type="pct" w:w="14%"/>
          </w:tcPr>
          <w:p>
            <w:r>
              <w:rPr>
                <w:rFonts w:ascii="Calibri" w:cs="Calibri" w:eastAsia="Calibri" w:hAnsi="Calibri"/>
                <w:b w:val="false"/>
                <w:bCs w:val="false"/>
                <w:i w:val="false"/>
                <w:iCs w:val="false"/>
                <w:strike w:val="false"/>
                <w:color w:val="000000"/>
                <w:sz w:val="20"/>
                <w:szCs w:val="20"/>
              </w:rPr>
              <w:t xml:space="preserve">9102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None (foundational service)</w:t>
            </w:r>
          </w:p>
        </w:tc>
        <w:tc>
          <w:tcPr>
            <w:tcW w:type="pct" w:w="22%"/>
          </w:tcPr>
          <w:p>
            <w:r>
              <w:rPr>
                <w:rFonts w:ascii="Calibri" w:cs="Calibri" w:eastAsia="Calibri" w:hAnsi="Calibri"/>
                <w:b w:val="false"/>
                <w:bCs w:val="false"/>
                <w:i w:val="false"/>
                <w:iCs w:val="false"/>
                <w:strike w:val="false"/>
                <w:color w:val="000000"/>
                <w:sz w:val="20"/>
                <w:szCs w:val="20"/>
              </w:rPr>
              <w:t xml:space="preserve">Single primary for writes; up to 20 read replicas; aggressively cached by all consumers</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schema version consistency across replicas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qb-entity-registry</w:t>
            </w:r>
          </w:p>
        </w:tc>
        <w:tc>
          <w:tcPr>
            <w:tcW w:type="pct" w:w="14%"/>
          </w:tcPr>
          <w:p>
            <w:r>
              <w:rPr>
                <w:rFonts w:ascii="Calibri" w:cs="Calibri" w:eastAsia="Calibri" w:hAnsi="Calibri"/>
                <w:b w:val="false"/>
                <w:bCs w:val="false"/>
                <w:i w:val="false"/>
                <w:iCs w:val="false"/>
                <w:strike w:val="false"/>
                <w:color w:val="000000"/>
                <w:sz w:val="20"/>
                <w:szCs w:val="20"/>
              </w:rPr>
              <w:t xml:space="preserve">9103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external entity linkers (Wikidata, GeoNames, etc.)</w:t>
            </w:r>
          </w:p>
        </w:tc>
        <w:tc>
          <w:tcPr>
            <w:tcW w:type="pct" w:w="22%"/>
          </w:tcPr>
          <w:p>
            <w:r>
              <w:rPr>
                <w:rFonts w:ascii="Calibri" w:cs="Calibri" w:eastAsia="Calibri" w:hAnsi="Calibri"/>
                <w:b w:val="false"/>
                <w:bCs w:val="false"/>
                <w:i w:val="false"/>
                <w:iCs w:val="false"/>
                <w:strike w:val="false"/>
                <w:color w:val="000000"/>
                <w:sz w:val="20"/>
                <w:szCs w:val="20"/>
              </w:rPr>
              <w:t xml:space="preserve">HPA: min 3, max 20; sticky routing by entity hash for cache efficiency</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entity lookup p99 &lt; 5ms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qb-stl-broker</w:t>
            </w:r>
          </w:p>
        </w:tc>
        <w:tc>
          <w:tcPr>
            <w:tcW w:type="pct" w:w="14%"/>
          </w:tcPr>
          <w:p>
            <w:r>
              <w:rPr>
                <w:rFonts w:ascii="Calibri" w:cs="Calibri" w:eastAsia="Calibri" w:hAnsi="Calibri"/>
                <w:b w:val="false"/>
                <w:bCs w:val="false"/>
                <w:i w:val="false"/>
                <w:iCs w:val="false"/>
                <w:strike w:val="false"/>
                <w:color w:val="000000"/>
                <w:sz w:val="20"/>
                <w:szCs w:val="20"/>
              </w:rPr>
              <w:t xml:space="preserve">9104 (STL native), 9092 (Kafka-compatible)</w:t>
            </w:r>
          </w:p>
        </w:tc>
        <w:tc>
          <w:tcPr>
            <w:tcW w:type="pct" w:w="14%"/>
          </w:tcPr>
          <w:p>
            <w:r>
              <w:rPr>
                <w:rFonts w:ascii="Calibri" w:cs="Calibri" w:eastAsia="Calibri" w:hAnsi="Calibri"/>
                <w:b w:val="false"/>
                <w:bCs w:val="false"/>
                <w:i w:val="false"/>
                <w:iCs w:val="false"/>
                <w:strike w:val="false"/>
                <w:color w:val="000000"/>
                <w:sz w:val="20"/>
                <w:szCs w:val="20"/>
              </w:rPr>
              <w:t xml:space="preserve">QB-Stream Protocol; Kafka-compatible protocol</w:t>
            </w:r>
          </w:p>
        </w:tc>
        <w:tc>
          <w:tcPr>
            <w:tcW w:type="pct" w:w="21%"/>
          </w:tcPr>
          <w:p>
            <w:r>
              <w:rPr>
                <w:rFonts w:ascii="Calibri" w:cs="Calibri" w:eastAsia="Calibri" w:hAnsi="Calibri"/>
                <w:b w:val="false"/>
                <w:bCs w:val="false"/>
                <w:i w:val="false"/>
                <w:iCs w:val="false"/>
                <w:strike w:val="false"/>
                <w:color w:val="000000"/>
                <w:sz w:val="20"/>
                <w:szCs w:val="20"/>
              </w:rPr>
              <w:t xml:space="preserve">qb-safety-substrate (Federation Gate)</w:t>
            </w:r>
          </w:p>
        </w:tc>
        <w:tc>
          <w:tcPr>
            <w:tcW w:type="pct" w:w="22%"/>
          </w:tcPr>
          <w:p>
            <w:r>
              <w:rPr>
                <w:rFonts w:ascii="Calibri" w:cs="Calibri" w:eastAsia="Calibri" w:hAnsi="Calibri"/>
                <w:b w:val="false"/>
                <w:bCs w:val="false"/>
                <w:i w:val="false"/>
                <w:iCs w:val="false"/>
                <w:strike w:val="false"/>
                <w:color w:val="000000"/>
                <w:sz w:val="20"/>
                <w:szCs w:val="20"/>
              </w:rPr>
              <w:t xml:space="preserve">Stateful; Kafka-style partition leadership; 3 replicas per partition; scale partitions with throughput</w:t>
            </w:r>
          </w:p>
        </w:tc>
        <w:tc>
          <w:tcPr>
            <w:tcW w:type="pct" w:w="18%"/>
          </w:tcPr>
          <w:p>
            <w:r>
              <w:rPr>
                <w:rFonts w:ascii="Calibri" w:cs="Calibri" w:eastAsia="Calibri" w:hAnsi="Calibri"/>
                <w:b w:val="false"/>
                <w:bCs w:val="false"/>
                <w:i w:val="false"/>
                <w:iCs w:val="false"/>
                <w:strike w:val="false"/>
                <w:color w:val="000000"/>
                <w:sz w:val="20"/>
                <w:szCs w:val="20"/>
              </w:rPr>
              <w:t xml:space="preserve">Partition leader election healthy; consumer group lag &lt; 10,000 messages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qb-scenario-graph-service</w:t>
            </w:r>
          </w:p>
        </w:tc>
        <w:tc>
          <w:tcPr>
            <w:tcW w:type="pct" w:w="14%"/>
          </w:tcPr>
          <w:p>
            <w:r>
              <w:rPr>
                <w:rFonts w:ascii="Calibri" w:cs="Calibri" w:eastAsia="Calibri" w:hAnsi="Calibri"/>
                <w:b w:val="false"/>
                <w:bCs w:val="false"/>
                <w:i w:val="false"/>
                <w:iCs w:val="false"/>
                <w:strike w:val="false"/>
                <w:color w:val="000000"/>
                <w:sz w:val="20"/>
                <w:szCs w:val="20"/>
              </w:rPr>
              <w:t xml:space="preserve">9105 (gRPC)</w:t>
            </w:r>
          </w:p>
        </w:tc>
        <w:tc>
          <w:tcPr>
            <w:tcW w:type="pct" w:w="14%"/>
          </w:tcPr>
          <w:p>
            <w:r>
              <w:rPr>
                <w:rFonts w:ascii="Calibri" w:cs="Calibri" w:eastAsia="Calibri" w:hAnsi="Calibri"/>
                <w:b w:val="false"/>
                <w:bCs w:val="false"/>
                <w:i w:val="false"/>
                <w:iCs w:val="false"/>
                <w:strike w:val="false"/>
                <w:color w:val="000000"/>
                <w:sz w:val="20"/>
                <w:szCs w:val="20"/>
              </w:rPr>
              <w:t xml:space="preserve">gRPC</w:t>
            </w:r>
          </w:p>
        </w:tc>
        <w:tc>
          <w:tcPr>
            <w:tcW w:type="pct" w:w="21%"/>
          </w:tcPr>
          <w:p>
            <w:r>
              <w:rPr>
                <w:rFonts w:ascii="Calibri" w:cs="Calibri" w:eastAsia="Calibri" w:hAnsi="Calibri"/>
                <w:b w:val="false"/>
                <w:bCs w:val="false"/>
                <w:i w:val="false"/>
                <w:iCs w:val="false"/>
                <w:strike w:val="false"/>
                <w:color w:val="000000"/>
                <w:sz w:val="20"/>
                <w:szCs w:val="20"/>
              </w:rPr>
              <w:t xml:space="preserve">qb-fact-graph-store, qb-cdre-engine, qb-safety-substrate</w:t>
            </w:r>
          </w:p>
        </w:tc>
        <w:tc>
          <w:tcPr>
            <w:tcW w:type="pct" w:w="22%"/>
          </w:tcPr>
          <w:p>
            <w:r>
              <w:rPr>
                <w:rFonts w:ascii="Calibri" w:cs="Calibri" w:eastAsia="Calibri" w:hAnsi="Calibri"/>
                <w:b w:val="false"/>
                <w:bCs w:val="false"/>
                <w:i w:val="false"/>
                <w:iCs w:val="false"/>
                <w:strike w:val="false"/>
                <w:color w:val="000000"/>
                <w:sz w:val="20"/>
                <w:szCs w:val="20"/>
              </w:rPr>
              <w:t xml:space="preserve">HPA: min 2, max 15; scale on active Scenario Graph count and cross-branch query rate</w:t>
            </w:r>
          </w:p>
        </w:tc>
        <w:tc>
          <w:tcPr>
            <w:tcW w:type="pct" w:w="18%"/>
          </w:tcPr>
          <w:p>
            <w:r>
              <w:rPr>
                <w:rFonts w:ascii="Calibri" w:cs="Calibri" w:eastAsia="Calibri" w:hAnsi="Calibri"/>
                <w:b w:val="false"/>
                <w:bCs w:val="false"/>
                <w:i w:val="false"/>
                <w:iCs w:val="false"/>
                <w:strike w:val="false"/>
                <w:color w:val="000000"/>
                <w:sz w:val="20"/>
                <w:szCs w:val="20"/>
              </w:rPr>
              <w:t xml:space="preserve">gRPC health.Check → SERVING; KSS consistency check latency &lt; 100ms</w:t>
            </w:r>
          </w:p>
        </w:tc>
      </w:tr>
      <w:tr>
        <w:trPr>
          <w:tblHeader w:val="false"/>
        </w:trPr>
        <w:tc>
          <w:tcPr>
            <w:tcW w:type="pct" w:w="11%"/>
          </w:tcPr>
          <w:p>
            <w:r>
              <w:rPr>
                <w:rFonts w:ascii="Calibri" w:cs="Calibri" w:eastAsia="Calibri" w:hAnsi="Calibri"/>
                <w:b w:val="false"/>
                <w:bCs w:val="false"/>
                <w:i w:val="false"/>
                <w:iCs w:val="false"/>
                <w:strike w:val="false"/>
                <w:color w:val="000000"/>
                <w:sz w:val="20"/>
                <w:szCs w:val="20"/>
              </w:rPr>
              <w:t xml:space="preserve">qb-admin-api</w:t>
            </w:r>
          </w:p>
        </w:tc>
        <w:tc>
          <w:tcPr>
            <w:tcW w:type="pct" w:w="14%"/>
          </w:tcPr>
          <w:p>
            <w:r>
              <w:rPr>
                <w:rFonts w:ascii="Calibri" w:cs="Calibri" w:eastAsia="Calibri" w:hAnsi="Calibri"/>
                <w:b w:val="false"/>
                <w:bCs w:val="false"/>
                <w:i w:val="false"/>
                <w:iCs w:val="false"/>
                <w:strike w:val="false"/>
                <w:color w:val="000000"/>
                <w:sz w:val="20"/>
                <w:szCs w:val="20"/>
              </w:rPr>
              <w:t xml:space="preserve">8443 (HTTPS only)</w:t>
            </w:r>
          </w:p>
        </w:tc>
        <w:tc>
          <w:tcPr>
            <w:tcW w:type="pct" w:w="14%"/>
          </w:tcPr>
          <w:p>
            <w:r>
              <w:rPr>
                <w:rFonts w:ascii="Calibri" w:cs="Calibri" w:eastAsia="Calibri" w:hAnsi="Calibri"/>
                <w:b w:val="false"/>
                <w:bCs w:val="false"/>
                <w:i w:val="false"/>
                <w:iCs w:val="false"/>
                <w:strike w:val="false"/>
                <w:color w:val="000000"/>
                <w:sz w:val="20"/>
                <w:szCs w:val="20"/>
              </w:rPr>
              <w:t xml:space="preserve">REST/HTTPS with mTLS</w:t>
            </w:r>
          </w:p>
        </w:tc>
        <w:tc>
          <w:tcPr>
            <w:tcW w:type="pct" w:w="21%"/>
          </w:tcPr>
          <w:p>
            <w:r>
              <w:rPr>
                <w:rFonts w:ascii="Calibri" w:cs="Calibri" w:eastAsia="Calibri" w:hAnsi="Calibri"/>
                <w:b w:val="false"/>
                <w:bCs w:val="false"/>
                <w:i w:val="false"/>
                <w:iCs w:val="false"/>
                <w:strike w:val="false"/>
                <w:color w:val="000000"/>
                <w:sz w:val="20"/>
                <w:szCs w:val="20"/>
              </w:rPr>
              <w:t xml:space="preserve">All services (administrative control plane)</w:t>
            </w:r>
          </w:p>
        </w:tc>
        <w:tc>
          <w:tcPr>
            <w:tcW w:type="pct" w:w="22%"/>
          </w:tcPr>
          <w:p>
            <w:r>
              <w:rPr>
                <w:rFonts w:ascii="Calibri" w:cs="Calibri" w:eastAsia="Calibri" w:hAnsi="Calibri"/>
                <w:b w:val="false"/>
                <w:bCs w:val="false"/>
                <w:i w:val="false"/>
                <w:iCs w:val="false"/>
                <w:strike w:val="false"/>
                <w:color w:val="000000"/>
                <w:sz w:val="20"/>
                <w:szCs w:val="20"/>
              </w:rPr>
              <w:t xml:space="preserve">min 2, max 5; low-traffic; no HPA scaling needed</w:t>
            </w:r>
          </w:p>
        </w:tc>
        <w:tc>
          <w:tcPr>
            <w:tcW w:type="pct" w:w="18%"/>
          </w:tcPr>
          <w:p>
            <w:r>
              <w:rPr>
                <w:rFonts w:ascii="Calibri" w:cs="Calibri" w:eastAsia="Calibri" w:hAnsi="Calibri"/>
                <w:b w:val="false"/>
                <w:bCs w:val="false"/>
                <w:i w:val="false"/>
                <w:iCs w:val="false"/>
                <w:strike w:val="false"/>
                <w:color w:val="000000"/>
                <w:sz w:val="20"/>
                <w:szCs w:val="20"/>
              </w:rPr>
              <w:t xml:space="preserve">GET /health → 200; mTLS certificate validity verified</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0F4FA" w:color="auto" w:val="clear"/>
          </w:tcPr>
          <w:p>
            <w:r>
              <w:rPr>
                <w:rFonts w:ascii="Calibri" w:cs="Calibri" w:eastAsia="Calibri" w:hAnsi="Calibri"/>
                <w:b/>
                <w:bCs/>
                <w:i w:val="false"/>
                <w:iCs w:val="false"/>
                <w:strike w:val="false"/>
                <w:color w:val="333333"/>
                <w:sz w:val="24"/>
                <w:szCs w:val="24"/>
              </w:rPr>
              <w:t xml:space="preserve">Appendix G: Acronym and Abbreviation Index</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DCE6F0" w:color="auto" w:val="clear"/>
          </w:tcPr>
          <w:p>
            <w:r>
              <w:rPr>
                <w:rFonts w:ascii="Calibri" w:cs="Calibri" w:eastAsia="Calibri" w:hAnsi="Calibri"/>
                <w:b/>
                <w:bCs/>
                <w:i w:val="false"/>
                <w:iCs w:val="false"/>
                <w:strike w:val="false"/>
                <w:color w:val="0D2A5E"/>
                <w:sz w:val="20"/>
                <w:szCs w:val="20"/>
              </w:rPr>
              <w:t xml:space="preserve">Acronym</w:t>
            </w:r>
          </w:p>
        </w:tc>
        <w:tc>
          <w:tcPr>
            <w:tcW w:type="pct" w:w="71%"/>
            <w:shd w:fill="DCE6F0" w:color="auto" w:val="clear"/>
          </w:tcPr>
          <w:p>
            <w:r>
              <w:rPr>
                <w:rFonts w:ascii="Calibri" w:cs="Calibri" w:eastAsia="Calibri" w:hAnsi="Calibri"/>
                <w:b/>
                <w:bCs/>
                <w:i w:val="false"/>
                <w:iCs w:val="false"/>
                <w:strike w:val="false"/>
                <w:color w:val="0D2A5E"/>
                <w:sz w:val="20"/>
                <w:szCs w:val="20"/>
              </w:rPr>
              <w:t xml:space="preserve">Full Expansion</w:t>
            </w:r>
          </w:p>
        </w:tc>
        <w:tc>
          <w:tcPr>
            <w:tcW w:type="pct" w:w="17%"/>
            <w:shd w:fill="DCE6F0" w:color="auto" w:val="clear"/>
          </w:tcPr>
          <w:p>
            <w:r>
              <w:rPr>
                <w:rFonts w:ascii="Calibri" w:cs="Calibri" w:eastAsia="Calibri" w:hAnsi="Calibri"/>
                <w:b/>
                <w:bCs/>
                <w:i w:val="false"/>
                <w:iCs w:val="false"/>
                <w:strike w:val="false"/>
                <w:color w:val="0D2A5E"/>
                <w:sz w:val="20"/>
                <w:szCs w:val="20"/>
              </w:rPr>
              <w:t xml:space="preserve">First Defined In</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ACL</w:t>
            </w:r>
          </w:p>
        </w:tc>
        <w:tc>
          <w:tcPr>
            <w:tcW w:type="pct" w:w="71%"/>
          </w:tcPr>
          <w:p>
            <w:r>
              <w:rPr>
                <w:rFonts w:ascii="Calibri" w:cs="Calibri" w:eastAsia="Calibri" w:hAnsi="Calibri"/>
                <w:b w:val="false"/>
                <w:bCs w:val="false"/>
                <w:i w:val="false"/>
                <w:iCs w:val="false"/>
                <w:strike w:val="false"/>
                <w:color w:val="000000"/>
                <w:sz w:val="20"/>
                <w:szCs w:val="20"/>
              </w:rPr>
              <w:t xml:space="preserve">Access Control List</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AEM</w:t>
            </w:r>
          </w:p>
        </w:tc>
        <w:tc>
          <w:tcPr>
            <w:tcW w:type="pct" w:w="71%"/>
          </w:tcPr>
          <w:p>
            <w:r>
              <w:rPr>
                <w:rFonts w:ascii="Calibri" w:cs="Calibri" w:eastAsia="Calibri" w:hAnsi="Calibri"/>
                <w:b w:val="false"/>
                <w:bCs w:val="false"/>
                <w:i w:val="false"/>
                <w:iCs w:val="false"/>
                <w:strike w:val="false"/>
                <w:color w:val="000000"/>
                <w:sz w:val="20"/>
                <w:szCs w:val="20"/>
              </w:rPr>
              <w:t xml:space="preserve">AGI Extension Module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AGI</w:t>
            </w:r>
          </w:p>
        </w:tc>
        <w:tc>
          <w:tcPr>
            <w:tcW w:type="pct" w:w="71%"/>
          </w:tcPr>
          <w:p>
            <w:r>
              <w:rPr>
                <w:rFonts w:ascii="Calibri" w:cs="Calibri" w:eastAsia="Calibri" w:hAnsi="Calibri"/>
                <w:b w:val="false"/>
                <w:bCs w:val="false"/>
                <w:i w:val="false"/>
                <w:iCs w:val="false"/>
                <w:strike w:val="false"/>
                <w:color w:val="000000"/>
                <w:sz w:val="20"/>
                <w:szCs w:val="20"/>
              </w:rPr>
              <w:t xml:space="preserve">Artificial General Intelligence</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ANN</w:t>
            </w:r>
          </w:p>
        </w:tc>
        <w:tc>
          <w:tcPr>
            <w:tcW w:type="pct" w:w="71%"/>
          </w:tcPr>
          <w:p>
            <w:r>
              <w:rPr>
                <w:rFonts w:ascii="Calibri" w:cs="Calibri" w:eastAsia="Calibri" w:hAnsi="Calibri"/>
                <w:b w:val="false"/>
                <w:bCs w:val="false"/>
                <w:i w:val="false"/>
                <w:iCs w:val="false"/>
                <w:strike w:val="false"/>
                <w:color w:val="000000"/>
                <w:sz w:val="20"/>
                <w:szCs w:val="20"/>
              </w:rPr>
              <w:t xml:space="preserve">Approximate Nearest Neighbor</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AN</w:t>
            </w:r>
          </w:p>
        </w:tc>
        <w:tc>
          <w:tcPr>
            <w:tcW w:type="pct" w:w="71%"/>
          </w:tcPr>
          <w:p>
            <w:r>
              <w:rPr>
                <w:rFonts w:ascii="Calibri" w:cs="Calibri" w:eastAsia="Calibri" w:hAnsi="Calibri"/>
                <w:b w:val="false"/>
                <w:bCs w:val="false"/>
                <w:i w:val="false"/>
                <w:iCs w:val="false"/>
                <w:strike w:val="false"/>
                <w:color w:val="000000"/>
                <w:sz w:val="20"/>
                <w:szCs w:val="20"/>
              </w:rPr>
              <w:t xml:space="preserve">Attractor Network</w:t>
            </w:r>
          </w:p>
        </w:tc>
        <w:tc>
          <w:tcPr>
            <w:tcW w:type="pct" w:w="17%"/>
          </w:tcPr>
          <w:p>
            <w:r>
              <w:rPr>
                <w:rFonts w:ascii="Calibri" w:cs="Calibri" w:eastAsia="Calibri" w:hAnsi="Calibri"/>
                <w:b w:val="false"/>
                <w:bCs w:val="false"/>
                <w:i w:val="false"/>
                <w:iCs w:val="false"/>
                <w:strike w:val="false"/>
                <w:color w:val="000000"/>
                <w:sz w:val="20"/>
                <w:szCs w:val="20"/>
              </w:rPr>
              <w:t xml:space="preserve">Chapter 7.2.4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ARE</w:t>
            </w:r>
          </w:p>
        </w:tc>
        <w:tc>
          <w:tcPr>
            <w:tcW w:type="pct" w:w="71%"/>
          </w:tcPr>
          <w:p>
            <w:r>
              <w:rPr>
                <w:rFonts w:ascii="Calibri" w:cs="Calibri" w:eastAsia="Calibri" w:hAnsi="Calibri"/>
                <w:b w:val="false"/>
                <w:bCs w:val="false"/>
                <w:i w:val="false"/>
                <w:iCs w:val="false"/>
                <w:strike w:val="false"/>
                <w:color w:val="000000"/>
                <w:sz w:val="20"/>
                <w:szCs w:val="20"/>
              </w:rPr>
              <w:t xml:space="preserve">Associative Recall Engine</w:t>
            </w:r>
          </w:p>
        </w:tc>
        <w:tc>
          <w:tcPr>
            <w:tcW w:type="pct" w:w="17%"/>
          </w:tcPr>
          <w:p>
            <w:r>
              <w:rPr>
                <w:rFonts w:ascii="Calibri" w:cs="Calibri" w:eastAsia="Calibri" w:hAnsi="Calibri"/>
                <w:b w:val="false"/>
                <w:bCs w:val="false"/>
                <w:i w:val="false"/>
                <w:iCs w:val="false"/>
                <w:strike w:val="false"/>
                <w:color w:val="000000"/>
                <w:sz w:val="20"/>
                <w:szCs w:val="20"/>
              </w:rPr>
              <w:t xml:space="preserve">Chapter 7.2.3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ASR</w:t>
            </w:r>
          </w:p>
        </w:tc>
        <w:tc>
          <w:tcPr>
            <w:tcW w:type="pct" w:w="71%"/>
          </w:tcPr>
          <w:p>
            <w:r>
              <w:rPr>
                <w:rFonts w:ascii="Calibri" w:cs="Calibri" w:eastAsia="Calibri" w:hAnsi="Calibri"/>
                <w:b w:val="false"/>
                <w:bCs w:val="false"/>
                <w:i w:val="false"/>
                <w:iCs w:val="false"/>
                <w:strike w:val="false"/>
                <w:color w:val="000000"/>
                <w:sz w:val="20"/>
                <w:szCs w:val="20"/>
              </w:rPr>
              <w:t xml:space="preserve">Automatic Speech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4.3.4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AST</w:t>
            </w:r>
          </w:p>
        </w:tc>
        <w:tc>
          <w:tcPr>
            <w:tcW w:type="pct" w:w="71%"/>
          </w:tcPr>
          <w:p>
            <w:r>
              <w:rPr>
                <w:rFonts w:ascii="Calibri" w:cs="Calibri" w:eastAsia="Calibri" w:hAnsi="Calibri"/>
                <w:b w:val="false"/>
                <w:bCs w:val="false"/>
                <w:i w:val="false"/>
                <w:iCs w:val="false"/>
                <w:strike w:val="false"/>
                <w:color w:val="000000"/>
                <w:sz w:val="20"/>
                <w:szCs w:val="20"/>
              </w:rPr>
              <w:t xml:space="preserve">Abstract Syntax Tree</w:t>
            </w:r>
          </w:p>
        </w:tc>
        <w:tc>
          <w:tcPr>
            <w:tcW w:type="pct" w:w="17%"/>
          </w:tcPr>
          <w:p>
            <w:r>
              <w:rPr>
                <w:rFonts w:ascii="Calibri" w:cs="Calibri" w:eastAsia="Calibri" w:hAnsi="Calibri"/>
                <w:b w:val="false"/>
                <w:bCs w:val="false"/>
                <w:i w:val="false"/>
                <w:iCs w:val="false"/>
                <w:strike w:val="false"/>
                <w:color w:val="000000"/>
                <w:sz w:val="20"/>
                <w:szCs w:val="20"/>
              </w:rPr>
              <w:t xml:space="preserve">Chapter 4.3.8</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BNF</w:t>
            </w:r>
          </w:p>
        </w:tc>
        <w:tc>
          <w:tcPr>
            <w:tcW w:type="pct" w:w="71%"/>
          </w:tcPr>
          <w:p>
            <w:r>
              <w:rPr>
                <w:rFonts w:ascii="Calibri" w:cs="Calibri" w:eastAsia="Calibri" w:hAnsi="Calibri"/>
                <w:b w:val="false"/>
                <w:bCs w:val="false"/>
                <w:i w:val="false"/>
                <w:iCs w:val="false"/>
                <w:strike w:val="false"/>
                <w:color w:val="000000"/>
                <w:sz w:val="20"/>
                <w:szCs w:val="20"/>
              </w:rPr>
              <w:t xml:space="preserve">Backus-Naur Form</w:t>
            </w:r>
          </w:p>
        </w:tc>
        <w:tc>
          <w:tcPr>
            <w:tcW w:type="pct" w:w="17%"/>
          </w:tcPr>
          <w:p>
            <w:r>
              <w:rPr>
                <w:rFonts w:ascii="Calibri" w:cs="Calibri" w:eastAsia="Calibri" w:hAnsi="Calibri"/>
                <w:b w:val="false"/>
                <w:bCs w:val="false"/>
                <w:i w:val="false"/>
                <w:iCs w:val="false"/>
                <w:strike w:val="false"/>
                <w:color w:val="000000"/>
                <w:sz w:val="20"/>
                <w:szCs w:val="20"/>
              </w:rPr>
              <w:t xml:space="preserve">Chapter 17.3.1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CCW</w:t>
            </w:r>
          </w:p>
        </w:tc>
        <w:tc>
          <w:tcPr>
            <w:tcW w:type="pct" w:w="71%"/>
          </w:tcPr>
          <w:p>
            <w:r>
              <w:rPr>
                <w:rFonts w:ascii="Calibri" w:cs="Calibri" w:eastAsia="Calibri" w:hAnsi="Calibri"/>
                <w:b w:val="false"/>
                <w:bCs w:val="false"/>
                <w:i w:val="false"/>
                <w:iCs w:val="false"/>
                <w:strike w:val="false"/>
                <w:color w:val="000000"/>
                <w:sz w:val="20"/>
                <w:szCs w:val="20"/>
              </w:rPr>
              <w:t xml:space="preserve">Cognitive Context Window</w:t>
            </w:r>
          </w:p>
        </w:tc>
        <w:tc>
          <w:tcPr>
            <w:tcW w:type="pct" w:w="17%"/>
          </w:tcPr>
          <w:p>
            <w:r>
              <w:rPr>
                <w:rFonts w:ascii="Calibri" w:cs="Calibri" w:eastAsia="Calibri" w:hAnsi="Calibri"/>
                <w:b w:val="false"/>
                <w:bCs w:val="false"/>
                <w:i w:val="false"/>
                <w:iCs w:val="false"/>
                <w:strike w:val="false"/>
                <w:color w:val="000000"/>
                <w:sz w:val="20"/>
                <w:szCs w:val="20"/>
              </w:rPr>
              <w:t xml:space="preserve">Chapter 7.2.6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CDRE</w:t>
            </w:r>
          </w:p>
        </w:tc>
        <w:tc>
          <w:tcPr>
            <w:tcW w:type="pct" w:w="71%"/>
          </w:tcPr>
          <w:p>
            <w:r>
              <w:rPr>
                <w:rFonts w:ascii="Calibri" w:cs="Calibri" w:eastAsia="Calibri" w:hAnsi="Calibri"/>
                <w:b w:val="false"/>
                <w:bCs w:val="false"/>
                <w:i w:val="false"/>
                <w:iCs w:val="false"/>
                <w:strike w:val="false"/>
                <w:color w:val="000000"/>
                <w:sz w:val="20"/>
                <w:szCs w:val="20"/>
              </w:rPr>
              <w:t xml:space="preserve">Cross-Domain Rule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CID</w:t>
            </w:r>
          </w:p>
        </w:tc>
        <w:tc>
          <w:tcPr>
            <w:tcW w:type="pct" w:w="71%"/>
          </w:tcPr>
          <w:p>
            <w:r>
              <w:rPr>
                <w:rFonts w:ascii="Calibri" w:cs="Calibri" w:eastAsia="Calibri" w:hAnsi="Calibri"/>
                <w:b w:val="false"/>
                <w:bCs w:val="false"/>
                <w:i w:val="false"/>
                <w:iCs w:val="false"/>
                <w:strike w:val="false"/>
                <w:color w:val="000000"/>
                <w:sz w:val="20"/>
                <w:szCs w:val="20"/>
              </w:rPr>
              <w:t xml:space="preserve">Content Identifier (IPFS-style)</w:t>
            </w:r>
          </w:p>
        </w:tc>
        <w:tc>
          <w:tcPr>
            <w:tcW w:type="pct" w:w="17%"/>
          </w:tcPr>
          <w:p>
            <w:r>
              <w:rPr>
                <w:rFonts w:ascii="Calibri" w:cs="Calibri" w:eastAsia="Calibri" w:hAnsi="Calibri"/>
                <w:b w:val="false"/>
                <w:bCs w:val="false"/>
                <w:i w:val="false"/>
                <w:iCs w:val="false"/>
                <w:strike w:val="false"/>
                <w:color w:val="000000"/>
                <w:sz w:val="20"/>
                <w:szCs w:val="20"/>
              </w:rPr>
              <w:t xml:space="preserve">Chapter 5.2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COA</w:t>
            </w:r>
          </w:p>
        </w:tc>
        <w:tc>
          <w:tcPr>
            <w:tcW w:type="pct" w:w="71%"/>
          </w:tcPr>
          <w:p>
            <w:r>
              <w:rPr>
                <w:rFonts w:ascii="Calibri" w:cs="Calibri" w:eastAsia="Calibri" w:hAnsi="Calibri"/>
                <w:b w:val="false"/>
                <w:bCs w:val="false"/>
                <w:i w:val="false"/>
                <w:iCs w:val="false"/>
                <w:strike w:val="false"/>
                <w:color w:val="000000"/>
                <w:sz w:val="20"/>
                <w:szCs w:val="20"/>
              </w:rPr>
              <w:t xml:space="preserve">Central Ontology Authority</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CRDT</w:t>
            </w:r>
          </w:p>
        </w:tc>
        <w:tc>
          <w:tcPr>
            <w:tcW w:type="pct" w:w="71%"/>
          </w:tcPr>
          <w:p>
            <w:r>
              <w:rPr>
                <w:rFonts w:ascii="Calibri" w:cs="Calibri" w:eastAsia="Calibri" w:hAnsi="Calibri"/>
                <w:b w:val="false"/>
                <w:bCs w:val="false"/>
                <w:i w:val="false"/>
                <w:iCs w:val="false"/>
                <w:strike w:val="false"/>
                <w:color w:val="000000"/>
                <w:sz w:val="20"/>
                <w:szCs w:val="20"/>
              </w:rPr>
              <w:t xml:space="preserve">Conflict-Free Replicated Data Type</w:t>
            </w:r>
          </w:p>
        </w:tc>
        <w:tc>
          <w:tcPr>
            <w:tcW w:type="pct" w:w="17%"/>
          </w:tcPr>
          <w:p>
            <w:r>
              <w:rPr>
                <w:rFonts w:ascii="Calibri" w:cs="Calibri" w:eastAsia="Calibri" w:hAnsi="Calibri"/>
                <w:b w:val="false"/>
                <w:bCs w:val="false"/>
                <w:i w:val="false"/>
                <w:iCs w:val="false"/>
                <w:strike w:val="false"/>
                <w:color w:val="000000"/>
                <w:sz w:val="20"/>
                <w:szCs w:val="20"/>
              </w:rPr>
              <w:t xml:space="preserve">Chapter 14.5.4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CWA</w:t>
            </w:r>
          </w:p>
        </w:tc>
        <w:tc>
          <w:tcPr>
            <w:tcW w:type="pct" w:w="71%"/>
          </w:tcPr>
          <w:p>
            <w:r>
              <w:rPr>
                <w:rFonts w:ascii="Calibri" w:cs="Calibri" w:eastAsia="Calibri" w:hAnsi="Calibri"/>
                <w:b w:val="false"/>
                <w:bCs w:val="false"/>
                <w:i w:val="false"/>
                <w:iCs w:val="false"/>
                <w:strike w:val="false"/>
                <w:color w:val="000000"/>
                <w:sz w:val="20"/>
                <w:szCs w:val="20"/>
              </w:rPr>
              <w:t xml:space="preserve">Closed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DLQ</w:t>
            </w:r>
          </w:p>
        </w:tc>
        <w:tc>
          <w:tcPr>
            <w:tcW w:type="pct" w:w="71%"/>
          </w:tcPr>
          <w:p>
            <w:r>
              <w:rPr>
                <w:rFonts w:ascii="Calibri" w:cs="Calibri" w:eastAsia="Calibri" w:hAnsi="Calibri"/>
                <w:b w:val="false"/>
                <w:bCs w:val="false"/>
                <w:i w:val="false"/>
                <w:iCs w:val="false"/>
                <w:strike w:val="false"/>
                <w:color w:val="000000"/>
                <w:sz w:val="20"/>
                <w:szCs w:val="20"/>
              </w:rPr>
              <w:t xml:space="preserve">Dead-Letter Queue</w:t>
            </w:r>
          </w:p>
        </w:tc>
        <w:tc>
          <w:tcPr>
            <w:tcW w:type="pct" w:w="17%"/>
          </w:tcPr>
          <w:p>
            <w:r>
              <w:rPr>
                <w:rFonts w:ascii="Calibri" w:cs="Calibri" w:eastAsia="Calibri" w:hAnsi="Calibri"/>
                <w:b w:val="false"/>
                <w:bCs w:val="false"/>
                <w:i w:val="false"/>
                <w:iCs w:val="false"/>
                <w:strike w:val="false"/>
                <w:color w:val="000000"/>
                <w:sz w:val="20"/>
                <w:szCs w:val="20"/>
              </w:rPr>
              <w:t xml:space="preserve">Chapter 4.4.4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DSAR</w:t>
            </w:r>
          </w:p>
        </w:tc>
        <w:tc>
          <w:tcPr>
            <w:tcW w:type="pct" w:w="71%"/>
          </w:tcPr>
          <w:p>
            <w:r>
              <w:rPr>
                <w:rFonts w:ascii="Calibri" w:cs="Calibri" w:eastAsia="Calibri" w:hAnsi="Calibri"/>
                <w:b w:val="false"/>
                <w:bCs w:val="false"/>
                <w:i w:val="false"/>
                <w:iCs w:val="false"/>
                <w:strike w:val="false"/>
                <w:color w:val="000000"/>
                <w:sz w:val="20"/>
                <w:szCs w:val="20"/>
              </w:rPr>
              <w:t xml:space="preserve">Data Subject Access Request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EWC</w:t>
            </w:r>
          </w:p>
        </w:tc>
        <w:tc>
          <w:tcPr>
            <w:tcW w:type="pct" w:w="71%"/>
          </w:tcPr>
          <w:p>
            <w:r>
              <w:rPr>
                <w:rFonts w:ascii="Calibri" w:cs="Calibri" w:eastAsia="Calibri" w:hAnsi="Calibri"/>
                <w:b w:val="false"/>
                <w:bCs w:val="false"/>
                <w:i w:val="false"/>
                <w:iCs w:val="false"/>
                <w:strike w:val="false"/>
                <w:color w:val="000000"/>
                <w:sz w:val="20"/>
                <w:szCs w:val="20"/>
              </w:rPr>
              <w:t xml:space="preserve">Elastic Weight Consolidation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FB</w:t>
            </w:r>
          </w:p>
        </w:tc>
        <w:tc>
          <w:tcPr>
            <w:tcW w:type="pct" w:w="71%"/>
          </w:tcPr>
          <w:p>
            <w:r>
              <w:rPr>
                <w:rFonts w:ascii="Calibri" w:cs="Calibri" w:eastAsia="Calibri" w:hAnsi="Calibri"/>
                <w:b w:val="false"/>
                <w:bCs w:val="false"/>
                <w:i w:val="false"/>
                <w:iCs w:val="false"/>
                <w:strike w:val="false"/>
                <w:color w:val="000000"/>
                <w:sz w:val="20"/>
                <w:szCs w:val="20"/>
              </w:rPr>
              <w:t xml:space="preserve">Fact Bundle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FCI</w:t>
            </w:r>
          </w:p>
        </w:tc>
        <w:tc>
          <w:tcPr>
            <w:tcW w:type="pct" w:w="71%"/>
          </w:tcPr>
          <w:p>
            <w:r>
              <w:rPr>
                <w:rFonts w:ascii="Calibri" w:cs="Calibri" w:eastAsia="Calibri" w:hAnsi="Calibri"/>
                <w:b w:val="false"/>
                <w:bCs w:val="false"/>
                <w:i w:val="false"/>
                <w:iCs w:val="false"/>
                <w:strike w:val="false"/>
                <w:color w:val="000000"/>
                <w:sz w:val="20"/>
                <w:szCs w:val="20"/>
              </w:rPr>
              <w:t xml:space="preserve">Fast Causal Inference (algorithm)</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FG</w:t>
            </w:r>
          </w:p>
        </w:tc>
        <w:tc>
          <w:tcPr>
            <w:tcW w:type="pct" w:w="71%"/>
          </w:tcPr>
          <w:p>
            <w:r>
              <w:rPr>
                <w:rFonts w:ascii="Calibri" w:cs="Calibri" w:eastAsia="Calibri" w:hAnsi="Calibri"/>
                <w:b w:val="false"/>
                <w:bCs w:val="false"/>
                <w:i w:val="false"/>
                <w:iCs w:val="false"/>
                <w:strike w:val="false"/>
                <w:color w:val="000000"/>
                <w:sz w:val="20"/>
                <w:szCs w:val="20"/>
              </w:rPr>
              <w:t xml:space="preserve">Fact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FU-verse</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Fact Universe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WASM</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Aware System Model</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WMD</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World Model Domain</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53</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CML</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Conceptual Memory Layer</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54</w:t>
            </w:r>
          </w:p>
        </w:tc>
      </w:tr>
      <w:tr>
        <w:trPr>
          <w:tblHeader w:val="false"/>
        </w:trPr>
        <w:tc>
          <w:tcPr>
            <w:tcW w:type="pct" w:w="12%"/>
            <w:shd w:fill="FFFF00" w:color="auto" w:val="clear"/>
          </w:tcPr>
          <w:p>
            <w:r>
              <w:rPr>
                <w:rFonts w:ascii="Calibri" w:cs="Calibri" w:eastAsia="Calibri" w:hAnsi="Calibri"/>
                <w:b w:val="false"/>
                <w:bCs w:val="false"/>
                <w:i w:val="false"/>
                <w:iCs w:val="false"/>
                <w:strike w:val="false"/>
                <w:color w:val="000000"/>
                <w:sz w:val="20"/>
                <w:szCs w:val="20"/>
              </w:rPr>
              <w:t xml:space="preserve">SAP</w:t>
            </w:r>
          </w:p>
        </w:tc>
        <w:tc>
          <w:tcPr>
            <w:tcW w:type="pct" w:w="71%"/>
            <w:shd w:fill="FFFF00" w:color="auto" w:val="clear"/>
          </w:tcPr>
          <w:p>
            <w:r>
              <w:rPr>
                <w:rFonts w:ascii="Calibri" w:cs="Calibri" w:eastAsia="Calibri" w:hAnsi="Calibri"/>
                <w:b w:val="false"/>
                <w:bCs w:val="false"/>
                <w:i w:val="false"/>
                <w:iCs w:val="false"/>
                <w:strike w:val="false"/>
                <w:color w:val="000000"/>
                <w:sz w:val="20"/>
                <w:szCs w:val="20"/>
              </w:rPr>
              <w:t xml:space="preserve">Sensory Abstraction Pipeline</w:t>
            </w:r>
          </w:p>
        </w:tc>
        <w:tc>
          <w:tcPr>
            <w:tcW w:type="pct" w:w="17%"/>
            <w:shd w:fill="FFFF00" w:color="auto" w:val="clear"/>
          </w:tcPr>
          <w:p>
            <w:r>
              <w:rPr>
                <w:rFonts w:ascii="Calibri" w:cs="Calibri" w:eastAsia="Calibri" w:hAnsi="Calibri"/>
                <w:b w:val="false"/>
                <w:bCs w:val="false"/>
                <w:i w:val="false"/>
                <w:iCs w:val="false"/>
                <w:strike w:val="false"/>
                <w:color w:val="000000"/>
                <w:sz w:val="20"/>
                <w:szCs w:val="20"/>
              </w:rPr>
              <w:t xml:space="preserve">Chapter 55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FF</w:t>
            </w:r>
          </w:p>
        </w:tc>
        <w:tc>
          <w:tcPr>
            <w:tcW w:type="pct" w:w="71%"/>
          </w:tcPr>
          <w:p>
            <w:r>
              <w:rPr>
                <w:rFonts w:ascii="Calibri" w:cs="Calibri" w:eastAsia="Calibri" w:hAnsi="Calibri"/>
                <w:b w:val="false"/>
                <w:bCs w:val="false"/>
                <w:i w:val="false"/>
                <w:iCs w:val="false"/>
                <w:strike w:val="false"/>
                <w:color w:val="000000"/>
                <w:sz w:val="20"/>
                <w:szCs w:val="20"/>
              </w:rPr>
              <w:t xml:space="preserve">Fact Field</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FL</w:t>
            </w:r>
          </w:p>
        </w:tc>
        <w:tc>
          <w:tcPr>
            <w:tcW w:type="pct" w:w="71%"/>
          </w:tcPr>
          <w:p>
            <w:r>
              <w:rPr>
                <w:rFonts w:ascii="Calibri" w:cs="Calibri" w:eastAsia="Calibri" w:hAnsi="Calibri"/>
                <w:b w:val="false"/>
                <w:bCs w:val="false"/>
                <w:i w:val="false"/>
                <w:iCs w:val="false"/>
                <w:strike w:val="false"/>
                <w:color w:val="000000"/>
                <w:sz w:val="20"/>
                <w:szCs w:val="20"/>
              </w:rPr>
              <w:t xml:space="preserve">Fact Lineage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FS</w:t>
            </w:r>
          </w:p>
        </w:tc>
        <w:tc>
          <w:tcPr>
            <w:tcW w:type="pct" w:w="71%"/>
          </w:tcPr>
          <w:p>
            <w:r>
              <w:rPr>
                <w:rFonts w:ascii="Calibri" w:cs="Calibri" w:eastAsia="Calibri" w:hAnsi="Calibri"/>
                <w:b w:val="false"/>
                <w:bCs w:val="false"/>
                <w:i w:val="false"/>
                <w:iCs w:val="false"/>
                <w:strike w:val="false"/>
                <w:color w:val="000000"/>
                <w:sz w:val="20"/>
                <w:szCs w:val="20"/>
              </w:rPr>
              <w:t xml:space="preserve">Fact Stream</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w:t>
            </w:r>
          </w:p>
        </w:tc>
        <w:tc>
          <w:tcPr>
            <w:tcW w:type="pct" w:w="71%"/>
          </w:tcPr>
          <w:p>
            <w:r>
              <w:rPr>
                <w:rFonts w:ascii="Calibri" w:cs="Calibri" w:eastAsia="Calibri" w:hAnsi="Calibri"/>
                <w:b w:val="false"/>
                <w:bCs w:val="false"/>
                <w:i w:val="false"/>
                <w:iCs w:val="false"/>
                <w:strike w:val="false"/>
                <w:color w:val="000000"/>
                <w:sz w:val="20"/>
                <w:szCs w:val="20"/>
              </w:rPr>
              <w:t xml:space="preserve">Fact Unit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FUID</w:t>
            </w:r>
          </w:p>
        </w:tc>
        <w:tc>
          <w:tcPr>
            <w:tcW w:type="pct" w:w="71%"/>
          </w:tcPr>
          <w:p>
            <w:r>
              <w:rPr>
                <w:rFonts w:ascii="Calibri" w:cs="Calibri" w:eastAsia="Calibri" w:hAnsi="Calibri"/>
                <w:b w:val="false"/>
                <w:bCs w:val="false"/>
                <w:i w:val="false"/>
                <w:iCs w:val="false"/>
                <w:strike w:val="false"/>
                <w:color w:val="000000"/>
                <w:sz w:val="20"/>
                <w:szCs w:val="20"/>
              </w:rPr>
              <w:t xml:space="preserve">Fact Unit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GDPR</w:t>
            </w:r>
          </w:p>
        </w:tc>
        <w:tc>
          <w:tcPr>
            <w:tcW w:type="pct" w:w="71%"/>
          </w:tcPr>
          <w:p>
            <w:r>
              <w:rPr>
                <w:rFonts w:ascii="Calibri" w:cs="Calibri" w:eastAsia="Calibri" w:hAnsi="Calibri"/>
                <w:b w:val="false"/>
                <w:bCs w:val="false"/>
                <w:i w:val="false"/>
                <w:iCs w:val="false"/>
                <w:strike w:val="false"/>
                <w:color w:val="000000"/>
                <w:sz w:val="20"/>
                <w:szCs w:val="20"/>
              </w:rPr>
              <w:t xml:space="preserve">General Data Protection Regulation</w:t>
            </w:r>
          </w:p>
        </w:tc>
        <w:tc>
          <w:tcPr>
            <w:tcW w:type="pct" w:w="17%"/>
          </w:tcPr>
          <w:p>
            <w:r>
              <w:rPr>
                <w:rFonts w:ascii="Calibri" w:cs="Calibri" w:eastAsia="Calibri" w:hAnsi="Calibri"/>
                <w:b w:val="false"/>
                <w:bCs w:val="false"/>
                <w:i w:val="false"/>
                <w:iCs w:val="false"/>
                <w:strike w:val="false"/>
                <w:color w:val="000000"/>
                <w:sz w:val="20"/>
                <w:szCs w:val="20"/>
              </w:rPr>
              <w:t xml:space="preserve">Chapter 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GFS</w:t>
            </w:r>
          </w:p>
        </w:tc>
        <w:tc>
          <w:tcPr>
            <w:tcW w:type="pct" w:w="71%"/>
          </w:tcPr>
          <w:p>
            <w:r>
              <w:rPr>
                <w:rFonts w:ascii="Calibri" w:cs="Calibri" w:eastAsia="Calibri" w:hAnsi="Calibri"/>
                <w:b w:val="false"/>
                <w:bCs w:val="false"/>
                <w:i w:val="false"/>
                <w:iCs w:val="false"/>
                <w:strike w:val="false"/>
                <w:color w:val="000000"/>
                <w:sz w:val="20"/>
                <w:szCs w:val="20"/>
              </w:rPr>
              <w:t xml:space="preserve">Grandfather-Father-Son (backup rotation)</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HIPAA</w:t>
            </w:r>
          </w:p>
        </w:tc>
        <w:tc>
          <w:tcPr>
            <w:tcW w:type="pct" w:w="71%"/>
          </w:tcPr>
          <w:p>
            <w:r>
              <w:rPr>
                <w:rFonts w:ascii="Calibri" w:cs="Calibri" w:eastAsia="Calibri" w:hAnsi="Calibri"/>
                <w:b w:val="false"/>
                <w:bCs w:val="false"/>
                <w:i w:val="false"/>
                <w:iCs w:val="false"/>
                <w:strike w:val="false"/>
                <w:color w:val="000000"/>
                <w:sz w:val="20"/>
                <w:szCs w:val="20"/>
              </w:rPr>
              <w:t xml:space="preserve">Health Insurance Portability and Accountability Act</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HNSW</w:t>
            </w:r>
          </w:p>
        </w:tc>
        <w:tc>
          <w:tcPr>
            <w:tcW w:type="pct" w:w="71%"/>
          </w:tcPr>
          <w:p>
            <w:r>
              <w:rPr>
                <w:rFonts w:ascii="Calibri" w:cs="Calibri" w:eastAsia="Calibri" w:hAnsi="Calibri"/>
                <w:b w:val="false"/>
                <w:bCs w:val="false"/>
                <w:i w:val="false"/>
                <w:iCs w:val="false"/>
                <w:strike w:val="false"/>
                <w:color w:val="000000"/>
                <w:sz w:val="20"/>
                <w:szCs w:val="20"/>
              </w:rPr>
              <w:t xml:space="preserve">Hierarchical Navigable Small World (graph index)</w:t>
            </w:r>
          </w:p>
        </w:tc>
        <w:tc>
          <w:tcPr>
            <w:tcW w:type="pct" w:w="17%"/>
          </w:tcPr>
          <w:p>
            <w:r>
              <w:rPr>
                <w:rFonts w:ascii="Calibri" w:cs="Calibri" w:eastAsia="Calibri" w:hAnsi="Calibri"/>
                <w:b w:val="false"/>
                <w:bCs w:val="false"/>
                <w:i w:val="false"/>
                <w:iCs w:val="false"/>
                <w:strike w:val="false"/>
                <w:color w:val="000000"/>
                <w:sz w:val="20"/>
                <w:szCs w:val="20"/>
              </w:rPr>
              <w:t xml:space="preserve">Chapter 14.3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HSM</w:t>
            </w:r>
          </w:p>
        </w:tc>
        <w:tc>
          <w:tcPr>
            <w:tcW w:type="pct" w:w="71%"/>
          </w:tcPr>
          <w:p>
            <w:r>
              <w:rPr>
                <w:rFonts w:ascii="Calibri" w:cs="Calibri" w:eastAsia="Calibri" w:hAnsi="Calibri"/>
                <w:b w:val="false"/>
                <w:bCs w:val="false"/>
                <w:i w:val="false"/>
                <w:iCs w:val="false"/>
                <w:strike w:val="false"/>
                <w:color w:val="000000"/>
                <w:sz w:val="20"/>
                <w:szCs w:val="20"/>
              </w:rPr>
              <w:t xml:space="preserve">Hardware Security Module</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HTM</w:t>
            </w:r>
          </w:p>
        </w:tc>
        <w:tc>
          <w:tcPr>
            <w:tcW w:type="pct" w:w="71%"/>
          </w:tcPr>
          <w:p>
            <w:r>
              <w:rPr>
                <w:rFonts w:ascii="Calibri" w:cs="Calibri" w:eastAsia="Calibri" w:hAnsi="Calibri"/>
                <w:b w:val="false"/>
                <w:bCs w:val="false"/>
                <w:i w:val="false"/>
                <w:iCs w:val="false"/>
                <w:strike w:val="false"/>
                <w:color w:val="000000"/>
                <w:sz w:val="20"/>
                <w:szCs w:val="20"/>
              </w:rPr>
              <w:t xml:space="preserve">Hierarchical Temporal Memory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IL</w:t>
            </w:r>
          </w:p>
        </w:tc>
        <w:tc>
          <w:tcPr>
            <w:tcW w:type="pct" w:w="71%"/>
          </w:tcPr>
          <w:p>
            <w:r>
              <w:rPr>
                <w:rFonts w:ascii="Calibri" w:cs="Calibri" w:eastAsia="Calibri" w:hAnsi="Calibri"/>
                <w:b w:val="false"/>
                <w:bCs w:val="false"/>
                <w:i w:val="false"/>
                <w:iCs w:val="false"/>
                <w:strike w:val="false"/>
                <w:color w:val="000000"/>
                <w:sz w:val="20"/>
                <w:szCs w:val="20"/>
              </w:rPr>
              <w:t xml:space="preserve">Ingestion Layer</w:t>
            </w:r>
          </w:p>
        </w:tc>
        <w:tc>
          <w:tcPr>
            <w:tcW w:type="pct" w:w="17%"/>
          </w:tcPr>
          <w:p>
            <w:r>
              <w:rPr>
                <w:rFonts w:ascii="Calibri" w:cs="Calibri" w:eastAsia="Calibri" w:hAnsi="Calibri"/>
                <w:b w:val="false"/>
                <w:bCs w:val="false"/>
                <w:i w:val="false"/>
                <w:iCs w:val="false"/>
                <w:strike w:val="false"/>
                <w:color w:val="000000"/>
                <w:sz w:val="20"/>
                <w:szCs w:val="20"/>
              </w:rPr>
              <w:t xml:space="preserve">Chapter 1.5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IP</w:t>
            </w:r>
          </w:p>
        </w:tc>
        <w:tc>
          <w:tcPr>
            <w:tcW w:type="pct" w:w="71%"/>
          </w:tcPr>
          <w:p>
            <w:r>
              <w:rPr>
                <w:rFonts w:ascii="Calibri" w:cs="Calibri" w:eastAsia="Calibri" w:hAnsi="Calibri"/>
                <w:b w:val="false"/>
                <w:bCs w:val="false"/>
                <w:i w:val="false"/>
                <w:iCs w:val="false"/>
                <w:strike w:val="false"/>
                <w:color w:val="000000"/>
                <w:sz w:val="20"/>
                <w:szCs w:val="20"/>
              </w:rPr>
              <w:t xml:space="preserve">Ingestion Pipeline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ISR</w:t>
            </w:r>
          </w:p>
        </w:tc>
        <w:tc>
          <w:tcPr>
            <w:tcW w:type="pct" w:w="71%"/>
          </w:tcPr>
          <w:p>
            <w:r>
              <w:rPr>
                <w:rFonts w:ascii="Calibri" w:cs="Calibri" w:eastAsia="Calibri" w:hAnsi="Calibri"/>
                <w:b w:val="false"/>
                <w:bCs w:val="false"/>
                <w:i w:val="false"/>
                <w:iCs w:val="false"/>
                <w:strike w:val="false"/>
                <w:color w:val="000000"/>
                <w:sz w:val="20"/>
                <w:szCs w:val="20"/>
              </w:rPr>
              <w:t xml:space="preserve">Intermediate Semantic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4.1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ITAR</w:t>
            </w:r>
          </w:p>
        </w:tc>
        <w:tc>
          <w:tcPr>
            <w:tcW w:type="pct" w:w="71%"/>
          </w:tcPr>
          <w:p>
            <w:r>
              <w:rPr>
                <w:rFonts w:ascii="Calibri" w:cs="Calibri" w:eastAsia="Calibri" w:hAnsi="Calibri"/>
                <w:b w:val="false"/>
                <w:bCs w:val="false"/>
                <w:i w:val="false"/>
                <w:iCs w:val="false"/>
                <w:strike w:val="false"/>
                <w:color w:val="000000"/>
                <w:sz w:val="20"/>
                <w:szCs w:val="20"/>
              </w:rPr>
              <w:t xml:space="preserve">International Traffic in Arms Regulations</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KSS</w:t>
            </w:r>
          </w:p>
        </w:tc>
        <w:tc>
          <w:tcPr>
            <w:tcW w:type="pct" w:w="71%"/>
          </w:tcPr>
          <w:p>
            <w:r>
              <w:rPr>
                <w:rFonts w:ascii="Calibri" w:cs="Calibri" w:eastAsia="Calibri" w:hAnsi="Calibri"/>
                <w:b w:val="false"/>
                <w:bCs w:val="false"/>
                <w:i w:val="false"/>
                <w:iCs w:val="false"/>
                <w:strike w:val="false"/>
                <w:color w:val="000000"/>
                <w:sz w:val="20"/>
                <w:szCs w:val="20"/>
              </w:rPr>
              <w:t xml:space="preserve">Knowledge State Snapshot</w:t>
            </w:r>
          </w:p>
        </w:tc>
        <w:tc>
          <w:tcPr>
            <w:tcW w:type="pct" w:w="17%"/>
          </w:tcPr>
          <w:p>
            <w:r>
              <w:rPr>
                <w:rFonts w:ascii="Calibri" w:cs="Calibri" w:eastAsia="Calibri" w:hAnsi="Calibri"/>
                <w:b w:val="false"/>
                <w:bCs w:val="false"/>
                <w:i w:val="false"/>
                <w:iCs w:val="false"/>
                <w:strike w:val="false"/>
                <w:color w:val="000000"/>
                <w:sz w:val="20"/>
                <w:szCs w:val="20"/>
              </w:rPr>
              <w:t xml:space="preserve">Chapter 11.1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LLM</w:t>
            </w:r>
          </w:p>
        </w:tc>
        <w:tc>
          <w:tcPr>
            <w:tcW w:type="pct" w:w="71%"/>
          </w:tcPr>
          <w:p>
            <w:r>
              <w:rPr>
                <w:rFonts w:ascii="Calibri" w:cs="Calibri" w:eastAsia="Calibri" w:hAnsi="Calibri"/>
                <w:b w:val="false"/>
                <w:bCs w:val="false"/>
                <w:i w:val="false"/>
                <w:iCs w:val="false"/>
                <w:strike w:val="false"/>
                <w:color w:val="000000"/>
                <w:sz w:val="20"/>
                <w:szCs w:val="20"/>
              </w:rPr>
              <w:t xml:space="preserve">Large 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MCMC</w:t>
            </w:r>
          </w:p>
        </w:tc>
        <w:tc>
          <w:tcPr>
            <w:tcW w:type="pct" w:w="71%"/>
          </w:tcPr>
          <w:p>
            <w:r>
              <w:rPr>
                <w:rFonts w:ascii="Calibri" w:cs="Calibri" w:eastAsia="Calibri" w:hAnsi="Calibri"/>
                <w:b w:val="false"/>
                <w:bCs w:val="false"/>
                <w:i w:val="false"/>
                <w:iCs w:val="false"/>
                <w:strike w:val="false"/>
                <w:color w:val="000000"/>
                <w:sz w:val="20"/>
                <w:szCs w:val="20"/>
              </w:rPr>
              <w:t xml:space="preserve">Markov Chain Monte Carlo</w:t>
            </w:r>
          </w:p>
        </w:tc>
        <w:tc>
          <w:tcPr>
            <w:tcW w:type="pct" w:w="17%"/>
          </w:tcPr>
          <w:p>
            <w:r>
              <w:rPr>
                <w:rFonts w:ascii="Calibri" w:cs="Calibri" w:eastAsia="Calibri" w:hAnsi="Calibri"/>
                <w:b w:val="false"/>
                <w:bCs w:val="false"/>
                <w:i w:val="false"/>
                <w:iCs w:val="false"/>
                <w:strike w:val="false"/>
                <w:color w:val="000000"/>
                <w:sz w:val="20"/>
                <w:szCs w:val="20"/>
              </w:rPr>
              <w:t xml:space="preserve">Chapter 10.3.1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MRE</w:t>
            </w:r>
          </w:p>
        </w:tc>
        <w:tc>
          <w:tcPr>
            <w:tcW w:type="pct" w:w="71%"/>
          </w:tcPr>
          <w:p>
            <w:r>
              <w:rPr>
                <w:rFonts w:ascii="Calibri" w:cs="Calibri" w:eastAsia="Calibri" w:hAnsi="Calibri"/>
                <w:b w:val="false"/>
                <w:bCs w:val="false"/>
                <w:i w:val="false"/>
                <w:iCs w:val="false"/>
                <w:strike w:val="false"/>
                <w:color w:val="000000"/>
                <w:sz w:val="20"/>
                <w:szCs w:val="20"/>
              </w:rPr>
              <w:t xml:space="preserve">Multilingual Regeneration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NCL</w:t>
            </w:r>
          </w:p>
        </w:tc>
        <w:tc>
          <w:tcPr>
            <w:tcW w:type="pct" w:w="71%"/>
          </w:tcPr>
          <w:p>
            <w:r>
              <w:rPr>
                <w:rFonts w:ascii="Calibri" w:cs="Calibri" w:eastAsia="Calibri" w:hAnsi="Calibri"/>
                <w:b w:val="false"/>
                <w:bCs w:val="false"/>
                <w:i w:val="false"/>
                <w:iCs w:val="false"/>
                <w:strike w:val="false"/>
                <w:color w:val="000000"/>
                <w:sz w:val="20"/>
                <w:szCs w:val="20"/>
              </w:rPr>
              <w:t xml:space="preserve">Neuromorphic Cognitive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NER</w:t>
            </w:r>
          </w:p>
        </w:tc>
        <w:tc>
          <w:tcPr>
            <w:tcW w:type="pct" w:w="71%"/>
          </w:tcPr>
          <w:p>
            <w:r>
              <w:rPr>
                <w:rFonts w:ascii="Calibri" w:cs="Calibri" w:eastAsia="Calibri" w:hAnsi="Calibri"/>
                <w:b w:val="false"/>
                <w:bCs w:val="false"/>
                <w:i w:val="false"/>
                <w:iCs w:val="false"/>
                <w:strike w:val="false"/>
                <w:color w:val="000000"/>
                <w:sz w:val="20"/>
                <w:szCs w:val="20"/>
              </w:rPr>
              <w:t xml:space="preserve">Named Entity Recognition</w:t>
            </w:r>
          </w:p>
        </w:tc>
        <w:tc>
          <w:tcPr>
            <w:tcW w:type="pct" w:w="17%"/>
          </w:tcPr>
          <w:p>
            <w:r>
              <w:rPr>
                <w:rFonts w:ascii="Calibri" w:cs="Calibri" w:eastAsia="Calibri" w:hAnsi="Calibri"/>
                <w:b w:val="false"/>
                <w:bCs w:val="false"/>
                <w:i w:val="false"/>
                <w:iCs w:val="false"/>
                <w:strike w:val="false"/>
                <w:color w:val="000000"/>
                <w:sz w:val="20"/>
                <w:szCs w:val="20"/>
              </w:rPr>
              <w:t xml:space="preserve">Chapter 4.5.1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NG</w:t>
            </w:r>
          </w:p>
        </w:tc>
        <w:tc>
          <w:tcPr>
            <w:tcW w:type="pct" w:w="71%"/>
          </w:tcPr>
          <w:p>
            <w:r>
              <w:rPr>
                <w:rFonts w:ascii="Calibri" w:cs="Calibri" w:eastAsia="Calibri" w:hAnsi="Calibri"/>
                <w:b w:val="false"/>
                <w:bCs w:val="false"/>
                <w:i w:val="false"/>
                <w:iCs w:val="false"/>
                <w:strike w:val="false"/>
                <w:color w:val="000000"/>
                <w:sz w:val="20"/>
                <w:szCs w:val="20"/>
              </w:rPr>
              <w:t xml:space="preserve">Narrative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NLP</w:t>
            </w:r>
          </w:p>
        </w:tc>
        <w:tc>
          <w:tcPr>
            <w:tcW w:type="pct" w:w="71%"/>
          </w:tcPr>
          <w:p>
            <w:r>
              <w:rPr>
                <w:rFonts w:ascii="Calibri" w:cs="Calibri" w:eastAsia="Calibri" w:hAnsi="Calibri"/>
                <w:b w:val="false"/>
                <w:bCs w:val="false"/>
                <w:i w:val="false"/>
                <w:iCs w:val="false"/>
                <w:strike w:val="false"/>
                <w:color w:val="000000"/>
                <w:sz w:val="20"/>
                <w:szCs w:val="20"/>
              </w:rPr>
              <w:t xml:space="preserve">Natural Language Processing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NOTEARS</w:t>
            </w:r>
          </w:p>
        </w:tc>
        <w:tc>
          <w:tcPr>
            <w:tcW w:type="pct" w:w="71%"/>
          </w:tcPr>
          <w:p>
            <w:r>
              <w:rPr>
                <w:rFonts w:ascii="Calibri" w:cs="Calibri" w:eastAsia="Calibri" w:hAnsi="Calibri"/>
                <w:b w:val="false"/>
                <w:bCs w:val="false"/>
                <w:i w:val="false"/>
                <w:iCs w:val="false"/>
                <w:strike w:val="false"/>
                <w:color w:val="000000"/>
                <w:sz w:val="20"/>
                <w:szCs w:val="20"/>
              </w:rPr>
              <w:t xml:space="preserve">Non-combinatorial Optimization via Trace Exponential and Augmented lagRangian for Structure learning</w:t>
            </w:r>
          </w:p>
        </w:tc>
        <w:tc>
          <w:tcPr>
            <w:tcW w:type="pct" w:w="17%"/>
          </w:tcPr>
          <w:p>
            <w:r>
              <w:rPr>
                <w:rFonts w:ascii="Calibri" w:cs="Calibri" w:eastAsia="Calibri" w:hAnsi="Calibri"/>
                <w:b w:val="false"/>
                <w:bCs w:val="false"/>
                <w:i w:val="false"/>
                <w:iCs w:val="false"/>
                <w:strike w:val="false"/>
                <w:color w:val="000000"/>
                <w:sz w:val="20"/>
                <w:szCs w:val="20"/>
              </w:rPr>
              <w:t xml:space="preserve">Chapter 15.4.2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OWA</w:t>
            </w:r>
          </w:p>
        </w:tc>
        <w:tc>
          <w:tcPr>
            <w:tcW w:type="pct" w:w="71%"/>
          </w:tcPr>
          <w:p>
            <w:r>
              <w:rPr>
                <w:rFonts w:ascii="Calibri" w:cs="Calibri" w:eastAsia="Calibri" w:hAnsi="Calibri"/>
                <w:b w:val="false"/>
                <w:bCs w:val="false"/>
                <w:i w:val="false"/>
                <w:iCs w:val="false"/>
                <w:strike w:val="false"/>
                <w:color w:val="000000"/>
                <w:sz w:val="20"/>
                <w:szCs w:val="20"/>
              </w:rPr>
              <w:t xml:space="preserve">Open World Assumption</w:t>
            </w:r>
          </w:p>
        </w:tc>
        <w:tc>
          <w:tcPr>
            <w:tcW w:type="pct" w:w="17%"/>
          </w:tcPr>
          <w:p>
            <w:r>
              <w:rPr>
                <w:rFonts w:ascii="Calibri" w:cs="Calibri" w:eastAsia="Calibri" w:hAnsi="Calibri"/>
                <w:b w:val="false"/>
                <w:bCs w:val="false"/>
                <w:i w:val="false"/>
                <w:iCs w:val="false"/>
                <w:strike w:val="false"/>
                <w:color w:val="000000"/>
                <w:sz w:val="20"/>
                <w:szCs w:val="20"/>
              </w:rPr>
              <w:t xml:space="preserve">Chapter 6.1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PIE</w:t>
            </w:r>
          </w:p>
        </w:tc>
        <w:tc>
          <w:tcPr>
            <w:tcW w:type="pct" w:w="71%"/>
          </w:tcPr>
          <w:p>
            <w:r>
              <w:rPr>
                <w:rFonts w:ascii="Calibri" w:cs="Calibri" w:eastAsia="Calibri" w:hAnsi="Calibri"/>
                <w:b w:val="false"/>
                <w:bCs w:val="false"/>
                <w:i w:val="false"/>
                <w:iCs w:val="false"/>
                <w:strike w:val="false"/>
                <w:color w:val="000000"/>
                <w:sz w:val="20"/>
                <w:szCs w:val="20"/>
              </w:rPr>
              <w:t xml:space="preserve">Predictive Inference Engine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PITR</w:t>
            </w:r>
          </w:p>
        </w:tc>
        <w:tc>
          <w:tcPr>
            <w:tcW w:type="pct" w:w="71%"/>
          </w:tcPr>
          <w:p>
            <w:r>
              <w:rPr>
                <w:rFonts w:ascii="Calibri" w:cs="Calibri" w:eastAsia="Calibri" w:hAnsi="Calibri"/>
                <w:b w:val="false"/>
                <w:bCs w:val="false"/>
                <w:i w:val="false"/>
                <w:iCs w:val="false"/>
                <w:strike w:val="false"/>
                <w:color w:val="000000"/>
                <w:sz w:val="20"/>
                <w:szCs w:val="20"/>
              </w:rPr>
              <w:t xml:space="preserve">Point-in-Time Recovery</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PII</w:t>
            </w:r>
          </w:p>
        </w:tc>
        <w:tc>
          <w:tcPr>
            <w:tcW w:type="pct" w:w="71%"/>
          </w:tcPr>
          <w:p>
            <w:r>
              <w:rPr>
                <w:rFonts w:ascii="Calibri" w:cs="Calibri" w:eastAsia="Calibri" w:hAnsi="Calibri"/>
                <w:b w:val="false"/>
                <w:bCs w:val="false"/>
                <w:i w:val="false"/>
                <w:iCs w:val="false"/>
                <w:strike w:val="false"/>
                <w:color w:val="000000"/>
                <w:sz w:val="20"/>
                <w:szCs w:val="20"/>
              </w:rPr>
              <w:t xml:space="preserve">Personally Identifiable Information</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PL</w:t>
            </w:r>
          </w:p>
        </w:tc>
        <w:tc>
          <w:tcPr>
            <w:tcW w:type="pct" w:w="71%"/>
          </w:tcPr>
          <w:p>
            <w:r>
              <w:rPr>
                <w:rFonts w:ascii="Calibri" w:cs="Calibri" w:eastAsia="Calibri" w:hAnsi="Calibri"/>
                <w:b w:val="false"/>
                <w:bCs w:val="false"/>
                <w:i w:val="false"/>
                <w:iCs w:val="false"/>
                <w:strike w:val="false"/>
                <w:color w:val="000000"/>
                <w:sz w:val="20"/>
                <w:szCs w:val="20"/>
              </w:rPr>
              <w:t xml:space="preserve">Provenance Ledger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w:t>
            </w:r>
          </w:p>
        </w:tc>
        <w:tc>
          <w:tcPr>
            <w:tcW w:type="pct" w:w="71%"/>
          </w:tcPr>
          <w:p>
            <w:r>
              <w:rPr>
                <w:rFonts w:ascii="Calibri" w:cs="Calibri" w:eastAsia="Calibri" w:hAnsi="Calibri"/>
                <w:b w:val="false"/>
                <w:bCs w:val="false"/>
                <w:i w:val="false"/>
                <w:iCs w:val="false"/>
                <w:strike w:val="false"/>
                <w:color w:val="000000"/>
                <w:sz w:val="20"/>
                <w:szCs w:val="20"/>
              </w:rPr>
              <w:t xml:space="preserve">QueryBook</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QB-ER</w:t>
            </w:r>
          </w:p>
        </w:tc>
        <w:tc>
          <w:tcPr>
            <w:tcW w:type="pct" w:w="71%"/>
          </w:tcPr>
          <w:p>
            <w:r>
              <w:rPr>
                <w:rFonts w:ascii="Calibri" w:cs="Calibri" w:eastAsia="Calibri" w:hAnsi="Calibri"/>
                <w:b w:val="false"/>
                <w:bCs w:val="false"/>
                <w:i w:val="false"/>
                <w:iCs w:val="false"/>
                <w:strike w:val="false"/>
                <w:color w:val="000000"/>
                <w:sz w:val="20"/>
                <w:szCs w:val="20"/>
              </w:rPr>
              <w:t xml:space="preserve">QueryBook Entity Registry</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QBF</w:t>
            </w:r>
          </w:p>
        </w:tc>
        <w:tc>
          <w:tcPr>
            <w:tcW w:type="pct" w:w="71%"/>
          </w:tcPr>
          <w:p>
            <w:r>
              <w:rPr>
                <w:rFonts w:ascii="Calibri" w:cs="Calibri" w:eastAsia="Calibri" w:hAnsi="Calibri"/>
                <w:b w:val="false"/>
                <w:bCs w:val="false"/>
                <w:i w:val="false"/>
                <w:iCs w:val="false"/>
                <w:strike w:val="false"/>
                <w:color w:val="000000"/>
                <w:sz w:val="20"/>
                <w:szCs w:val="20"/>
              </w:rPr>
              <w:t xml:space="preserve">QueryBook Format</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RAG</w:t>
            </w:r>
          </w:p>
        </w:tc>
        <w:tc>
          <w:tcPr>
            <w:tcW w:type="pct" w:w="71%"/>
          </w:tcPr>
          <w:p>
            <w:r>
              <w:rPr>
                <w:rFonts w:ascii="Calibri" w:cs="Calibri" w:eastAsia="Calibri" w:hAnsi="Calibri"/>
                <w:b w:val="false"/>
                <w:bCs w:val="false"/>
                <w:i w:val="false"/>
                <w:iCs w:val="false"/>
                <w:strike w:val="false"/>
                <w:color w:val="000000"/>
                <w:sz w:val="20"/>
                <w:szCs w:val="20"/>
              </w:rPr>
              <w:t xml:space="preserve">Retrieval-Augmented Generation</w:t>
            </w:r>
          </w:p>
        </w:tc>
        <w:tc>
          <w:tcPr>
            <w:tcW w:type="pct" w:w="17%"/>
          </w:tcPr>
          <w:p>
            <w:r>
              <w:rPr>
                <w:rFonts w:ascii="Calibri" w:cs="Calibri" w:eastAsia="Calibri" w:hAnsi="Calibri"/>
                <w:b w:val="false"/>
                <w:bCs w:val="false"/>
                <w:i w:val="false"/>
                <w:iCs w:val="false"/>
                <w:strike w:val="false"/>
                <w:color w:val="000000"/>
                <w:sz w:val="20"/>
                <w:szCs w:val="20"/>
              </w:rPr>
              <w:t xml:space="preserve">Chapter 1.1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RBAC</w:t>
            </w:r>
          </w:p>
        </w:tc>
        <w:tc>
          <w:tcPr>
            <w:tcW w:type="pct" w:w="71%"/>
          </w:tcPr>
          <w:p>
            <w:r>
              <w:rPr>
                <w:rFonts w:ascii="Calibri" w:cs="Calibri" w:eastAsia="Calibri" w:hAnsi="Calibri"/>
                <w:b w:val="false"/>
                <w:bCs w:val="false"/>
                <w:i w:val="false"/>
                <w:iCs w:val="false"/>
                <w:strike w:val="false"/>
                <w:color w:val="000000"/>
                <w:sz w:val="20"/>
                <w:szCs w:val="20"/>
              </w:rPr>
              <w:t xml:space="preserve">Role-Based Access Control</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RPO</w:t>
            </w:r>
          </w:p>
        </w:tc>
        <w:tc>
          <w:tcPr>
            <w:tcW w:type="pct" w:w="71%"/>
          </w:tcPr>
          <w:p>
            <w:r>
              <w:rPr>
                <w:rFonts w:ascii="Calibri" w:cs="Calibri" w:eastAsia="Calibri" w:hAnsi="Calibri"/>
                <w:b w:val="false"/>
                <w:bCs w:val="false"/>
                <w:i w:val="false"/>
                <w:iCs w:val="false"/>
                <w:strike w:val="false"/>
                <w:color w:val="000000"/>
                <w:sz w:val="20"/>
                <w:szCs w:val="20"/>
              </w:rPr>
              <w:t xml:space="preserve">Recovery Point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RTO</w:t>
            </w:r>
          </w:p>
        </w:tc>
        <w:tc>
          <w:tcPr>
            <w:tcW w:type="pct" w:w="71%"/>
          </w:tcPr>
          <w:p>
            <w:r>
              <w:rPr>
                <w:rFonts w:ascii="Calibri" w:cs="Calibri" w:eastAsia="Calibri" w:hAnsi="Calibri"/>
                <w:b w:val="false"/>
                <w:bCs w:val="false"/>
                <w:i w:val="false"/>
                <w:iCs w:val="false"/>
                <w:strike w:val="false"/>
                <w:color w:val="000000"/>
                <w:sz w:val="20"/>
                <w:szCs w:val="20"/>
              </w:rPr>
              <w:t xml:space="preserve">Recovery Time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SCP</w:t>
            </w:r>
          </w:p>
        </w:tc>
        <w:tc>
          <w:tcPr>
            <w:tcW w:type="pct" w:w="71%"/>
          </w:tcPr>
          <w:p>
            <w:r>
              <w:rPr>
                <w:rFonts w:ascii="Calibri" w:cs="Calibri" w:eastAsia="Calibri" w:hAnsi="Calibri"/>
                <w:b w:val="false"/>
                <w:bCs w:val="false"/>
                <w:i w:val="false"/>
                <w:iCs w:val="false"/>
                <w:strike w:val="false"/>
                <w:color w:val="000000"/>
                <w:sz w:val="20"/>
                <w:szCs w:val="20"/>
              </w:rPr>
              <w:t xml:space="preserve">Schema Change Proposal</w:t>
            </w:r>
          </w:p>
        </w:tc>
        <w:tc>
          <w:tcPr>
            <w:tcW w:type="pct" w:w="17%"/>
          </w:tcPr>
          <w:p>
            <w:r>
              <w:rPr>
                <w:rFonts w:ascii="Calibri" w:cs="Calibri" w:eastAsia="Calibri" w:hAnsi="Calibri"/>
                <w:b w:val="false"/>
                <w:bCs w:val="false"/>
                <w:i w:val="false"/>
                <w:iCs w:val="false"/>
                <w:strike w:val="false"/>
                <w:color w:val="000000"/>
                <w:sz w:val="20"/>
                <w:szCs w:val="20"/>
              </w:rPr>
              <w:t xml:space="preserve">Chapter 6.4</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SDE</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Encoder</w:t>
            </w:r>
          </w:p>
        </w:tc>
        <w:tc>
          <w:tcPr>
            <w:tcW w:type="pct" w:w="17%"/>
          </w:tcPr>
          <w:p>
            <w:r>
              <w:rPr>
                <w:rFonts w:ascii="Calibri" w:cs="Calibri" w:eastAsia="Calibri" w:hAnsi="Calibri"/>
                <w:b w:val="false"/>
                <w:bCs w:val="false"/>
                <w:i w:val="false"/>
                <w:iCs w:val="false"/>
                <w:strike w:val="false"/>
                <w:color w:val="000000"/>
                <w:sz w:val="20"/>
                <w:szCs w:val="20"/>
              </w:rPr>
              <w:t xml:space="preserve">Chapter 7.2.1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SDR</w:t>
            </w:r>
          </w:p>
        </w:tc>
        <w:tc>
          <w:tcPr>
            <w:tcW w:type="pct" w:w="71%"/>
          </w:tcPr>
          <w:p>
            <w:r>
              <w:rPr>
                <w:rFonts w:ascii="Calibri" w:cs="Calibri" w:eastAsia="Calibri" w:hAnsi="Calibri"/>
                <w:b w:val="false"/>
                <w:bCs w:val="false"/>
                <w:i w:val="false"/>
                <w:iCs w:val="false"/>
                <w:strike w:val="false"/>
                <w:color w:val="000000"/>
                <w:sz w:val="20"/>
                <w:szCs w:val="20"/>
              </w:rPr>
              <w:t xml:space="preserve">Sparse Distributed Representation</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SG</w:t>
            </w:r>
          </w:p>
        </w:tc>
        <w:tc>
          <w:tcPr>
            <w:tcW w:type="pct" w:w="71%"/>
          </w:tcPr>
          <w:p>
            <w:r>
              <w:rPr>
                <w:rFonts w:ascii="Calibri" w:cs="Calibri" w:eastAsia="Calibri" w:hAnsi="Calibri"/>
                <w:b w:val="false"/>
                <w:bCs w:val="false"/>
                <w:i w:val="false"/>
                <w:iCs w:val="false"/>
                <w:strike w:val="false"/>
                <w:color w:val="000000"/>
                <w:sz w:val="20"/>
                <w:szCs w:val="20"/>
              </w:rPr>
              <w:t xml:space="preserve">Scenario Graph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SH</w:t>
            </w:r>
          </w:p>
        </w:tc>
        <w:tc>
          <w:tcPr>
            <w:tcW w:type="pct" w:w="71%"/>
          </w:tcPr>
          <w:p>
            <w:r>
              <w:rPr>
                <w:rFonts w:ascii="Calibri" w:cs="Calibri" w:eastAsia="Calibri" w:hAnsi="Calibri"/>
                <w:b w:val="false"/>
                <w:bCs w:val="false"/>
                <w:i w:val="false"/>
                <w:iCs w:val="false"/>
                <w:strike w:val="false"/>
                <w:color w:val="000000"/>
                <w:sz w:val="20"/>
                <w:szCs w:val="20"/>
              </w:rPr>
              <w:t xml:space="preserve">Semantic Hash</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SLA</w:t>
            </w:r>
          </w:p>
        </w:tc>
        <w:tc>
          <w:tcPr>
            <w:tcW w:type="pct" w:w="71%"/>
          </w:tcPr>
          <w:p>
            <w:r>
              <w:rPr>
                <w:rFonts w:ascii="Calibri" w:cs="Calibri" w:eastAsia="Calibri" w:hAnsi="Calibri"/>
                <w:b w:val="false"/>
                <w:bCs w:val="false"/>
                <w:i w:val="false"/>
                <w:iCs w:val="false"/>
                <w:strike w:val="false"/>
                <w:color w:val="000000"/>
                <w:sz w:val="20"/>
                <w:szCs w:val="20"/>
              </w:rPr>
              <w:t xml:space="preserve">Service Level Agreement</w:t>
            </w:r>
          </w:p>
        </w:tc>
        <w:tc>
          <w:tcPr>
            <w:tcW w:type="pct" w:w="17%"/>
          </w:tcPr>
          <w:p>
            <w:r>
              <w:rPr>
                <w:rFonts w:ascii="Calibri" w:cs="Calibri" w:eastAsia="Calibri" w:hAnsi="Calibri"/>
                <w:b w:val="false"/>
                <w:bCs w:val="false"/>
                <w:i w:val="false"/>
                <w:iCs w:val="false"/>
                <w:strike w:val="false"/>
                <w:color w:val="000000"/>
                <w:sz w:val="20"/>
                <w:szCs w:val="20"/>
              </w:rPr>
              <w:t xml:space="preserve">Chapter 4.4.5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SLO</w:t>
            </w:r>
          </w:p>
        </w:tc>
        <w:tc>
          <w:tcPr>
            <w:tcW w:type="pct" w:w="71%"/>
          </w:tcPr>
          <w:p>
            <w:r>
              <w:rPr>
                <w:rFonts w:ascii="Calibri" w:cs="Calibri" w:eastAsia="Calibri" w:hAnsi="Calibri"/>
                <w:b w:val="false"/>
                <w:bCs w:val="false"/>
                <w:i w:val="false"/>
                <w:iCs w:val="false"/>
                <w:strike w:val="false"/>
                <w:color w:val="000000"/>
                <w:sz w:val="20"/>
                <w:szCs w:val="20"/>
              </w:rPr>
              <w:t xml:space="preserve">Service Level Objective</w:t>
            </w:r>
          </w:p>
        </w:tc>
        <w:tc>
          <w:tcPr>
            <w:tcW w:type="pct" w:w="17%"/>
          </w:tcPr>
          <w:p>
            <w:r>
              <w:rPr>
                <w:rFonts w:ascii="Calibri" w:cs="Calibri" w:eastAsia="Calibri" w:hAnsi="Calibri"/>
                <w:b w:val="false"/>
                <w:bCs w:val="false"/>
                <w:i w:val="false"/>
                <w:iCs w:val="false"/>
                <w:strike w:val="false"/>
                <w:color w:val="000000"/>
                <w:sz w:val="20"/>
                <w:szCs w:val="20"/>
              </w:rPr>
              <w:t xml:space="preserve">Chapter 19.3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SRL</w:t>
            </w:r>
          </w:p>
        </w:tc>
        <w:tc>
          <w:tcPr>
            <w:tcW w:type="pct" w:w="71%"/>
          </w:tcPr>
          <w:p>
            <w:r>
              <w:rPr>
                <w:rFonts w:ascii="Calibri" w:cs="Calibri" w:eastAsia="Calibri" w:hAnsi="Calibri"/>
                <w:b w:val="false"/>
                <w:bCs w:val="false"/>
                <w:i w:val="false"/>
                <w:iCs w:val="false"/>
                <w:strike w:val="false"/>
                <w:color w:val="000000"/>
                <w:sz w:val="20"/>
                <w:szCs w:val="20"/>
              </w:rPr>
              <w:t xml:space="preserve">Semantic Role Labeling</w:t>
            </w:r>
          </w:p>
        </w:tc>
        <w:tc>
          <w:tcPr>
            <w:tcW w:type="pct" w:w="17%"/>
          </w:tcPr>
          <w:p>
            <w:r>
              <w:rPr>
                <w:rFonts w:ascii="Calibri" w:cs="Calibri" w:eastAsia="Calibri" w:hAnsi="Calibri"/>
                <w:b w:val="false"/>
                <w:bCs w:val="false"/>
                <w:i w:val="false"/>
                <w:iCs w:val="false"/>
                <w:strike w:val="false"/>
                <w:color w:val="000000"/>
                <w:sz w:val="20"/>
                <w:szCs w:val="20"/>
              </w:rPr>
              <w:t xml:space="preserve">Chapter 4.3.1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SS</w:t>
            </w:r>
          </w:p>
        </w:tc>
        <w:tc>
          <w:tcPr>
            <w:tcW w:type="pct" w:w="71%"/>
          </w:tcPr>
          <w:p>
            <w:r>
              <w:rPr>
                <w:rFonts w:ascii="Calibri" w:cs="Calibri" w:eastAsia="Calibri" w:hAnsi="Calibri"/>
                <w:b w:val="false"/>
                <w:bCs w:val="false"/>
                <w:i w:val="false"/>
                <w:iCs w:val="false"/>
                <w:strike w:val="false"/>
                <w:color w:val="000000"/>
                <w:sz w:val="20"/>
                <w:szCs w:val="20"/>
              </w:rPr>
              <w:t xml:space="preserve">Safety Substrate</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STDP</w:t>
            </w:r>
          </w:p>
        </w:tc>
        <w:tc>
          <w:tcPr>
            <w:tcW w:type="pct" w:w="71%"/>
          </w:tcPr>
          <w:p>
            <w:r>
              <w:rPr>
                <w:rFonts w:ascii="Calibri" w:cs="Calibri" w:eastAsia="Calibri" w:hAnsi="Calibri"/>
                <w:b w:val="false"/>
                <w:bCs w:val="false"/>
                <w:i w:val="false"/>
                <w:iCs w:val="false"/>
                <w:strike w:val="false"/>
                <w:color w:val="000000"/>
                <w:sz w:val="20"/>
                <w:szCs w:val="20"/>
              </w:rPr>
              <w:t xml:space="preserve">Spike-Timing-Dependent Plasticity</w:t>
            </w:r>
          </w:p>
        </w:tc>
        <w:tc>
          <w:tcPr>
            <w:tcW w:type="pct" w:w="17%"/>
          </w:tcPr>
          <w:p>
            <w:r>
              <w:rPr>
                <w:rFonts w:ascii="Calibri" w:cs="Calibri" w:eastAsia="Calibri" w:hAnsi="Calibri"/>
                <w:b w:val="false"/>
                <w:bCs w:val="false"/>
                <w:i w:val="false"/>
                <w:iCs w:val="false"/>
                <w:strike w:val="false"/>
                <w:color w:val="000000"/>
                <w:sz w:val="20"/>
                <w:szCs w:val="20"/>
              </w:rPr>
              <w:t xml:space="preserve">Chapter 7.1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STL</w:t>
            </w:r>
          </w:p>
        </w:tc>
        <w:tc>
          <w:tcPr>
            <w:tcW w:type="pct" w:w="71%"/>
          </w:tcPr>
          <w:p>
            <w:r>
              <w:rPr>
                <w:rFonts w:ascii="Calibri" w:cs="Calibri" w:eastAsia="Calibri" w:hAnsi="Calibri"/>
                <w:b w:val="false"/>
                <w:bCs w:val="false"/>
                <w:i w:val="false"/>
                <w:iCs w:val="false"/>
                <w:strike w:val="false"/>
                <w:color w:val="000000"/>
                <w:sz w:val="20"/>
                <w:szCs w:val="20"/>
              </w:rPr>
              <w:t xml:space="preserve">Semantic Transport Layer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SWS</w:t>
            </w:r>
          </w:p>
        </w:tc>
        <w:tc>
          <w:tcPr>
            <w:tcW w:type="pct" w:w="71%"/>
          </w:tcPr>
          <w:p>
            <w:r>
              <w:rPr>
                <w:rFonts w:ascii="Calibri" w:cs="Calibri" w:eastAsia="Calibri" w:hAnsi="Calibri"/>
                <w:b w:val="false"/>
                <w:bCs w:val="false"/>
                <w:i w:val="false"/>
                <w:iCs w:val="false"/>
                <w:strike w:val="false"/>
                <w:color w:val="000000"/>
                <w:sz w:val="20"/>
                <w:szCs w:val="20"/>
              </w:rPr>
              <w:t xml:space="preserve">Synaptic Weight Store</w:t>
            </w:r>
          </w:p>
        </w:tc>
        <w:tc>
          <w:tcPr>
            <w:tcW w:type="pct" w:w="17%"/>
          </w:tcPr>
          <w:p>
            <w:r>
              <w:rPr>
                <w:rFonts w:ascii="Calibri" w:cs="Calibri" w:eastAsia="Calibri" w:hAnsi="Calibri"/>
                <w:b w:val="false"/>
                <w:bCs w:val="false"/>
                <w:i w:val="false"/>
                <w:iCs w:val="false"/>
                <w:strike w:val="false"/>
                <w:color w:val="000000"/>
                <w:sz w:val="20"/>
                <w:szCs w:val="20"/>
              </w:rPr>
              <w:t xml:space="preserve">Chapter 7.2.5</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TA</w:t>
            </w:r>
          </w:p>
        </w:tc>
        <w:tc>
          <w:tcPr>
            <w:tcW w:type="pct" w:w="71%"/>
          </w:tcPr>
          <w:p>
            <w:r>
              <w:rPr>
                <w:rFonts w:ascii="Calibri" w:cs="Calibri" w:eastAsia="Calibri" w:hAnsi="Calibri"/>
                <w:b w:val="false"/>
                <w:bCs w:val="false"/>
                <w:i w:val="false"/>
                <w:iCs w:val="false"/>
                <w:strike w:val="false"/>
                <w:color w:val="000000"/>
                <w:sz w:val="20"/>
                <w:szCs w:val="20"/>
              </w:rPr>
              <w:t xml:space="preserve">Temporal Anchor</w:t>
            </w:r>
          </w:p>
        </w:tc>
        <w:tc>
          <w:tcPr>
            <w:tcW w:type="pct" w:w="17%"/>
          </w:tcPr>
          <w:p>
            <w:r>
              <w:rPr>
                <w:rFonts w:ascii="Calibri" w:cs="Calibri" w:eastAsia="Calibri" w:hAnsi="Calibri"/>
                <w:b w:val="false"/>
                <w:bCs w:val="false"/>
                <w:i w:val="false"/>
                <w:iCs w:val="false"/>
                <w:strike w:val="false"/>
                <w:color w:val="000000"/>
                <w:sz w:val="20"/>
                <w:szCs w:val="20"/>
              </w:rPr>
              <w:t xml:space="preserve">Chapter 2.1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TMM</w:t>
            </w:r>
          </w:p>
        </w:tc>
        <w:tc>
          <w:tcPr>
            <w:tcW w:type="pct" w:w="71%"/>
          </w:tcPr>
          <w:p>
            <w:r>
              <w:rPr>
                <w:rFonts w:ascii="Calibri" w:cs="Calibri" w:eastAsia="Calibri" w:hAnsi="Calibri"/>
                <w:b w:val="false"/>
                <w:bCs w:val="false"/>
                <w:i w:val="false"/>
                <w:iCs w:val="false"/>
                <w:strike w:val="false"/>
                <w:color w:val="000000"/>
                <w:sz w:val="20"/>
                <w:szCs w:val="20"/>
              </w:rPr>
              <w:t xml:space="preserve">Temporal Memory Module</w:t>
            </w:r>
          </w:p>
        </w:tc>
        <w:tc>
          <w:tcPr>
            <w:tcW w:type="pct" w:w="17%"/>
          </w:tcPr>
          <w:p>
            <w:r>
              <w:rPr>
                <w:rFonts w:ascii="Calibri" w:cs="Calibri" w:eastAsia="Calibri" w:hAnsi="Calibri"/>
                <w:b w:val="false"/>
                <w:bCs w:val="false"/>
                <w:i w:val="false"/>
                <w:iCs w:val="false"/>
                <w:strike w:val="false"/>
                <w:color w:val="000000"/>
                <w:sz w:val="20"/>
                <w:szCs w:val="20"/>
              </w:rPr>
              <w:t xml:space="preserve">Chapter 7.2.2</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TTL</w:t>
            </w:r>
          </w:p>
        </w:tc>
        <w:tc>
          <w:tcPr>
            <w:tcW w:type="pct" w:w="71%"/>
          </w:tcPr>
          <w:p>
            <w:r>
              <w:rPr>
                <w:rFonts w:ascii="Calibri" w:cs="Calibri" w:eastAsia="Calibri" w:hAnsi="Calibri"/>
                <w:b w:val="false"/>
                <w:bCs w:val="false"/>
                <w:i w:val="false"/>
                <w:iCs w:val="false"/>
                <w:strike w:val="false"/>
                <w:color w:val="000000"/>
                <w:sz w:val="20"/>
                <w:szCs w:val="20"/>
              </w:rPr>
              <w:t xml:space="preserve">Time-to-Live</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UUID</w:t>
            </w:r>
          </w:p>
        </w:tc>
        <w:tc>
          <w:tcPr>
            <w:tcW w:type="pct" w:w="71%"/>
          </w:tcPr>
          <w:p>
            <w:r>
              <w:rPr>
                <w:rFonts w:ascii="Calibri" w:cs="Calibri" w:eastAsia="Calibri" w:hAnsi="Calibri"/>
                <w:b w:val="false"/>
                <w:bCs w:val="false"/>
                <w:i w:val="false"/>
                <w:iCs w:val="false"/>
                <w:strike w:val="false"/>
                <w:color w:val="000000"/>
                <w:sz w:val="20"/>
                <w:szCs w:val="20"/>
              </w:rPr>
              <w:t xml:space="preserve">Universally Unique Identifier</w:t>
            </w:r>
          </w:p>
        </w:tc>
        <w:tc>
          <w:tcPr>
            <w:tcW w:type="pct" w:w="17%"/>
          </w:tcPr>
          <w:p>
            <w:r>
              <w:rPr>
                <w:rFonts w:ascii="Calibri" w:cs="Calibri" w:eastAsia="Calibri" w:hAnsi="Calibri"/>
                <w:b w:val="false"/>
                <w:bCs w:val="false"/>
                <w:i w:val="false"/>
                <w:iCs w:val="false"/>
                <w:strike w:val="false"/>
                <w:color w:val="000000"/>
                <w:sz w:val="20"/>
                <w:szCs w:val="20"/>
              </w:rPr>
              <w:t xml:space="preserve">Chapter 3.1</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VLM</w:t>
            </w:r>
          </w:p>
        </w:tc>
        <w:tc>
          <w:tcPr>
            <w:tcW w:type="pct" w:w="71%"/>
          </w:tcPr>
          <w:p>
            <w:r>
              <w:rPr>
                <w:rFonts w:ascii="Calibri" w:cs="Calibri" w:eastAsia="Calibri" w:hAnsi="Calibri"/>
                <w:b w:val="false"/>
                <w:bCs w:val="false"/>
                <w:i w:val="false"/>
                <w:iCs w:val="false"/>
                <w:strike w:val="false"/>
                <w:color w:val="000000"/>
                <w:sz w:val="20"/>
                <w:szCs w:val="20"/>
              </w:rPr>
              <w:t xml:space="preserve">Vision-Language Model</w:t>
            </w:r>
          </w:p>
        </w:tc>
        <w:tc>
          <w:tcPr>
            <w:tcW w:type="pct" w:w="17%"/>
          </w:tcPr>
          <w:p>
            <w:r>
              <w:rPr>
                <w:rFonts w:ascii="Calibri" w:cs="Calibri" w:eastAsia="Calibri" w:hAnsi="Calibri"/>
                <w:b w:val="false"/>
                <w:bCs w:val="false"/>
                <w:i w:val="false"/>
                <w:iCs w:val="false"/>
                <w:strike w:val="false"/>
                <w:color w:val="000000"/>
                <w:sz w:val="20"/>
                <w:szCs w:val="20"/>
              </w:rPr>
              <w:t xml:space="preserve">Chapter 4.3.3</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WAL</w:t>
            </w:r>
          </w:p>
        </w:tc>
        <w:tc>
          <w:tcPr>
            <w:tcW w:type="pct" w:w="71%"/>
          </w:tcPr>
          <w:p>
            <w:r>
              <w:rPr>
                <w:rFonts w:ascii="Calibri" w:cs="Calibri" w:eastAsia="Calibri" w:hAnsi="Calibri"/>
                <w:b w:val="false"/>
                <w:bCs w:val="false"/>
                <w:i w:val="false"/>
                <w:iCs w:val="false"/>
                <w:strike w:val="false"/>
                <w:color w:val="000000"/>
                <w:sz w:val="20"/>
                <w:szCs w:val="20"/>
              </w:rPr>
              <w:t xml:space="preserve">Write-Ahead Log</w:t>
            </w:r>
          </w:p>
        </w:tc>
        <w:tc>
          <w:tcPr>
            <w:tcW w:type="pct" w:w="17%"/>
          </w:tcPr>
          <w:p>
            <w:r>
              <w:rPr>
                <w:rFonts w:ascii="Calibri" w:cs="Calibri" w:eastAsia="Calibri" w:hAnsi="Calibri"/>
                <w:b w:val="false"/>
                <w:bCs w:val="false"/>
                <w:i w:val="false"/>
                <w:iCs w:val="false"/>
                <w:strike w:val="false"/>
                <w:color w:val="000000"/>
                <w:sz w:val="20"/>
                <w:szCs w:val="20"/>
              </w:rPr>
              <w:t xml:space="preserve">Chapter 14.6</w:t>
            </w:r>
          </w:p>
        </w:tc>
      </w:tr>
      <w:tr>
        <w:trPr>
          <w:tblHeader w:val="false"/>
        </w:trPr>
        <w:tc>
          <w:tcPr>
            <w:tcW w:type="pct" w:w="12%"/>
          </w:tcPr>
          <w:p>
            <w:r>
              <w:rPr>
                <w:rFonts w:ascii="Calibri" w:cs="Calibri" w:eastAsia="Calibri" w:hAnsi="Calibri"/>
                <w:b w:val="false"/>
                <w:bCs w:val="false"/>
                <w:i w:val="false"/>
                <w:iCs w:val="false"/>
                <w:strike w:val="false"/>
                <w:color w:val="000000"/>
                <w:sz w:val="20"/>
                <w:szCs w:val="20"/>
              </w:rPr>
              <w:t xml:space="preserve">WORM</w:t>
            </w:r>
          </w:p>
        </w:tc>
        <w:tc>
          <w:tcPr>
            <w:tcW w:type="pct" w:w="71%"/>
          </w:tcPr>
          <w:p>
            <w:r>
              <w:rPr>
                <w:rFonts w:ascii="Calibri" w:cs="Calibri" w:eastAsia="Calibri" w:hAnsi="Calibri"/>
                <w:b w:val="false"/>
                <w:bCs w:val="false"/>
                <w:i w:val="false"/>
                <w:iCs w:val="false"/>
                <w:strike w:val="false"/>
                <w:color w:val="000000"/>
                <w:sz w:val="20"/>
                <w:szCs w:val="20"/>
              </w:rPr>
              <w:t xml:space="preserve">Write Once Read Many</w:t>
            </w:r>
          </w:p>
        </w:tc>
        <w:tc>
          <w:tcPr>
            <w:tcW w:type="pct" w:w="17%"/>
          </w:tcPr>
          <w:p>
            <w:r>
              <w:rPr>
                <w:rFonts w:ascii="Calibri" w:cs="Calibri" w:eastAsia="Calibri" w:hAnsi="Calibri"/>
                <w:b w:val="false"/>
                <w:bCs w:val="false"/>
                <w:i w:val="false"/>
                <w:iCs w:val="false"/>
                <w:strike w:val="false"/>
                <w:color w:val="000000"/>
                <w:sz w:val="20"/>
                <w:szCs w:val="20"/>
              </w:rPr>
              <w:t xml:space="preserve">Chapter 8.2</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FFF8EC" w:color="auto" w:val="clear"/>
          </w:tcPr>
          <w:p>
            <w:pPr>
              <w:pStyle w:val="Heading1"/>
              <w:spacing w:after="120" w:before="240" w:line="288" w:lineRule="auto"/>
            </w:pPr>
            <w:r>
              <w:rPr>
                <w:rFonts w:ascii="Calibri" w:cs="Calibri" w:eastAsia="Calibri" w:hAnsi="Calibri"/>
                <w:color w:val="000000"/>
                <w:sz w:val="32"/>
                <w:szCs w:val="32"/>
              </w:rPr>
              <w:t xml:space="preserve">Chapter 53: World Aware System Model (WASM)</w:t>
            </w:r>
          </w:p>
          <w:p>
            <w:r>
              <w:rPr>
                <w:rFonts w:ascii="Calibri" w:cs="Calibri" w:eastAsia="Calibri" w:hAnsi="Calibri"/>
                <w:b/>
                <w:bCs/>
                <w:i w:val="false"/>
                <w:iCs w:val="false"/>
                <w:strike w:val="false"/>
                <w:color w:val="1A1A1A"/>
                <w:sz w:val="22"/>
                <w:szCs w:val="22"/>
              </w:rPr>
              <w:t xml:space="preserve">53.1 Overview and Purpose</w:t>
            </w:r>
            <w:r>
              <w:rPr>
                <w:rFonts w:ascii="Calibri" w:cs="Calibri" w:eastAsia="Calibri" w:hAnsi="Calibri"/>
                <w:b/>
                <w:bCs/>
                <w:i w:val="false"/>
                <w:iCs w:val="false"/>
                <w:strike w:val="false"/>
                <w:color w:val="000000"/>
                <w:sz w:val="22"/>
                <w:szCs w:val="22"/>
              </w:rPr>
              <w:t xml:space="preserve">The World Aware System Model (WASM) is QueryBook's architectural framework for maintaining a dynamic, evolving, conceptual model of physical and social reality. The WASM does not store events, episodes, or raw sensory experiences. It stores abstractions: compressed, revised, domain-local conceptual models of how the world works. The WASM gives QueryBook a conceptual brain — a reasoning substrate that understands gravity, hardness, social roles, affordances, and causal patterns as generalized structures, not as memories of specific occurrences.The WASM is composed of three tightly integrated but architecturally distinct segments: (1) the World Model Domain — the active theory-of-the-world engine; (2) the Conceptual Memory Layer — the long-term conceptual store; and (3) the Sensory Abstraction Pipeline — the ingestion and abstraction engine that converts raw sensory experience into structured concepts. These three segments operate in concert: the Sensory Abstraction Pipeline transforms raw inputs into abstracted concepts, the Conceptual Memory Layer stores and evolves those concepts over time, and the World Model Domain applies them in real-time reasoning.</w:t>
            </w:r>
            <w:r>
              <w:rPr>
                <w:rFonts w:ascii="Calibri" w:cs="Calibri" w:eastAsia="Calibri" w:hAnsi="Calibri"/>
                <w:b/>
                <w:bCs/>
                <w:i w:val="false"/>
                <w:iCs w:val="false"/>
                <w:strike w:val="false"/>
                <w:color w:val="1A1A1A"/>
                <w:sz w:val="22"/>
                <w:szCs w:val="22"/>
              </w:rPr>
              <w:t xml:space="preserve">53.2 Design Principles</w:t>
            </w:r>
            <w:r>
              <w:rPr>
                <w:rFonts w:ascii="Calibri" w:cs="Calibri" w:eastAsia="Calibri" w:hAnsi="Calibri"/>
                <w:b/>
                <w:bCs/>
                <w:i w:val="false"/>
                <w:iCs w:val="false"/>
                <w:strike w:val="false"/>
                <w:color w:val="000000"/>
                <w:sz w:val="22"/>
                <w:szCs w:val="22"/>
              </w:rPr>
              <w:t xml:space="preserve">The World Model Domain is governed by four inviolable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Retain Structures, Not Episodes: The World Model Domain stores generalized structural knowledge — gravity, hardness, social roles, affordance patterns — not the specific sensory episodes from which those structures were derived. After integration, raw episodes are discarded. Only the abstracted concept survives.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experiences collapse into a single robust concept. One hundred encounters with chairs produce a single, well-calibrated Chair concept node — not one hundred chair-episode records.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Evolution: Conceptual models are revised, not merely appended. When new evidence contradicts an existing model, the model is updated with adjusted confidence levels, generalized or specialized rule conditions, and merged or split schema nodes. The system does not accumulate contradictions — it resolves them.</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Domain-Local: The World Model Domain is architecturally segregated from the Semantic Q&amp;A Domain and the Ingestion Domain. It operates as a distinct internal reasoning layer that informs but does not merge with the Fact Graph or the Ontology Mesh. Cross-domain communication occurs exclusively through typed interfaces defined in the Semantic Transport Layer.</w:t>
            </w:r>
            <w:r>
              <w:rPr>
                <w:rFonts w:ascii="Calibri" w:cs="Calibri" w:eastAsia="Calibri" w:hAnsi="Calibri"/>
                <w:b/>
                <w:bCs/>
                <w:i w:val="false"/>
                <w:iCs w:val="false"/>
                <w:strike w:val="false"/>
                <w:color w:val="1A1A1A"/>
                <w:sz w:val="22"/>
                <w:szCs w:val="22"/>
              </w:rPr>
              <w:t xml:space="preserve">53.3 World Model Domain — Six Structural Layers</w:t>
            </w:r>
            <w:r>
              <w:rPr>
                <w:rFonts w:ascii="Calibri" w:cs="Calibri" w:eastAsia="Calibri" w:hAnsi="Calibri"/>
                <w:b/>
                <w:bCs/>
                <w:i w:val="false"/>
                <w:iCs w:val="false"/>
                <w:strike w:val="false"/>
                <w:color w:val="000000"/>
                <w:sz w:val="22"/>
                <w:szCs w:val="22"/>
              </w:rPr>
              <w:t xml:space="preserve">The World Model Domain is organized into six hierarchical layers, each responsible for a distinct category of world knowledge. All layers are implemented as hypergraph substructures within the Fact Universe, enabling cross-layer relations to be expressed as typed hyperedges rather than simple binary edges.</w:t>
            </w:r>
            <w:r>
              <w:rPr>
                <w:rFonts w:ascii="Calibri" w:cs="Calibri" w:eastAsia="Calibri" w:hAnsi="Calibri"/>
                <w:b/>
                <w:bCs/>
                <w:i w:val="false"/>
                <w:iCs w:val="false"/>
                <w:strike w:val="false"/>
                <w:color w:val="1A1A1A"/>
                <w:sz w:val="22"/>
                <w:szCs w:val="22"/>
              </w:rPr>
              <w:t xml:space="preserve">53.3.1 Object Layer</w:t>
            </w:r>
            <w:r>
              <w:rPr>
                <w:rFonts w:ascii="Calibri" w:cs="Calibri" w:eastAsia="Calibri" w:hAnsi="Calibri"/>
                <w:b/>
                <w:bCs/>
                <w:i w:val="false"/>
                <w:iCs w:val="false"/>
                <w:strike w:val="false"/>
                <w:color w:val="000000"/>
                <w:sz w:val="22"/>
                <w:szCs w:val="22"/>
              </w:rPr>
              <w:t xml:space="preserve">The Object Layer provides the entity substrate of the World Model Domain. It models: physical objects (chair, door, vehicle, room, tool), agents (person), and environments (indoor space, outdoor space, urban area, workplace, public venue). Each object is represented as an Object Model node with the following fields: ObjectID (UUID, globally unique within the World Model Domain), Type (enumerated: PhysicalObject, Agent, Environment, AbstractEntity), Attributes (key-value pairs encoding size, shape, material, hardness, mobility, mass, color, temperature tolerance, and domain-specific properties), Affordances (ordered list of action identifiers drawn from the Affordance Layer representing what actions are possible on or with this object), and Relations (typed links to other Object Layer nodes representing spatial, causal, and functional relationships). The Object Layer is the primary referent for all physical grounding operations in the Semantic Q&amp;A Domain, enabling QueryBook to interpret spatially and physically situated references in reader queries.</w:t>
            </w:r>
            <w:r>
              <w:rPr>
                <w:rFonts w:ascii="Calibri" w:cs="Calibri" w:eastAsia="Calibri" w:hAnsi="Calibri"/>
                <w:b/>
                <w:bCs/>
                <w:i w:val="false"/>
                <w:iCs w:val="false"/>
                <w:strike w:val="false"/>
                <w:color w:val="1A1A1A"/>
                <w:sz w:val="22"/>
                <w:szCs w:val="22"/>
              </w:rPr>
              <w:t xml:space="preserve">53.3.2 Relation Layer</w:t>
            </w:r>
            <w:r>
              <w:rPr>
                <w:rFonts w:ascii="Calibri" w:cs="Calibri" w:eastAsia="Calibri" w:hAnsi="Calibri"/>
                <w:b/>
                <w:bCs/>
                <w:i w:val="false"/>
                <w:iCs w:val="false"/>
                <w:strike w:val="false"/>
                <w:color w:val="000000"/>
                <w:sz w:val="22"/>
                <w:szCs w:val="22"/>
              </w:rPr>
              <w:t xml:space="preserve">The Relation Layer defines the typed relational structures that connect Object Layer nodes. Relations are partitioned into three canonical categories: Spatial Relations (above, below, inside, outside, near, attached-to, adjacent-to, overlapping, occluding), Temporal Relations (before, after, during, overlaps-with, meets, starts-with, ends-with — following Allen's Interval Algebra), and Causal Relations (causes, enables, prevents, inhibits, triggers, sustains). Every Relation Layer edge carries: RelationID, RelationType (from the three categories above), SubjectObjectID, TargetObjectID, ConfidenceScore, TemporalAnchor (when the relation holds), and ContextConstraints (conditions under which the relation is valid). The Relation Layer feeds directly into the Reasoning Domain for multi-hop causal and spatial inference.</w:t>
            </w:r>
            <w:r>
              <w:rPr>
                <w:rFonts w:ascii="Calibri" w:cs="Calibri" w:eastAsia="Calibri" w:hAnsi="Calibri"/>
                <w:b/>
                <w:bCs/>
                <w:i w:val="false"/>
                <w:iCs w:val="false"/>
                <w:strike w:val="false"/>
                <w:color w:val="1A1A1A"/>
                <w:sz w:val="22"/>
                <w:szCs w:val="22"/>
              </w:rPr>
              <w:t xml:space="preserve">53.3.3 Physics Layer</w:t>
            </w:r>
            <w:r>
              <w:rPr>
                <w:rFonts w:ascii="Calibri" w:cs="Calibri" w:eastAsia="Calibri" w:hAnsi="Calibri"/>
                <w:b/>
                <w:bCs/>
                <w:i w:val="false"/>
                <w:iCs w:val="false"/>
                <w:strike w:val="false"/>
                <w:color w:val="000000"/>
                <w:sz w:val="22"/>
                <w:szCs w:val="22"/>
              </w:rPr>
              <w:t xml:space="preserve">The Physics Layer encodes generalized rules and patterns governing physical behavior in the world. Rules are formal conditional statements of the form: IF condition THEN effect WITH confidence. Canonical rules include: gravity (unsupported objects fall), friction (sliding objects decelerate proportionally to surface properties and normal force), impact (colliding objects exchange momentum according to mass and velocity), motion (objects in motion remain in motion unless acted upon by an opposing force), and structural stability (objects with center of mass outside support polygon will topple). Patterns are statistical generalizations derived from many observations: 'unsupported objects fall' (confidence: 0.9999), 'heavy objects resist motion' (confidence: 0.97), 'fragile objects break on impact' (confidence: 0.85, conditioned on impact energy threshold). Every Physics Rule node carries: RuleID, ConditionPattern (structured predicate over Object and Relation Layer nodes), EffectPattern (expected state change), Confidence, Domain (which object types this rule applies to), and RevisionHistory (ordered log of confidence adjustments, not episodic records).</w:t>
            </w:r>
            <w:r>
              <w:rPr>
                <w:rFonts w:ascii="Calibri" w:cs="Calibri" w:eastAsia="Calibri" w:hAnsi="Calibri"/>
                <w:b/>
                <w:bCs/>
                <w:i w:val="false"/>
                <w:iCs w:val="false"/>
                <w:strike w:val="false"/>
                <w:color w:val="1A1A1A"/>
                <w:sz w:val="22"/>
                <w:szCs w:val="22"/>
              </w:rPr>
              <w:t xml:space="preserve">53.3.4 Affordance Layer</w:t>
            </w:r>
            <w:r>
              <w:rPr>
                <w:rFonts w:ascii="Calibri" w:cs="Calibri" w:eastAsia="Calibri" w:hAnsi="Calibri"/>
                <w:b/>
                <w:bCs/>
                <w:i w:val="false"/>
                <w:iCs w:val="false"/>
                <w:strike w:val="false"/>
                <w:color w:val="000000"/>
                <w:sz w:val="22"/>
                <w:szCs w:val="22"/>
              </w:rPr>
              <w:t xml:space="preserve">The Affordance Layer encodes action possibilities — what actions are physically and contextually possible between agents and objects. Each Affordance node carries: AffordanceID, ActionIdentifier (sit-on, open, push, pull, lift, wear, speak-to, grasp, rotate, fill, pour, press, unlock), SubjectType (the agent type capable of performing this action), ObjectType (the object type on which the action can be performed), ContextualConstraints (conditions under which the affordance is valid — 'door can be opened if unlocked', 'chair can be sat on if stable and unoccupied'), and PreconditionSet (state conditions that must hold before the action is possible) and PostconditionSet (state changes produced by successful action execution). The Affordance Layer is consumed by the Semantic Q&amp;A Domain for answering capability and context questions about objects, environments, and situations described in ingested content ('Can I sit on this?', 'How do I open this?', 'What can this room be used for?').</w:t>
            </w:r>
            <w:r>
              <w:rPr>
                <w:rFonts w:ascii="Calibri" w:cs="Calibri" w:eastAsia="Calibri" w:hAnsi="Calibri"/>
                <w:b/>
                <w:bCs/>
                <w:i w:val="false"/>
                <w:iCs w:val="false"/>
                <w:strike w:val="false"/>
                <w:color w:val="1A1A1A"/>
                <w:sz w:val="22"/>
                <w:szCs w:val="22"/>
              </w:rPr>
              <w:t xml:space="preserve">53.3.5 Social and Interaction Layer</w:t>
            </w:r>
            <w:r>
              <w:rPr>
                <w:rFonts w:ascii="Calibri" w:cs="Calibri" w:eastAsia="Calibri" w:hAnsi="Calibri"/>
                <w:b/>
                <w:bCs/>
                <w:i w:val="false"/>
                <w:iCs w:val="false"/>
                <w:strike w:val="false"/>
                <w:color w:val="000000"/>
                <w:sz w:val="22"/>
                <w:szCs w:val="22"/>
              </w:rPr>
              <w:t xml:space="preserve">The Social and Interaction Layer encodes knowledge about agents, social roles, norms, and interaction protocols. Role nodes define: person, group, authority figure, customer, service agent, peer, subordinate, and autonomous agent. Each Role node carries: RoleID, RoleName, ExpectedBehaviors (list of affordance identifiers), AuthorityLevel (scalar 0–10), and ContextDomain (social setting in which this role applies). Norm nodes encode social behavioral rules: greetings (appropriate initiating behaviors for first contact), turn-taking (conversational sequencing rules), politeness registers (formal, informal, deferential), safety rules (mandatory behaviors in hazardous contexts), and boundary norms (personal space, consent, authority deference). The Social and Interaction Layer enables QueryBook to model human social dynamics, interpret socially-situated queries, and generate responses that respect social context and role-appropriate phrasing.</w:t>
            </w:r>
            <w:r>
              <w:rPr>
                <w:rFonts w:ascii="Calibri" w:cs="Calibri" w:eastAsia="Calibri" w:hAnsi="Calibri"/>
                <w:b/>
                <w:bCs/>
                <w:i w:val="false"/>
                <w:iCs w:val="false"/>
                <w:strike w:val="false"/>
                <w:color w:val="1A1A1A"/>
                <w:sz w:val="22"/>
                <w:szCs w:val="22"/>
              </w:rPr>
              <w:t xml:space="preserve">53.3.6 Schema Layer</w:t>
            </w:r>
            <w:r>
              <w:rPr>
                <w:rFonts w:ascii="Calibri" w:cs="Calibri" w:eastAsia="Calibri" w:hAnsi="Calibri"/>
                <w:b/>
                <w:bCs/>
                <w:i w:val="false"/>
                <w:iCs w:val="false"/>
                <w:strike w:val="false"/>
                <w:color w:val="000000"/>
                <w:sz w:val="22"/>
                <w:szCs w:val="22"/>
              </w:rPr>
              <w:t xml:space="preserve">The Schema Layer encodes structured templates for common events and procedures — QueryBook's procedural memory. Each Schema node carries: SchemaID, SchemaName (e.g., 'Entering a Room', 'Opening a Door', 'Buying Something', 'Asking a Question', 'Responding to a Request'), Roles (agent, object, environment participants in the schema), Steps (ordered list of conceptual actions with preconditions and postconditions for each step), Preconditions (global conditions that must hold before the schema can execute), Postconditions (global state changes produced by successful schema completion), and VariantSet (alternative step sequences for culturally or contextually variant executions of the same schema). Example: Schema 'Opening a Door' — Roles: Agent (person), Object (door), Environment (containing space). Steps: (1) Agent approaches door [precondition: agent within approach range], (2) Agent grasps handle [precondition: door handle accessible], (3) Agent applies rotational or linear force to handle [precondition: door unlocked], (4) Agent pulls or pushes door panel [postcondition: door open]. The Schema Layer is the primary source for procedural reasoning and narrative coherence checking in the Narrative Graph System, enabling QueryBook to validate that event sequences in ingested content conform to expected real-world procedural logic.</w:t>
            </w:r>
            <w:r>
              <w:rPr>
                <w:rFonts w:ascii="Calibri" w:cs="Calibri" w:eastAsia="Calibri" w:hAnsi="Calibri"/>
                <w:b/>
                <w:bCs/>
                <w:i w:val="false"/>
                <w:iCs w:val="false"/>
                <w:strike w:val="false"/>
                <w:color w:val="1A1A1A"/>
                <w:sz w:val="22"/>
                <w:szCs w:val="22"/>
              </w:rPr>
              <w:t xml:space="preserve">53.4 WorldModel API — Core Functions</w:t>
            </w:r>
            <w:r>
              <w:rPr>
                <w:rFonts w:ascii="Calibri" w:cs="Calibri" w:eastAsia="Calibri" w:hAnsi="Calibri"/>
                <w:b/>
                <w:bCs/>
                <w:i w:val="false"/>
                <w:iCs w:val="false"/>
                <w:strike w:val="false"/>
                <w:color w:val="000000"/>
                <w:sz w:val="22"/>
                <w:szCs w:val="22"/>
              </w:rPr>
              <w:t xml:space="preserve">The World Model Domain exposes four canonical API functions through the Semantic Transport Layer. These functions are the exclusive interface through which other QueryBook domains interact with the World Model Domain.</w:t>
            </w:r>
            <w:r>
              <w:rPr>
                <w:rFonts w:ascii="Calibri" w:cs="Calibri" w:eastAsia="Calibri" w:hAnsi="Calibri"/>
                <w:b/>
                <w:bCs/>
                <w:i w:val="false"/>
                <w:iCs w:val="false"/>
                <w:strike w:val="false"/>
                <w:color w:val="1A1A1A"/>
                <w:sz w:val="22"/>
                <w:szCs w:val="22"/>
              </w:rPr>
              <w:t xml:space="preserve">53.4.1 WorldModel.Update(structured_input)</w:t>
            </w:r>
            <w:r>
              <w:rPr>
                <w:rFonts w:ascii="Calibri" w:cs="Calibri" w:eastAsia="Calibri" w:hAnsi="Calibri"/>
                <w:b/>
                <w:bCs/>
                <w:i w:val="false"/>
                <w:iCs w:val="false"/>
                <w:strike w:val="false"/>
                <w:color w:val="000000"/>
                <w:sz w:val="22"/>
                <w:szCs w:val="22"/>
              </w:rPr>
              <w:t xml:space="preserve">Input: Abstracted sensory data in the form of structured object descriptions, relation assertions, event observations, and pattern identifications, delivered by the Sensory Abstraction Pipeline. Also accepts contradiction signals from the Reasoning Domain when existing world model assertions are found inconsistent with new Fact Units. Behavior: Integrates new patterns into existing Object, Relation, Physics, Affordance, Social, and Schema layer nodes. Adjusts ConfidenceScore values on affected nodes proportionally to the quality and consistency of the new evidence. Creates new Rule nodes or Schema nodes when a pattern has been observed with sufficient frequency and consistency to warrant generalization. Discards the raw sensory episode after the integration is complete — only the updated model state is retained. Output: Updated world model state snapshot, expressed as a delta of modified node IDs and their new ConfidenceScore values, logged to the Provenance Ledger as a WORLD_MODEL_UPDATE ProvenanceRecord.</w:t>
            </w:r>
            <w:r>
              <w:rPr>
                <w:rFonts w:ascii="Calibri" w:cs="Calibri" w:eastAsia="Calibri" w:hAnsi="Calibri"/>
                <w:b/>
                <w:bCs/>
                <w:i w:val="false"/>
                <w:iCs w:val="false"/>
                <w:strike w:val="false"/>
                <w:color w:val="1A1A1A"/>
                <w:sz w:val="22"/>
                <w:szCs w:val="22"/>
              </w:rPr>
              <w:t xml:space="preserve">53.4.2 WorldModel.Query(query_struct)</w:t>
            </w:r>
            <w:r>
              <w:rPr>
                <w:rFonts w:ascii="Calibri" w:cs="Calibri" w:eastAsia="Calibri" w:hAnsi="Calibri"/>
                <w:b/>
                <w:bCs/>
                <w:i w:val="false"/>
                <w:iCs w:val="false"/>
                <w:strike w:val="false"/>
                <w:color w:val="000000"/>
                <w:sz w:val="22"/>
                <w:szCs w:val="22"/>
              </w:rPr>
              <w:t xml:space="preserve">Input: A structured query expression — QueryBook's internal semantic representation of a question or contextual lookup request, generated by the Semantic Parsing Engine from a natural-language query. Behavior: Interprets the query using world concepts from all six layers. Resolves referential ambiguities (what 'door' means in this context, what 'open' implies given the object's affordance set). Provides physical and social constraints (what is possible given physics rules, what is appropriate given social norms). Supplies default assumptions (gravity applies, objects follow their affordance set, social roles determine expected behavior). Output: A world-aware interpretation package containing: relevant Object Model nodes, applicable Physics and Affordance rules, matching Schema templates, active Relation Layer edges, and a ConstraintSet describing what the world model considers possible, impossible, likely, and unlikely given the query context.</w:t>
            </w:r>
            <w:r>
              <w:rPr>
                <w:rFonts w:ascii="Calibri" w:cs="Calibri" w:eastAsia="Calibri" w:hAnsi="Calibri"/>
                <w:b/>
                <w:bCs/>
                <w:i w:val="false"/>
                <w:iCs w:val="false"/>
                <w:strike w:val="false"/>
                <w:color w:val="1A1A1A"/>
                <w:sz w:val="22"/>
                <w:szCs w:val="22"/>
              </w:rPr>
              <w:t xml:space="preserve">53.4.3 WorldModel.Infer(context_struct)</w:t>
            </w:r>
            <w:r>
              <w:rPr>
                <w:rFonts w:ascii="Calibri" w:cs="Calibri" w:eastAsia="Calibri" w:hAnsi="Calibri"/>
                <w:b/>
                <w:bCs/>
                <w:i w:val="false"/>
                <w:iCs w:val="false"/>
                <w:strike w:val="false"/>
                <w:color w:val="000000"/>
                <w:sz w:val="22"/>
                <w:szCs w:val="22"/>
              </w:rPr>
              <w:t xml:space="preserve">Input: A partial scene or situation description — a structured specification of known objects, relations, and events in the current context, with some fields deliberately left unspecified. Behavior: Activates the Schema Layer to identify the most likely event schema matching the partial description. Uses Physics Layer rules to compute expected physical outcomes. Uses Affordance Layer to identify available actions. Uses Relation Layer to infer missing spatial and causal relations. Uses the Conceptual Memory Layer's Concept Graph to retrieve conceptually related entities and rules not explicitly present in the partial description. Output: An inferred scene completion — a fully populated context structure with all missing fields filled in using world model defaults, predictions, and schema completions. Includes a plausibility score for each inferred element and a recommended action set for agent-based contexts.</w:t>
            </w:r>
            <w:r>
              <w:rPr>
                <w:rFonts w:ascii="Calibri" w:cs="Calibri" w:eastAsia="Calibri" w:hAnsi="Calibri"/>
                <w:b/>
                <w:bCs/>
                <w:i w:val="false"/>
                <w:iCs w:val="false"/>
                <w:strike w:val="false"/>
                <w:color w:val="1A1A1A"/>
                <w:sz w:val="22"/>
                <w:szCs w:val="22"/>
              </w:rPr>
              <w:t xml:space="preserve">53.4.4 WorldModel.Revise(rule_or_schema, evidence)</w:t>
            </w:r>
            <w:r>
              <w:rPr>
                <w:rFonts w:ascii="Calibri" w:cs="Calibri" w:eastAsia="Calibri" w:hAnsi="Calibri"/>
                <w:b/>
                <w:bCs/>
                <w:i w:val="false"/>
                <w:iCs w:val="false"/>
                <w:strike w:val="false"/>
                <w:color w:val="000000"/>
                <w:sz w:val="22"/>
                <w:szCs w:val="22"/>
              </w:rPr>
              <w:t xml:space="preserve">Input: An existing Rule node or Schema node identifier, plus a structured evidence package describing new observations that support or contradict the existing rule or schema. Behavior: Adjusts the ConfidenceScore of the identified node in proportion to the strength and consistency of the new evidence. Generalizes the rule or schema if the evidence suggests it applies in a broader domain than previously captured (widens ConditionPattern scope). Specializes the rule if the evidence reveals exceptions that require narrower applicability (splits ConditionPattern into specific subsets). Merges two Schema nodes if evidence demonstrates they represent the same underlying procedure. Splits a Schema node into two if evidence demonstrates that what was modeled as one schema actually comprises two distinct procedures. Output: Updated rule or schema node definition, with a RevisionHistory entry appended recording the evidence hash, the direction of revision (generalize / specialize / merge / split), the old and new ConfidenceScore, and the timestamp. No episodic detail from the evidence is retained.</w:t>
            </w:r>
            <w:r>
              <w:rPr>
                <w:rFonts w:ascii="Calibri" w:cs="Calibri" w:eastAsia="Calibri" w:hAnsi="Calibri"/>
                <w:b/>
                <w:bCs/>
                <w:i w:val="false"/>
                <w:iCs w:val="false"/>
                <w:strike w:val="false"/>
                <w:color w:val="1A1A1A"/>
                <w:sz w:val="22"/>
                <w:szCs w:val="22"/>
              </w:rPr>
              <w:t xml:space="preserve">53.5 Integration with QueryBook Domains</w:t>
            </w:r>
            <w:r>
              <w:rPr>
                <w:rFonts w:ascii="Calibri" w:cs="Calibri" w:eastAsia="Calibri" w:hAnsi="Calibri"/>
                <w:b/>
                <w:bCs/>
                <w:i w:val="false"/>
                <w:iCs w:val="false"/>
                <w:strike w:val="false"/>
                <w:color w:val="000000"/>
                <w:sz w:val="22"/>
                <w:szCs w:val="22"/>
              </w:rPr>
              <w:t xml:space="preserve">The World Model Domain integrates with three QueryBook domains through precisely defined interfaces: (1) Semantic Q&amp;A Domain — uses WorldModel.Query() to ground language-level questions in physical and social reality before Fact Graph retrieval. Example: 'Can a character open this door?' triggers a WorldModel.Query() lookup of the object's Affordance Layer node before any Fact Unit retrieval occurs. Example: 'Does gravity affect this scene?' resolves against the Physics Layer before a narrative Fact Unit is returned. (2) Reasoning Domain — uses WorldModel.Infer() to complete partial scene descriptions during multi-hop inference chains, and supplies contradiction signals to WorldModel.Revise() when reasoning reveals that a narrative event in the ingested content violates a known world model rule or schema. (3) Sensory Abstraction Pipeline — the primary source of structured inputs for WorldModel.Update(), delivering abstracted concept descriptions derived from ingested multimodal content after discarding raw source material.</w:t>
            </w:r>
            <w:r>
              <w:rPr>
                <w:rFonts w:ascii="Calibri" w:cs="Calibri" w:eastAsia="Calibri" w:hAnsi="Calibri"/>
                <w:b/>
                <w:bCs/>
                <w:i w:val="false"/>
                <w:iCs w:val="false"/>
                <w:strike w:val="false"/>
                <w:color w:val="1A1A1A"/>
                <w:sz w:val="22"/>
                <w:szCs w:val="22"/>
              </w:rPr>
              <w:t xml:space="preserve">53.6 Design Constraints</w:t>
            </w:r>
            <w:r>
              <w:rPr>
                <w:rFonts w:ascii="Calibri" w:cs="Calibri" w:eastAsia="Calibri" w:hAnsi="Calibri"/>
                <w:b/>
                <w:bCs/>
                <w:i w:val="false"/>
                <w:iCs w:val="false"/>
                <w:strike w:val="false"/>
                <w:color w:val="000000"/>
                <w:sz w:val="22"/>
                <w:szCs w:val="22"/>
              </w:rPr>
              <w:t xml:space="preserve">The World Model Domain must satisfy the following non-negotiable design constraints: (1) QueryBook-native: All world model structures are stored as typed nodes and hyperedges within the Fact Universe — no external world model database is used. (2) Modular: Each of the six layers (Object, Relation, Physics, Affordance, Social, Schema) is independently addressable, indexable, and evolvable without requiring full-system reinitialization. (3) Extensible: New object types, relation types, physics rules, affordances, social roles, and schema templates can be added at runtime through the WorldModel.Update() interface without schema migration. (4) Evolvable Without Log Accumulation: The World Model Domain grows in conceptual quality over time without growing proportionally in storage volume. Episodes are discarded; only refined concepts are retained. The World Model Domain is a conceptual engine, not a storage bucket. It learns how the world works, not what happened when.</w:t>
            </w:r>
          </w:p>
          <w:p>
            <w:pPr>
              <w:pStyle w:val="Heading2"/>
              <w:spacing w:after="120" w:before="240" w:line="288" w:lineRule="auto"/>
            </w:pPr>
            <w:r>
              <w:rPr>
                <w:rFonts w:ascii="Calibri" w:cs="Calibri" w:eastAsia="Calibri" w:hAnsi="Calibri"/>
                <w:color w:val="000000"/>
                <w:sz w:val="36"/>
                <w:szCs w:val="36"/>
              </w:rPr>
              <w:t xml:space="preserve">53.7 Hyperedge Attention and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the World Model Domain's already-specified hypergraph structure (§53.6) with two capabilities: weighting a hyperedge's constituent elements by relevance during reasoning, and completing a partially-observed hyperedge from noisy or incomplete input. Both reuse already-specified mechanism — the Attractor Network's real convergence dynamics (Chapter 7, Claim 6) — applied at hyperedge granularity rather than introducing a new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EXTENDS THE ATTRACTOR NETWORK; IS NOT A NEW DYNAMICAL SYSTEM</w:t>
                  </w:r>
                  <w:r>
                    <w:rPr>
                      <w:rFonts w:ascii="Calibri" w:cs="Calibri" w:eastAsia="Calibri" w:hAnsi="Calibri"/>
                      <w:b/>
                      <w:bCs/>
                      <w:i w:val="false"/>
                      <w:iCs w:val="false"/>
                      <w:strike w:val="false"/>
                      <w:color w:val="333333"/>
                      <w:sz w:val="24"/>
                      <w:szCs w:val="24"/>
                    </w:rPr>
                    <w:t xml:space="preserve">This section is deliberately scoped to avoid the exact misdescription risk already flagged at §42.2.5.1: it is not a new, freestanding dynamical system, and it has no attractors or convergence behavior of its own separate from the Attractor Network's already-specified mechanism. It is that same mechanism, already Claim 6 in the patent, applied to a hyperedge's set of constituent Fact Units instead of a single node.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53.7.1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reasoning operation considers a hyperedge linking multiple Fact Units — for example, a geometric hyperedge linking several observed contour points — each constituent Fact Unit's contribution is weighted by its individual ConfidenceScore and its degree of corroboration with the hyperedge's other constituents, rather than every constituent contributing equally regardless of its own reliability. This is a weighting refinement over the hypergraph traversal already specified for the World Model Domain, not a new traversal mechanism.</w:t>
            </w:r>
          </w:p>
          <w:p>
            <w:pPr>
              <w:pStyle w:val="Heading2"/>
              <w:spacing w:after="120" w:before="240" w:line="288" w:lineRule="auto"/>
            </w:pPr>
            <w:r>
              <w:rPr>
                <w:rFonts w:ascii="Calibri" w:cs="Calibri" w:eastAsia="Calibri" w:hAnsi="Calibri"/>
                <w:color w:val="000000"/>
                <w:sz w:val="36"/>
                <w:szCs w:val="36"/>
              </w:rPr>
              <w:t xml:space="preserve">53.7.2 Attractor-Based Hyperedge Completion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partially-observed hyperedge — for example, a geometric contour with several observed points and gaps between them — is completed by applying the Attractor Network's existing convergence dynamics (§7.2.4) to the hyperedge's constituent set as a whole, converging toward the most consistent complete configuration given the observed constituents and their attention-weighted contributions from §53.7.1. This differs from WorldModel.Infer (§53.4.3) in scope and mechanism: WorldModel.Infer completes a general scene description using Schema, Physics, Affordance, and Relation layer rules; hyperedge completion under this section is specifically geometric, uses the Attractor Network's convergence dynamics rather than schema matching, and applies at the granularity of a single hyperedge's constituent Fact Units.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completed hyperedge carries a ConfidenceScore reflecting the completion's certainty, computed from the observed constituents' own confidence and the degree of convergence achieved — a low-confidence completion is represented as such, never silently presented with the same certainty as a fully-observed hyperedge.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mechanism modifies the Fact Unit schema (Appendix A) or the Attractor Network's own specification (Chapter 7) in no way; it is an application of both to hyperedge-structured input, not a new schema or a new convergence mechanism.</w:t>
            </w:r>
          </w:p>
          <w:p>
            <w:pPr>
              <w:pStyle w:val="Heading2"/>
              <w:spacing w:after="120" w:before="240" w:line="288" w:lineRule="auto"/>
            </w:pPr>
            <w:r>
              <w:rPr>
                <w:rFonts w:ascii="Calibri" w:cs="Calibri" w:eastAsia="Calibri" w:hAnsi="Calibri"/>
                <w:color w:val="000000"/>
                <w:sz w:val="36"/>
                <w:szCs w:val="36"/>
              </w:rPr>
              <w:t xml:space="preserve">53.8 Biased Competition for Object Salience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Domain's Object Layer (§53.3.1) previously represented every detected object in a scene as an independent, equally-weighted node, with no mechanism modeling how attention affects perception of a crowded scene. This section adds one: a deterministic implementation of Biased Competition Theory (Desimone &amp; Duncan, 1995, Annual Review of Neuroscience 18:193–222), the well-established account of how multiple simultaneously-perceived stimuli compete for representation, with attention biasing that competition toward behaviorally relevant stimuli rather than suppressing irrelevant ones outright.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COMPETITIVE WEIGHTING, NOT A TRAINED ATTENTION MODEL</w:t>
                  </w:r>
                  <w:r>
                    <w:rPr>
                      <w:rFonts w:ascii="Calibri" w:cs="Calibri" w:eastAsia="Calibri" w:hAnsi="Calibri"/>
                      <w:b/>
                      <w:bCs/>
                      <w:i w:val="false"/>
                      <w:iCs w:val="false"/>
                      <w:strike w:val="false"/>
                      <w:color w:val="333333"/>
                      <w:sz w:val="24"/>
                      <w:szCs w:val="24"/>
                    </w:rPr>
                    <w:t xml:space="preserve">Biased Competition Theory's own mathematical core is well-defined and deterministic: a scene's simultaneously-represented objects compete via mutual suppression, and top-down relevance signals bias that competition toward specific objects — the resulting representation for each object is a weighted function of its own salience and the competing objects present, not a trained neural attention mechanism. This section adopts exactly that deterministic weighting principle. Where a computational implementation of biased competition in the cited literature relies on trained network weights, this section excludes that implementation, consistent with Chapter 101's methodology: the structural principle is adopted, the trained component is not.</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53.8.1 Competitive Weighting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Object Layer node detected within a single scene receives a SalienceWeight, computed as a deterministic function of that object's own detection confidence and a query- or task-relevant relevance signal, normalized against the combined salience of every other object concurrently detected in the same scene — consistent with the cited theory's finding that neuronal response to simultaneously-presented stimuli approximates a weighted average of the response to each stimulus in isolation, biased toward the behaviorally relevant one. No Object Layer node is removed, discarded, or excluded from the Fact Graph on the basis of its SalienceWeight; every detected object remains a fully-represented, queryable node, exactly as §53.3.1 already specifies. Suppression under this section is a property of relative weighting and downstream presentation priority, never of the underlying representation's existence.</w:t>
            </w:r>
          </w:p>
          <w:p>
            <w:pPr>
              <w:pStyle w:val="Heading3"/>
              <w:spacing w:after="120" w:before="200" w:line="288" w:lineRule="auto"/>
            </w:pPr>
            <w:r>
              <w:rPr>
                <w:rFonts w:ascii="Calibri" w:cs="Calibri" w:eastAsia="Calibri" w:hAnsi="Calibri"/>
                <w:color w:val="000000"/>
                <w:sz w:val="28"/>
                <w:szCs w:val="28"/>
              </w:rPr>
              <w:t xml:space="preserve">53.8.2 Relationship to Hyperedge Attention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SalienceWeight operates at the level of individual Object Layer nodes within a single scene, prior to and distinct from Hyperedge Attention's (§53.7.1) weighting of a hyperedge's already-linked constituents. The two are complementary, applied in sequence — SalienceWeight determines an object's relative prominence as it is perceived; Hyperedge Attention weights how that object's representation contributes to a hyperedge once one has been formed. Neither section modifies the other's specification.</w:t>
            </w:r>
          </w:p>
          <w:p>
            <w:pPr>
              <w:pStyle w:val="Heading3"/>
              <w:spacing w:after="120" w:before="200" w:line="288" w:lineRule="auto"/>
            </w:pPr>
            <w:r>
              <w:rPr>
                <w:rFonts w:ascii="Calibri" w:cs="Calibri" w:eastAsia="Calibri" w:hAnsi="Calibri"/>
                <w:color w:val="000000"/>
                <w:sz w:val="28"/>
                <w:szCs w:val="28"/>
              </w:rPr>
              <w:t xml:space="preserve">53.8.3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World Model Domain's Object Layer (§53.3.1); Hyperedge Attention (§53.7.1); and the Multimodal Ingestion Pipeline (Chapter 4). It modifies none of their specifications, and introduces no mechanism for excluding a detected object from the Fact Graph.</w:t>
            </w:r>
          </w:p>
          <w:p>
            <w:pPr>
              <w:pStyle w:val="Heading1"/>
              <w:spacing w:after="120" w:before="240" w:line="288" w:lineRule="auto"/>
            </w:pPr>
            <w:r>
              <w:rPr>
                <w:rFonts w:ascii="Calibri" w:cs="Calibri" w:eastAsia="Calibri" w:hAnsi="Calibri"/>
                <w:color w:val="000000"/>
                <w:sz w:val="32"/>
                <w:szCs w:val="32"/>
              </w:rPr>
              <w:t xml:space="preserve">Chapter 54: Conceptual Memory Layer (CML)</w:t>
            </w:r>
          </w:p>
          <w:p>
            <w:r>
              <w:rPr>
                <w:rFonts w:ascii="Calibri" w:cs="Calibri" w:eastAsia="Calibri" w:hAnsi="Calibri"/>
                <w:b/>
                <w:bCs/>
                <w:i w:val="false"/>
                <w:iCs w:val="false"/>
                <w:strike w:val="false"/>
                <w:color w:val="1A1A1A"/>
                <w:sz w:val="22"/>
                <w:szCs w:val="22"/>
              </w:rPr>
              <w:t xml:space="preserve">54.1 Purpose and Mandate</w:t>
            </w:r>
            <w:r>
              <w:rPr>
                <w:rFonts w:ascii="Calibri" w:cs="Calibri" w:eastAsia="Calibri" w:hAnsi="Calibri"/>
                <w:b/>
                <w:bCs/>
                <w:i w:val="false"/>
                <w:iCs w:val="false"/>
                <w:strike w:val="false"/>
                <w:color w:val="000000"/>
                <w:sz w:val="22"/>
                <w:szCs w:val="22"/>
              </w:rPr>
              <w:t xml:space="preserve">The Conceptual Memory Layer (CML) is QueryBook's long-term internal memory for world knowledge — the persistent store of concepts, rules, schemas, and abstractions that the system has derived from experience. The CML does not store the circumstances, events, episodes, or raw sensory data that produced the knowledge it holds. It stores only what was learned, not how it was learned. The CML is distinct from: the World Model Domain (which applies concepts in real-time reasoning) and the Semantic Q&amp;A Domain (which retrieves and regenerates Fact Units for user queries). Where the Semantic Q&amp;A Domain operates over specific ingested facts about specific works, the CML operates over generalized conceptual knowledge about how the world works — knowledge that applies across all ingested content. CML concepts persist across time, domains, and tasks — they constitute the accumulated conceptual intelligence of the QueryBook system.</w:t>
            </w:r>
            <w:r>
              <w:rPr>
                <w:rFonts w:ascii="Calibri" w:cs="Calibri" w:eastAsia="Calibri" w:hAnsi="Calibri"/>
                <w:b/>
                <w:bCs/>
                <w:i w:val="false"/>
                <w:iCs w:val="false"/>
                <w:strike w:val="false"/>
                <w:color w:val="1A1A1A"/>
                <w:sz w:val="22"/>
                <w:szCs w:val="22"/>
              </w:rPr>
              <w:t xml:space="preserve">54.2 Core Design Principles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Abstraction Over Episodes: Only the abstracted concept survives ingestion. The sensory or observational experience that produced the concept is discarded after abstraction. The CML contains concepts, not memories.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Compression: Many distinct observations of the same phenomenon produce one refined concept node — not a growing list of observation records. The CML grows in quality, not in raw volume.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Revision: Concepts evolve continuously as new evidence arrives. Confidence scores are adjusted, concept boundaries are redrawn, rules are generalized or specialized, and schemas are merged or split. The CML is never static.</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Domain Independence: CML concepts are not scoped to any single QueryBook domain. A concept of 'gravity' stored in the CML is equally accessible to the World Model Domain, the Reasoning Domain, and the Semantic Q&amp;A Domain — providing a shared conceptual foundation across all QueryBook processing layers.</w:t>
            </w:r>
            <w:r>
              <w:rPr>
                <w:rFonts w:ascii="Calibri" w:cs="Calibri" w:eastAsia="Calibri" w:hAnsi="Calibri"/>
                <w:b/>
                <w:bCs/>
                <w:i w:val="false"/>
                <w:iCs w:val="false"/>
                <w:strike w:val="false"/>
                <w:color w:val="1A1A1A"/>
                <w:sz w:val="22"/>
                <w:szCs w:val="22"/>
              </w:rPr>
              <w:t xml:space="preserve">54.3 Internal Structure — Four Components54.3.1 Concept Nodes</w:t>
            </w:r>
            <w:r>
              <w:rPr>
                <w:rFonts w:ascii="Calibri" w:cs="Calibri" w:eastAsia="Calibri" w:hAnsi="Calibri"/>
                <w:b/>
                <w:bCs/>
                <w:i w:val="false"/>
                <w:iCs w:val="false"/>
                <w:strike w:val="false"/>
                <w:color w:val="000000"/>
                <w:sz w:val="22"/>
                <w:szCs w:val="22"/>
              </w:rPr>
              <w:t xml:space="preserve">Concept Nodes are the atomic units of understanding in the CML. Each Concept Node represents a single generalized concept derived from repeated abstraction of sensory and observational input. Every Concept Node carries: ConceptID (UUID, globally unique within the CML), Name (canonical string label, e.g., 'gravity', 'hardness', 'container', 'agent', 'door'), Definition (QueryBook's internal structured representation of the concept — not a natural-language text string but a typed semantic structure encoding the concept's essential properties), Attributes (key-value pairs encoding properties of the concept: 'gravity' carries directionality=downward, magnitude=variable, universality=near-universal), Confidence (float in [0.0, 1.0] representing how stable and well-supported the concept is — updated by ConceptMemory.Update()), and Origin (a compact fingerprint of which categories of sensory abstraction contributed to this concept — NOT the actual source episodes, which are discarded). Concept Nodes are the 'vocabulary' of QueryBook's internal world understanding.</w:t>
            </w:r>
            <w:r>
              <w:rPr>
                <w:rFonts w:ascii="Calibri" w:cs="Calibri" w:eastAsia="Calibri" w:hAnsi="Calibri"/>
                <w:b/>
                <w:bCs/>
                <w:i w:val="false"/>
                <w:iCs w:val="false"/>
                <w:strike w:val="false"/>
                <w:color w:val="1A1A1A"/>
                <w:sz w:val="22"/>
                <w:szCs w:val="22"/>
              </w:rPr>
              <w:t xml:space="preserve">54.3.2 Rule Nodes</w:t>
            </w:r>
            <w:r>
              <w:rPr>
                <w:rFonts w:ascii="Calibri" w:cs="Calibri" w:eastAsia="Calibri" w:hAnsi="Calibri"/>
                <w:b/>
                <w:bCs/>
                <w:i w:val="false"/>
                <w:iCs w:val="false"/>
                <w:strike w:val="false"/>
                <w:color w:val="000000"/>
                <w:sz w:val="22"/>
                <w:szCs w:val="22"/>
              </w:rPr>
              <w:t xml:space="preserve">Rule Nodes encode generalized patterns extracted from repeated experience. A Rule Node represents a stable, reliable regularity in how the world behaves — a causal, physical, or social law at the conceptual level. Every Rule Node carries: RuleID (UUID), ConditionPattern (a structured predicate over Concept Node IDs describing the situation in which the rule applies), EffectPattern (a structured description of the expected outcome when the ConditionPattern is satisfied), Confidence (float in [0.0, 1.0], updated by ConceptMemory.ReviseRule()), Domain (the set of Concept Node types to which this rule applies), and RevisionHistory (an ordered log of confidence adjustments and scope changes — conceptual, not episodic). Canonical Rule Nodes include: 'Unsupported objects fall' (Physics domain, confidence 0.9999), 'Hard objects resist deformation' (Physics domain, confidence 0.97), 'Agents respond to speech directed at them' (Social domain, confidence 0.91), 'Containers hold items placed inside them' (Object domain, confidence 0.99). Rule Nodes constitute the 'physics and social logic' of QueryBook's internal mind.</w:t>
            </w:r>
            <w:r>
              <w:rPr>
                <w:rFonts w:ascii="Calibri" w:cs="Calibri" w:eastAsia="Calibri" w:hAnsi="Calibri"/>
                <w:b/>
                <w:bCs/>
                <w:i w:val="false"/>
                <w:iCs w:val="false"/>
                <w:strike w:val="false"/>
                <w:color w:val="1A1A1A"/>
                <w:sz w:val="22"/>
                <w:szCs w:val="22"/>
              </w:rPr>
              <w:t xml:space="preserve">54.3.3 Schema Nodes</w:t>
            </w:r>
            <w:r>
              <w:rPr>
                <w:rFonts w:ascii="Calibri" w:cs="Calibri" w:eastAsia="Calibri" w:hAnsi="Calibri"/>
                <w:b/>
                <w:bCs/>
                <w:i w:val="false"/>
                <w:iCs w:val="false"/>
                <w:strike w:val="false"/>
                <w:color w:val="000000"/>
                <w:sz w:val="22"/>
                <w:szCs w:val="22"/>
              </w:rPr>
              <w:t xml:space="preserve">Schema Nodes encode structured templates for common situations and procedures — QueryBook's procedural memory at the conceptual level. Schema Nodes in the CML are the generalized conceptual templates from which the World Model Domain's Schema Layer instantiates specific operational schemas. Every Schema Node carries: SchemaID (UUID), Roles (the conceptual agent and object types that participate in the schema), Steps (an ordered list of conceptual action identifiers with associated preconditions and postconditions), Preconditions (the global concept-level conditions that must be satisfied before the schema applies), and Postconditions (the concept-level state changes that the schema produces upon completion). Example Schema Nodes: 'Entering a Room' (roles: agent, room; steps: approach, open barrier, cross threshold, close barrier; postconditions: agent is inside room), 'Opening a Door' (roles: agent, door; steps: approach, grasp-handle, apply-force, swing-panel; preconditions: door is closed, door is unlocked; postconditions: door is open), 'Asking a Question' (roles: questioner, addressee; steps: attention-signal, question-utterance, wait-for-response). Schema Nodes are QueryBook's 'procedural memory.'</w:t>
            </w:r>
            <w:r>
              <w:rPr>
                <w:rFonts w:ascii="Calibri" w:cs="Calibri" w:eastAsia="Calibri" w:hAnsi="Calibri"/>
                <w:b/>
                <w:bCs/>
                <w:i w:val="false"/>
                <w:iCs w:val="false"/>
                <w:strike w:val="false"/>
                <w:color w:val="1A1A1A"/>
                <w:sz w:val="22"/>
                <w:szCs w:val="22"/>
              </w:rPr>
              <w:t xml:space="preserve">54.3.4 Concept Graph</w:t>
            </w:r>
            <w:r>
              <w:rPr>
                <w:rFonts w:ascii="Calibri" w:cs="Calibri" w:eastAsia="Calibri" w:hAnsi="Calibri"/>
                <w:b/>
                <w:bCs/>
                <w:i w:val="false"/>
                <w:iCs w:val="false"/>
                <w:strike w:val="false"/>
                <w:color w:val="000000"/>
                <w:sz w:val="22"/>
                <w:szCs w:val="22"/>
              </w:rPr>
              <w:t xml:space="preserve">The Concept Graph is the primary organizational structure of the CML — a dynamic, continuously evolving directed hypergraph connecting all Concept Nodes, Rule Nodes, and Schema Nodes through typed semantic edges. Edge types in the Concept Graph include: IS-A (concept subsumption: 'chair IS-A furniture'), HAS-PROPERTY (attribute linkage: 'chair HAS-PROPERTY stability'), GOVERNED-BY (concept-to-rule linkage: 'chair GOVERNED-BY gravity-rule'), PARTICIPATES-IN (concept-to-schema linkage: 'chair PARTICIPATES-IN sit-on-schema' as the object role), AFFORDS (concept-to-affordance linkage: 'chair AFFORDS sit-on'), CAUSES (causal relation between concepts: 'impact CAUSES deformation' if hardness &lt; threshold), and CONTRASTS-WITH (conceptual opposition: 'rigid CONTRASTS-WITH flexible'). The Concept Graph evolves continuously as ConceptMemory functions are invoked — new nodes are added, edge weights are adjusted, and nodes are merged or split. The Concept Graph is the internal structure of QueryBook's understanding of the world.</w:t>
            </w:r>
            <w:r>
              <w:rPr>
                <w:rFonts w:ascii="Calibri" w:cs="Calibri" w:eastAsia="Calibri" w:hAnsi="Calibri"/>
                <w:b/>
                <w:bCs/>
                <w:i w:val="false"/>
                <w:iCs w:val="false"/>
                <w:strike w:val="false"/>
                <w:color w:val="1A1A1A"/>
                <w:sz w:val="22"/>
                <w:szCs w:val="22"/>
              </w:rPr>
              <w:t xml:space="preserve">54.4 Core Functions54.4.1 ConceptMemory.Store(concept)</w:t>
            </w:r>
            <w:r>
              <w:rPr>
                <w:rFonts w:ascii="Calibri" w:cs="Calibri" w:eastAsia="Calibri" w:hAnsi="Calibri"/>
                <w:b/>
                <w:bCs/>
                <w:i w:val="false"/>
                <w:iCs w:val="false"/>
                <w:strike w:val="false"/>
                <w:color w:val="000000"/>
                <w:sz w:val="22"/>
                <w:szCs w:val="22"/>
              </w:rPr>
              <w:t xml:space="preserve">Stores a new Concept Node, Rule Node, or Schema Node in the CML. Invoked when: the Sensory Abstraction Pipeline produces a new abstraction that does not match any existing concept within the similarity threshold; the World Model Domain's WorldModel.Update() function identifies a new object type not yet represented in the CML; a Schema Node requires a new conceptual role not covered by existing Concept Nodes. Before storage, a deduplication check is performed: the new concept's Definition structure is compared against all existing Concept Nodes using semantic similarity scoring. If similarity exceeds the merge threshold, ConceptMemory.Merge() is invoked instead of Store(). If similarity is below the isolation threshold, the new Concept Node is stored with an initial Confidence derived from the abstraction quality score of the generating Sensory Abstraction Pipeline stage.</w:t>
            </w:r>
            <w:r>
              <w:rPr>
                <w:rFonts w:ascii="Calibri" w:cs="Calibri" w:eastAsia="Calibri" w:hAnsi="Calibri"/>
                <w:b/>
                <w:bCs/>
                <w:i w:val="false"/>
                <w:iCs w:val="false"/>
                <w:strike w:val="false"/>
                <w:color w:val="1A1A1A"/>
                <w:sz w:val="22"/>
                <w:szCs w:val="22"/>
              </w:rPr>
              <w:t xml:space="preserve">54.4.2 ConceptMemory.Update(conceptID, new_info)</w:t>
            </w:r>
            <w:r>
              <w:rPr>
                <w:rFonts w:ascii="Calibri" w:cs="Calibri" w:eastAsia="Calibri" w:hAnsi="Calibri"/>
                <w:b/>
                <w:bCs/>
                <w:i w:val="false"/>
                <w:iCs w:val="false"/>
                <w:strike w:val="false"/>
                <w:color w:val="000000"/>
                <w:sz w:val="22"/>
                <w:szCs w:val="22"/>
              </w:rPr>
              <w:t xml:space="preserve">Refines an existing Concept Node, Rule Node, or Schema Node with new information. Invoked when: new abstracted evidence strengthens or weakens an existing concept's confidence; new observations reveal attribute values not captured in the existing definition; confidence requires adjustment due to contradictory new evidence; concept boundaries require expansion or contraction based on newly observed instances. Behavior: Merges new_info into the existing node's Definition and Attributes structures. Adjusts Confidence proportionally to the quality and consistency of the new evidence using a Bayesian update rule. Appends a RevisionHistory entry recording the delta and the new Confidence value. Does not store the source episode.</w:t>
            </w:r>
            <w:r>
              <w:rPr>
                <w:rFonts w:ascii="Calibri" w:cs="Calibri" w:eastAsia="Calibri" w:hAnsi="Calibri"/>
                <w:b/>
                <w:bCs/>
                <w:i w:val="false"/>
                <w:iCs w:val="false"/>
                <w:strike w:val="false"/>
                <w:color w:val="1A1A1A"/>
                <w:sz w:val="22"/>
                <w:szCs w:val="22"/>
              </w:rPr>
              <w:t xml:space="preserve">54.4.3 ConceptMemory.ReviseRule(ruleID, evidence)</w:t>
            </w:r>
            <w:r>
              <w:rPr>
                <w:rFonts w:ascii="Calibri" w:cs="Calibri" w:eastAsia="Calibri" w:hAnsi="Calibri"/>
                <w:b/>
                <w:bCs/>
                <w:i w:val="false"/>
                <w:iCs w:val="false"/>
                <w:strike w:val="false"/>
                <w:color w:val="000000"/>
                <w:sz w:val="22"/>
                <w:szCs w:val="22"/>
              </w:rPr>
              <w:t xml:space="preserve">Updates a Rule Node in response to new evidence. Invoked when: a rule is encountered by a new observation that contradicts its EffectPattern (confidence reduction); a rule is confirmed by a high-quality observation (confidence increase); the rule's ConditionPattern requires specialization to exclude newly identified exceptions; the rule's ConditionPattern requires generalization to include newly identified applicable domains. Behavior: Adjusts the ConfidenceScore of the identified Rule Node. Modifies the ConditionPattern or EffectPattern as required for specialization or generalization. Appends a RevisionHistory entry. If ConfidenceScore falls below the minimum viability threshold, the Rule Node is flagged for human review before potential deprecation.</w:t>
            </w:r>
            <w:r>
              <w:rPr>
                <w:rFonts w:ascii="Calibri" w:cs="Calibri" w:eastAsia="Calibri" w:hAnsi="Calibri"/>
                <w:b/>
                <w:bCs/>
                <w:i w:val="false"/>
                <w:iCs w:val="false"/>
                <w:strike w:val="false"/>
                <w:color w:val="1A1A1A"/>
                <w:sz w:val="22"/>
                <w:szCs w:val="22"/>
              </w:rPr>
              <w:t xml:space="preserve">54.4.4 ConceptMemory.Merge(conceptA, conceptB)</w:t>
            </w:r>
            <w:r>
              <w:rPr>
                <w:rFonts w:ascii="Calibri" w:cs="Calibri" w:eastAsia="Calibri" w:hAnsi="Calibri"/>
                <w:b/>
                <w:bCs/>
                <w:i w:val="false"/>
                <w:iCs w:val="false"/>
                <w:strike w:val="false"/>
                <w:color w:val="000000"/>
                <w:sz w:val="22"/>
                <w:szCs w:val="22"/>
              </w:rPr>
              <w:t xml:space="preserve">Combines two Concept Nodes into a single unified node. Invoked when: two Concept Nodes are found to represent the same underlying concept (their Definition structures score above the merge threshold on semantic similarity comparison); overlapping concepts require consolidation to prevent redundant parallel reasoning paths; the Concept Graph contains redundant nodes that create ambiguity in rule and schema matching. Behavior: Creates a new merged Concept Node whose Definition is the union of conceptA and conceptB Definitions, whose Attributes set is the merged and deduplicated union of both attribute sets, and whose Confidence is the weighted average of both source confidences. Redirects all incoming and outgoing Concept Graph edges from both source nodes to the new merged node. Archives both source nodes with MERGED status. Updates all Rule Nodes and Schema Nodes that referenced either source node to reference the merged node.</w:t>
            </w:r>
            <w:r>
              <w:rPr>
                <w:rFonts w:ascii="Calibri" w:cs="Calibri" w:eastAsia="Calibri" w:hAnsi="Calibri"/>
                <w:b/>
                <w:bCs/>
                <w:i w:val="false"/>
                <w:iCs w:val="false"/>
                <w:strike w:val="false"/>
                <w:color w:val="1A1A1A"/>
                <w:sz w:val="22"/>
                <w:szCs w:val="22"/>
              </w:rPr>
              <w:t xml:space="preserve">54.4.5 ConceptMemory.Split(conceptID, criteria)</w:t>
            </w:r>
            <w:r>
              <w:rPr>
                <w:rFonts w:ascii="Calibri" w:cs="Calibri" w:eastAsia="Calibri" w:hAnsi="Calibri"/>
                <w:b/>
                <w:bCs/>
                <w:i w:val="false"/>
                <w:iCs w:val="false"/>
                <w:strike w:val="false"/>
                <w:color w:val="000000"/>
                <w:sz w:val="22"/>
                <w:szCs w:val="22"/>
              </w:rPr>
              <w:t xml:space="preserve">Divides a single Concept Node into two or more more-specific concept nodes. Invoked when: a Concept Node has become too broad — its Definition encompasses cases that require meaningfully different reasoning paths; new distinctions emerge from accumulated evidence that reveal previously unrecognized subcategories within the concept; the World Model Domain's reasoning accuracy degrades because a concept's breadth prevents precise rule matching. Behavior: Partitions the source Concept Node's Definition into two or more subsets according to the criteria specification. Creates new Concept Nodes for each partition with Confidence values initialized from the source node's Confidence, adjusted by the proportion of supporting evidence assigned to each partition. Redistributes Concept Graph edges based on which partition each connected node best aligns with. Archives the source node with SPLIT status.</w:t>
            </w:r>
            <w:r>
              <w:rPr>
                <w:rFonts w:ascii="Calibri" w:cs="Calibri" w:eastAsia="Calibri" w:hAnsi="Calibri"/>
                <w:b/>
                <w:bCs/>
                <w:i w:val="false"/>
                <w:iCs w:val="false"/>
                <w:strike w:val="false"/>
                <w:color w:val="1A1A1A"/>
                <w:sz w:val="22"/>
                <w:szCs w:val="22"/>
              </w:rPr>
              <w:t xml:space="preserve">54.4.6 ConceptMemory.Query(concept_query)</w:t>
            </w:r>
            <w:r>
              <w:rPr>
                <w:rFonts w:ascii="Calibri" w:cs="Calibri" w:eastAsia="Calibri" w:hAnsi="Calibri"/>
                <w:b/>
                <w:bCs/>
                <w:i w:val="false"/>
                <w:iCs w:val="false"/>
                <w:strike w:val="false"/>
                <w:color w:val="000000"/>
                <w:sz w:val="22"/>
                <w:szCs w:val="22"/>
              </w:rPr>
              <w:t xml:space="preserve">Retrieves conceptual knowledge from the CML in response to an internal QueryBook domain request. This is the primary function through which QueryBook 'thinks' using its conceptual memory. Invoked by: the Semantic Q&amp;A Domain when resolving the conceptual meaning of a query term; the Reasoning Domain when constructing multi-hop inference chains; and the World Model Domain when populating WorldModel.Query() response packages. Input: A structured concept_query specifying: target concept identifiers or semantic similarity anchors, required relation types (IS-A, AFFORDS, GOVERNED-BY, etc.), confidence threshold filters, and domain scope constraints. Output: A ranked set of matching Concept Nodes, Rule Nodes, Schema Nodes, and Concept Graph paths, with ConfidenceScore values and the typed edge paths connecting the retrieved nodes.</w:t>
            </w:r>
            <w:r>
              <w:rPr>
                <w:rFonts w:ascii="Calibri" w:cs="Calibri" w:eastAsia="Calibri" w:hAnsi="Calibri"/>
                <w:b/>
                <w:bCs/>
                <w:i w:val="false"/>
                <w:iCs w:val="false"/>
                <w:strike w:val="false"/>
                <w:color w:val="1A1A1A"/>
                <w:sz w:val="22"/>
                <w:szCs w:val="22"/>
              </w:rPr>
              <w:t xml:space="preserve">54.5 What the CML Does Not Store</w:t>
            </w:r>
            <w:r>
              <w:rPr>
                <w:rFonts w:ascii="Calibri" w:cs="Calibri" w:eastAsia="Calibri" w:hAnsi="Calibri"/>
                <w:b/>
                <w:bCs/>
                <w:i w:val="false"/>
                <w:iCs w:val="false"/>
                <w:strike w:val="false"/>
                <w:color w:val="000000"/>
                <w:sz w:val="22"/>
                <w:szCs w:val="22"/>
              </w:rPr>
              <w:t xml:space="preserve">The following categories of information are architecturally excluded from the CML and cannot be stored in it under any operational condition: (1) Raw ingested source material of any modality — audio waveforms, image pixel data, video frames, or document source text. (2) Episodic memories — the specific circumstances, events, or contexts in which a concept was learned. (3) QueryBook Fact Units — the CML is a conceptual layer, not a Fact Store; individual facts about specific entities are stored in the Fact Graph, not in the CML. (4) Conversation logs or session histories — the CML has no awareness of individual user interactions. (5) Circumstances, events, or logs of any kind. The CML contains only concepts, rules, schemas, and their relations — the distilled structural understanding of the world.</w:t>
            </w:r>
          </w:p>
          <w:p>
            <w:pPr>
              <w:pStyle w:val="Heading1"/>
              <w:spacing w:after="120" w:before="240" w:line="288" w:lineRule="auto"/>
            </w:pPr>
            <w:r>
              <w:rPr>
                <w:rFonts w:ascii="Calibri" w:cs="Calibri" w:eastAsia="Calibri" w:hAnsi="Calibri"/>
                <w:color w:val="000000"/>
                <w:sz w:val="32"/>
                <w:szCs w:val="32"/>
              </w:rPr>
              <w:t xml:space="preserve">Chapter 55: Sensory Abstraction Pipeline (SAP)</w:t>
            </w:r>
          </w:p>
          <w:p>
            <w:r>
              <w:rPr>
                <w:rFonts w:ascii="Calibri" w:cs="Calibri" w:eastAsia="Calibri" w:hAnsi="Calibri"/>
                <w:b/>
                <w:bCs/>
                <w:i w:val="false"/>
                <w:iCs w:val="false"/>
                <w:strike w:val="false"/>
                <w:color w:val="1A1A1A"/>
                <w:sz w:val="22"/>
                <w:szCs w:val="22"/>
              </w:rPr>
              <w:t xml:space="preserve">55.1 Purpose and Role</w:t>
            </w:r>
            <w:r>
              <w:rPr>
                <w:rFonts w:ascii="Calibri" w:cs="Calibri" w:eastAsia="Calibri" w:hAnsi="Calibri"/>
                <w:b/>
                <w:bCs/>
                <w:i w:val="false"/>
                <w:iCs w:val="false"/>
                <w:strike w:val="false"/>
                <w:color w:val="000000"/>
                <w:sz w:val="22"/>
                <w:szCs w:val="22"/>
              </w:rPr>
              <w:t xml:space="preserve">The Sensory Abstraction Pipeline (SAP) is the ingestion and abstraction engine that transforms raw multimodal content streams — audio, visual, text, and structured data inputs drawn from ingested ebook and media content — into structured, language-neutral conceptual representations suitable for ingestion by the World Model Domain and the Conceptual Memory Layer. The SAP sits architecturally between the Multimodal Ingestion Pipeline (Chapter 4) and the conceptual knowledge structures of the WASM. Its defining property is what it discards: raw sensory episodes are never stored beyond the SAP boundary. Only the structured abstractions that survive the pipeline reach the World Model Domain and CML.</w:t>
            </w:r>
            <w:r>
              <w:rPr>
                <w:rFonts w:ascii="Calibri" w:cs="Calibri" w:eastAsia="Calibri" w:hAnsi="Calibri"/>
                <w:b/>
                <w:bCs/>
                <w:i w:val="false"/>
                <w:iCs w:val="false"/>
                <w:strike w:val="false"/>
                <w:color w:val="1A1A1A"/>
                <w:sz w:val="22"/>
                <w:szCs w:val="22"/>
              </w:rPr>
              <w:t xml:space="preserve">55.2 Abstraction Pipeline — Eight Stages</w:t>
            </w:r>
            <w:r>
              <w:rPr>
                <w:rFonts w:ascii="Calibri" w:cs="Calibri" w:eastAsia="Calibri" w:hAnsi="Calibri"/>
                <w:b/>
                <w:bCs/>
                <w:i w:val="false"/>
                <w:iCs w:val="false"/>
                <w:strike w:val="false"/>
                <w:color w:val="000000"/>
                <w:sz w:val="22"/>
                <w:szCs w:val="22"/>
              </w:rPr>
              <w:t xml:space="preserve">The SAP operates as an eight-stage sequential processing pipeline: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1 — Raw Content Stream Capture: Accepts raw multimodal content streams produced by the Multimodal Ingestion Pipeline. Input types: audio waveforms (from audiobook or media content), image frames and video sequences (from illustrated or multimedia content), structured text passages, and metadata streams drawn from ingested ebook and media assets. Buffers a rolling temporal window of raw content data in a protected ephemeral buffer that is automatically purged after Stage 8 completes.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2 — Content Preprocessing: Applies modality-specific preprocessing: audio normalization and speech segmentation, image denoising and contrast enhancement, text cleaning and tokenization boundary detection, structured data normalization. Outputs cleaned, normalized content representations. Still pre-semantic at this stage.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3 — Content Feature Extraction: Extracts content primitives from cleaned signals: audio — pitch contour, amplitude envelope, spectral features, harmonic structure, speaker segmentation markers; visual — edges, surfaces, motion vectors, color regions, compositional structure, text region detection; text — syntactic structure, named entity spans, co-reference chains, discourse markers. Outputs structured content feature vectors. Still pre-semantic.</w:t>
            </w:r>
          </w:p>
          <w:p>
            <w:pPr>
              <w:pStyle w:val="Heading3"/>
              <w:spacing w:after="120" w:before="200" w:line="288" w:lineRule="auto"/>
            </w:pPr>
            <w:r>
              <w:rPr>
                <w:rFonts w:ascii="Calibri" w:cs="Calibri" w:eastAsia="Calibri" w:hAnsi="Calibri"/>
                <w:color w:val="000000"/>
                <w:sz w:val="28"/>
                <w:szCs w:val="28"/>
              </w:rPr>
              <w:t xml:space="preserve">55.2.1 Ego-Motion Compensation for Non-Stationary Capture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3's motion vectors, as extracted from a body-worn, handheld, or otherwise non-stationary camera, conflate two distinct sources of apparent motion: an object's own true motion, and apparent motion caused by the camera's own movement. Left uncorrected, significant camera motion degrades Stage 4's object and scene segmentation, since the differential-motion cues that segmentation relies on become unreliable when the entire visual field is shifting. This section adds ego-motion compensation, a well-established computer vision technique (Elek et al., 2020, ROBOVIS; Hariyono, Hoang &amp; Jo, 2014, ACIIDS), between Stage 3 and Stage 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OPTICAL FLOW, NOT A TRAINED MODEL, AND NO CHANGE TO SCOPE</w:t>
                  </w:r>
                  <w:r>
                    <w:rPr>
                      <w:rFonts w:ascii="Calibri" w:cs="Calibri" w:eastAsia="Calibri" w:hAnsi="Calibri"/>
                      <w:b/>
                      <w:bCs/>
                      <w:i w:val="false"/>
                      <w:iCs w:val="false"/>
                      <w:strike w:val="false"/>
                      <w:color w:val="333333"/>
                      <w:sz w:val="24"/>
                      <w:szCs w:val="24"/>
                    </w:rPr>
                    <w:t xml:space="preserve">Classical ego-motion compensation — optical flow estimation via a deterministic method such as Lucas-Kanade feature tracking, followed by histogram-based separation of the flow component consistent with camera movement from residual object-specific motion — is adopted here, consistent with Chapter 101's methodology; a learned or trained optical-flow model is not required and is not adopted by this section. This section improves detection and segmentation accuracy under camera motion; it introduces no tracking, re-identification, or persistent-identity capability for any detected object or agent, and does not alter §91's exclusion of person or animal results from Personal Object Location's result set. An Agent-type node — a detected person, including a child — is classified and represented exactly as any other Object Layer node under §53.3.1, correctly segmented from the background regardless of camera motion, with no additional capability beyond accurate detection in that single frame.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compensation process: (1) estimate the camera's own motion from the aggregate flow-vector field across the frame, using the assumption that most of the visual field reflects camera movement rather than independently-moving objects; (2) subtract the estimated ego-motion component from each region's raw motion vector; (3) pass the compensated, residual motion vectors — now reflecting true object motion with camera-induced apparent motion removed — to Stage 4's object and scene segmentation in place of Stage 3's raw, uncompensated vectors. Where camera motion is minimal or absent, the estimated ego-motion component approaches zero and compensated vectors converge to the raw values, so this section changes nothing for a stationary or near-stationary capture.</w:t>
            </w:r>
          </w:p>
          <w:p>
            <w:pPr>
              <w:pStyle w:val="Heading3"/>
              <w:spacing w:after="120" w:before="200" w:line="288" w:lineRule="auto"/>
            </w:pPr>
            <w:r>
              <w:rPr>
                <w:rFonts w:ascii="Calibri" w:cs="Calibri" w:eastAsia="Calibri" w:hAnsi="Calibri"/>
                <w:color w:val="000000"/>
                <w:sz w:val="28"/>
                <w:szCs w:val="28"/>
              </w:rPr>
              <w:t xml:space="preserve">55.2.2 Intersensory Redundancy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property of a perceived event is confirmed across multiple simultaneously-available modalities — for example, a visually-observed impact co-occurring with a synchronized impact sound — that property receives elevated confidence weighting at Stage 3 relative to a property observed through only one modality, following the Intersensory Redundancy Hypothesis (Bahrick &amp; Lickliter, 2000, Developmental Psychology 36:190–201; Bahrick, Lickliter &amp; Flom, 2004, Current Directions in Psychological Science 13:99–102): temporally synchronous, cross-modally confirmed properties are prioritized over modality-specific properties available through only one sense.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adds a confidence-weighting rule to Stage 3's existing feature extraction; it introduces no new modality, sensor type, or extraction mechanism beyond what Stage 1–Stage 3 already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Weighting is computed from temporal synchrony between concurrently-available modality streams already present in Stage 1's input; where only one modality is available for a given property, no cross-modal weighting applies and the property's confidence is computed exactly as already specified.</w:t>
            </w:r>
          </w:p>
          <w:p>
            <w:pPr>
              <w:pStyle w:val="Heading3"/>
              <w:spacing w:after="120" w:before="200" w:line="288" w:lineRule="auto"/>
            </w:pPr>
            <w:r>
              <w:rPr>
                <w:rFonts w:ascii="Calibri" w:cs="Calibri" w:eastAsia="Calibri" w:hAnsi="Calibri"/>
                <w:color w:val="000000"/>
                <w:sz w:val="28"/>
                <w:szCs w:val="28"/>
              </w:rPr>
              <w:t xml:space="preserve">55.2.3 Object Permanence — Precise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Stage 4's object permanence tracking, previously described only as “identifying entities that persist across scene changes,” is formalized here against its real developmental-psychology correspondent (Piaget, 1954, The Construction of Reality in the Child): the understanding that an object continues to exist even when it is not currently perceivable — fully occluded, out of frame, or otherwise temporarily unavailable to any sensory modality — rather than only tracking an entity's identity across visible scene transitions.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MECHANISM, PRECISE SCOPE</w:t>
                  </w:r>
                  <w:r>
                    <w:rPr>
                      <w:rFonts w:ascii="Calibri" w:cs="Calibri" w:eastAsia="Calibri" w:hAnsi="Calibri"/>
                      <w:b/>
                      <w:bCs/>
                      <w:i w:val="false"/>
                      <w:iCs w:val="false"/>
                      <w:strike w:val="false"/>
                      <w:color w:val="333333"/>
                      <w:sz w:val="24"/>
                      <w:szCs w:val="24"/>
                    </w:rPr>
                    <w:t xml:space="preserve">This section clarifies scope; it does not add a new tracking or re-identification mechanism, and does not extend Stage 4 toward any capability beyond correctly maintaining a single Object Layer node's continuity when that specific object is temporarily unobservable within the same ingestion session — it introduces no persistent identity, no cross-session tracking, and no capability inconsistent with §55.2.1's existing single-frame-detection scope or §91's person/animal exclusion.</w:t>
                  </w:r>
                </w:p>
              </w:tc>
            </w:tr>
          </w:tbl>
          <w:p>
            <w:pPr>
              <w:spacing w:after="200" w:before="0"/>
            </w:pPr>
          </w:p>
          <w:p/>
          <w:p>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4 — Object and Event Detection: Applies object detection, scene segmentation, and event recognition to perceptual features. Identifies discrete objects, agents, environments, and events in the sensory stream. Maps detected entities to candidate Object Layer node identifiers from the World Model Domain using the QB-ER (Entity Registry) lookup. Outputs a structured detection manifest: list of (EntityType, CandidateObjectID, DetectionConfidence, TemporalBound, SpatialBound)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5 — Relation and Affordance Extraction: Infers spatial, temporal, and causal relations between detected entities. Maps detected action patterns to Affordance Layer identifiers. Outputs a structured relation manifest: list of (SubjectObjectID, RelationType, TargetObjectID, Confidence, TemporalBound) tuples and an affordance activation manifest: list of (AgentObjectID, AffordanceID, ObjectObjectID, ContextConstraintSatisfied) tuples.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6 — Pattern Recognition and Generalization: Compares the detection and relation manifests against existing CML Concept Nodes, Rule Nodes, and Schema Nodes using ConceptMemory.Query(). Identifies whether the observed pattern matches, partially matches, contradicts, or extends existing conceptual knowledge. Generates a pattern assessment: CONFIRM (existing concept supported), EXTEND (existing concept requires update), CONTRADICT (existing rule or schema contradicted by observation), or NEW (no matching concept — new abstraction required).</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7 — Abstraction Generation: Produces structured abstraction packages — the outputs that will be passed to the World Model Domain and CML. Each abstraction package contains: one or more structured concept descriptions (ConceptID or NEW_CONCEPT flag, Definition fragment, Attribute deltas, Confidence delta, evidence quality score), one or more relation assertions (matching Relation Layer format), zero or more rule updates (matching RevisionHistory format), and zero or more schema confirmations or updates. Abstraction packages contain no raw sensory data.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Stage 8 — Episode Purge and Dispatch: The ephemeral buffer containing all raw sensory data from Stages 1–3 is cryptographically purged. The Abstraction Package from Stage 7 is dispatched to WorldModel.Update() and ConceptMemory.Store() or ConceptMemory.Update() as appropriate. A SAP Provenance Record is written to the Provenance Ledger recording: SAP session ID, input modalities, number of abstraction packages generated, dispatch timestamp, and purge confirmation hash — but no raw sensory content.</w:t>
            </w:r>
            <w:r>
              <w:rPr>
                <w:rFonts w:ascii="Calibri" w:cs="Calibri" w:eastAsia="Calibri" w:hAnsi="Calibri"/>
                <w:b/>
                <w:bCs/>
                <w:i w:val="false"/>
                <w:iCs w:val="false"/>
                <w:strike w:val="false"/>
                <w:color w:val="1A1A1A"/>
                <w:sz w:val="22"/>
                <w:szCs w:val="22"/>
              </w:rPr>
              <w:t xml:space="preserve">55.3 SAP Design Constraints</w:t>
            </w:r>
            <w:r>
              <w:rPr>
                <w:rFonts w:ascii="Calibri" w:cs="Calibri" w:eastAsia="Calibri" w:hAnsi="Calibri"/>
                <w:b/>
                <w:bCs/>
                <w:i w:val="false"/>
                <w:iCs w:val="false"/>
                <w:strike w:val="false"/>
                <w:color w:val="000000"/>
                <w:sz w:val="22"/>
                <w:szCs w:val="22"/>
              </w:rPr>
              <w:t xml:space="preserve">The SAP must satisfy the following constraints: (1) No persistent storage of raw content stream data — the ephemeral buffer is the only location where raw content data exists, and it is purged at Stage 8 without exception. (2) No episode forwarding — abstraction packages passed to the World Model Domain and CML contain no reference to the specific circumstances, time, or context of the sensory experience that produced them. (3) Modality-agnostic abstraction format — abstraction packages use the same structured format regardless of input modality (audio, visual, text, structured data), enabling the World Model Domain and CML to consume them through a single, unified interface. (4) Confidence propagation — every abstraction carries a quality-calibrated confidence score derived from detection confidence, model agreement, and corroboration depth within the sensory window.</w:t>
            </w:r>
          </w:p>
          <w:p>
            <w:pPr>
              <w:pStyle w:val="Heading1"/>
              <w:spacing w:after="120" w:before="240" w:line="288" w:lineRule="auto"/>
            </w:pPr>
            <w:r>
              <w:rPr>
                <w:rFonts w:ascii="Calibri" w:cs="Calibri" w:eastAsia="Calibri" w:hAnsi="Calibri"/>
                <w:color w:val="000000"/>
                <w:sz w:val="32"/>
                <w:szCs w:val="32"/>
              </w:rPr>
              <w:t xml:space="preserve">Chapter 56: RMD — Robot Memory Domain — Autonomous Agent Integration with the Fact Universe</w:t>
            </w:r>
          </w:p>
          <w:p>
            <w:r>
              <w:rPr>
                <w:rFonts w:ascii="Calibri" w:cs="Calibri" w:eastAsia="Calibri" w:hAnsi="Calibri"/>
                <w:b/>
                <w:bCs/>
                <w:i w:val="false"/>
                <w:iCs w:val="false"/>
                <w:strike w:val="false"/>
                <w:color w:val="1A1A1A"/>
                <w:sz w:val="22"/>
                <w:szCs w:val="22"/>
              </w:rPr>
              <w:t xml:space="preserve">56.2 What the RMD Stores</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Acquisition Records: Which Concept Nodes from the CML have been learned or confirmed through robotic operational experience, including the current ConfidenceScore for each concept as understood from the robot's operational perspective.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Concept Evolution Logs (Conceptual, Not Episodic): How each concept's confidence has changed over operational time — expressed as a sequence of (timestamp, ConceptID, old_confidence, new_confidence, revision_type) tuples, with no reference to the specific task or environment that produced each change.</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Skill Competency Map: A structured map of which Schema Nodes from the CML the robotic agent has successfully executed, partially executed, or failed to execute, with associated competency scores representing the robot's operational proficiency at each schema.</w:t>
            </w:r>
            <w:r>
              <w:rPr>
                <w:rFonts w:ascii="Calibri" w:cs="Calibri" w:eastAsia="Calibri" w:hAnsi="Calibri"/>
                <w:b/>
                <w:bCs/>
                <w:i w:val="false"/>
                <w:iCs w:val="false"/>
                <w:strike w:val="false"/>
                <w:color w:val="333333"/>
                <w:sz w:val="24"/>
                <w:szCs w:val="24"/>
              </w:rPr>
              <w:t xml:space="preserve">• </w:t>
            </w:r>
            <w:r>
              <w:rPr>
                <w:rFonts w:ascii="Calibri" w:cs="Calibri" w:eastAsia="Calibri" w:hAnsi="Calibri"/>
                <w:b/>
                <w:bCs/>
                <w:i w:val="false"/>
                <w:iCs w:val="false"/>
                <w:strike w:val="false"/>
                <w:color w:val="000000"/>
                <w:sz w:val="22"/>
                <w:szCs w:val="22"/>
              </w:rPr>
              <w:t xml:space="preserve">Active World Model State Reference: A pointer to the current World Model Domain state as it applies to the robot's current operational context — not a copy of the world model, but a reference enabling efficient WorldModel.Query() and WorldModel.Infer() calls scoped to the robot's current environment.</w:t>
            </w:r>
            <w:r>
              <w:rPr>
                <w:rFonts w:ascii="Calibri" w:cs="Calibri" w:eastAsia="Calibri" w:hAnsi="Calibri"/>
                <w:b/>
                <w:bCs/>
                <w:i w:val="false"/>
                <w:iCs w:val="false"/>
                <w:strike w:val="false"/>
                <w:color w:val="1A1A1A"/>
                <w:sz w:val="22"/>
                <w:szCs w:val="22"/>
              </w:rPr>
              <w:t xml:space="preserve">56.3 What the RMD Does Not Store</w:t>
            </w:r>
            <w:r>
              <w:rPr>
                <w:rFonts w:ascii="Calibri" w:cs="Calibri" w:eastAsia="Calibri" w:hAnsi="Calibri"/>
                <w:b/>
                <w:bCs/>
                <w:i w:val="false"/>
                <w:iCs w:val="false"/>
                <w:strike w:val="false"/>
                <w:color w:val="000000"/>
                <w:sz w:val="22"/>
                <w:szCs w:val="22"/>
              </w:rPr>
              <w:t xml:space="preserve">The RMD does not store: (1) Raw sensory episodes — video frames, audio recordings, force sensor logs, depth maps, or any other raw sensory data from the robot's operational experience. (2) Episodic task memories — what the robot was doing, where it was, or what happened during specific operational sessions. (3) Conversation logs — no record of interactions between the robotic agent and human users or other agents is retained in the RMD. (4) QueryBook Fact Units — the RMD does not duplicate the Fact Store. Individual facts about specific entities remain in the Fact Graph. (5) CML concept definitions — the RMD references CML concepts by ConceptID; it does not copy or re-store the concept definitions. The RMD contains operational awareness, not operational history.</w:t>
            </w:r>
            <w:r>
              <w:rPr>
                <w:rFonts w:ascii="Calibri" w:cs="Calibri" w:eastAsia="Calibri" w:hAnsi="Calibri"/>
                <w:b/>
                <w:bCs/>
                <w:i w:val="false"/>
                <w:iCs w:val="false"/>
                <w:strike w:val="false"/>
                <w:color w:val="1A1A1A"/>
                <w:sz w:val="22"/>
                <w:szCs w:val="22"/>
              </w:rPr>
              <w:t xml:space="preserve">56.4 RMD Integration Architecture</w:t>
            </w:r>
            <w:r>
              <w:rPr>
                <w:rFonts w:ascii="Calibri" w:cs="Calibri" w:eastAsia="Calibri" w:hAnsi="Calibri"/>
                <w:b/>
                <w:bCs/>
                <w:i w:val="false"/>
                <w:iCs w:val="false"/>
                <w:strike w:val="false"/>
                <w:color w:val="000000"/>
                <w:sz w:val="22"/>
                <w:szCs w:val="22"/>
              </w:rPr>
              <w:t xml:space="preserve">The Robot Memory Domain integrates with three other QueryBook architectural components: (1) Conceptual Memory Layer: The RMD reads from the CML via ConceptMemory.Query() to retrieve concept definitions, rules, and schemas needed for operational planning. The RMD writes to the CML via ConceptMemory.Update() when robotic operational experience produces new evidence that should refine an existing concept. (2) World Model Domain: The RMD issues WorldModel.Query() and WorldModel.Infer() calls scoped to the robot's current operational environment. The RMD forwards structured sensory abstractions from the SAP to WorldModel.Update() after each robotic interaction. (3) Sensory Abstraction Pipeline: The RMD coordinates the SAP's operation during robotic tasks, configuring the abstraction window duration, the detection confidence thresholds, and the dispatch routing (which abstractions go to WorldModel.Update() vs. ConceptMemory.Store()). The RMD does not receive or buffer raw sensory output from the SAP — only the final abstraction packages.</w:t>
            </w:r>
            <w:r>
              <w:rPr>
                <w:rFonts w:ascii="Calibri" w:cs="Calibri" w:eastAsia="Calibri" w:hAnsi="Calibri"/>
                <w:b/>
                <w:bCs/>
                <w:i w:val="false"/>
                <w:iCs w:val="false"/>
                <w:strike w:val="false"/>
                <w:color w:val="1A1A1A"/>
                <w:sz w:val="22"/>
                <w:szCs w:val="22"/>
              </w:rPr>
              <w:t xml:space="preserve">56.5 RMD Safety and Compliance</w:t>
            </w:r>
            <w:r>
              <w:rPr>
                <w:rFonts w:ascii="Calibri" w:cs="Calibri" w:eastAsia="Calibri" w:hAnsi="Calibri"/>
                <w:b/>
                <w:bCs/>
                <w:i w:val="false"/>
                <w:iCs w:val="false"/>
                <w:strike w:val="false"/>
                <w:color w:val="000000"/>
                <w:sz w:val="22"/>
                <w:szCs w:val="22"/>
              </w:rPr>
              <w:t xml:space="preserve">The Robot Memory Domain is subject to the full Safety Substrate enforcement stack (Chapter 8). All RMD read and write operations are logged to the Provenance Ledger. Concept Acquisition Records are classified at minimum SENSITIVE and require authentication for access. The RMD is isolated from the Semantic Q&amp;A Domain — user-facing query responses are never constructed from RMD data directly. Any operational insight derived from robotic experience that is intended to inform user-facing responses must first pass through the CML abstraction pathway and be expressed as a certified Concept Node update before it may influence response generation.</w:t>
            </w:r>
          </w:p>
          <w:p>
            <w:pPr>
              <w:pStyle w:val="Heading1"/>
              <w:spacing w:after="120" w:before="240" w:line="288" w:lineRule="auto"/>
            </w:pPr>
            <w:r>
              <w:rPr>
                <w:rFonts w:ascii="Calibri" w:cs="Calibri" w:eastAsia="Calibri" w:hAnsi="Calibri"/>
                <w:color w:val="000000"/>
                <w:sz w:val="32"/>
                <w:szCs w:val="32"/>
              </w:rPr>
              <w:t xml:space="preserve">Chapter 57: The Fact Unit as a Paradigm Breakthrough — Below-Language Meaning Storage</w:t>
            </w:r>
          </w:p>
          <w:p>
            <w:r>
              <w:rPr>
                <w:rFonts w:ascii="Calibri" w:cs="Calibri" w:eastAsia="Calibri" w:hAnsi="Calibri"/>
                <w:b/>
                <w:bCs/>
                <w:i w:val="false"/>
                <w:iCs w:val="false"/>
                <w:strike w:val="false"/>
                <w:color w:val="1A1A1A"/>
                <w:sz w:val="22"/>
                <w:szCs w:val="22"/>
              </w:rPr>
              <w:t xml:space="preserve">57.1 The Fundamental Shift</w:t>
            </w:r>
            <w:r>
              <w:rPr>
                <w:rFonts w:ascii="Calibri" w:cs="Calibri" w:eastAsia="Calibri" w:hAnsi="Calibri"/>
                <w:b/>
                <w:bCs/>
                <w:i w:val="false"/>
                <w:iCs w:val="false"/>
                <w:strike w:val="false"/>
                <w:color w:val="000000"/>
                <w:sz w:val="22"/>
                <w:szCs w:val="22"/>
              </w:rPr>
              <w:t xml:space="preserve">The Fact Unit architecture represents a paradigm shift in information storage and retrieval of equivalent magnitude to moving from phonetic transcription to musical notation — from capturing the surface expression to capturing the underlying structure. LLMs and all their derivatives — chatbots, RAG pipelines, AI applications — operate entirely at the surface level of language. They store and retrieve information as token sequences, statistical correlations, and probability distributions over next words. This means they do not store meaning. They store patterns of text. Everything an LLM 'knows' is entangled with the language in which it was written. QueryBook is architecturally different at the most fundamental level: it stores information as Fact Units — atomic, language-agnostic semantic structures that represent what something is, not how it was written. This distinction is not incremental. It is categorical.</w:t>
            </w:r>
            <w:r>
              <w:rPr>
                <w:rFonts w:ascii="Calibri" w:cs="Calibri" w:eastAsia="Calibri" w:hAnsi="Calibri"/>
                <w:b/>
                <w:bCs/>
                <w:i w:val="false"/>
                <w:iCs w:val="false"/>
                <w:strike w:val="false"/>
                <w:color w:val="1A1A1A"/>
                <w:sz w:val="22"/>
                <w:szCs w:val="22"/>
              </w:rPr>
              <w:t xml:space="preserve">57.2 How LLMs Store and Retrieve Information</w:t>
            </w:r>
            <w:r>
              <w:rPr>
                <w:rFonts w:ascii="Calibri" w:cs="Calibri" w:eastAsia="Calibri" w:hAnsi="Calibri"/>
                <w:b/>
                <w:bCs/>
                <w:i w:val="false"/>
                <w:iCs w:val="false"/>
                <w:strike w:val="false"/>
                <w:color w:val="000000"/>
                <w:sz w:val="22"/>
                <w:szCs w:val="22"/>
              </w:rPr>
              <w:t xml:space="preserve">Large Language Models encode knowledge as statistical relationships between tokens in high-dimensional vector spaces trained over vast corpora of text. At inference time, they retrieve information by predicting the most statistically probable continuation of a token sequence given a prompt. This approach has three structural consequences that cannot be engineered away: (1) Hallucination is intrinsic — when the probability distribution over next tokens yields a plausible but factually incorrect continuation, the LLM has no mechanism to detect or prevent it, because it has no stored ground truth to check against. (2) Meaning is language-bound — the same fact expressed in English and Mandarin occupies different statistical neighborhoods in the model's parameter space; cross-lingual equivalence is approximated, not computed. (3) Retrieval is linguistic similarity search — a query retrieves text that looks like an answer, not text that is the answer. The difference between linguistic resemblance and semantic identity is the gap between an LLM and QueryBook.</w:t>
            </w:r>
            <w:r>
              <w:rPr>
                <w:rFonts w:ascii="Calibri" w:cs="Calibri" w:eastAsia="Calibri" w:hAnsi="Calibri"/>
                <w:b/>
                <w:bCs/>
                <w:i w:val="false"/>
                <w:iCs w:val="false"/>
                <w:strike w:val="false"/>
                <w:color w:val="1A1A1A"/>
                <w:sz w:val="22"/>
                <w:szCs w:val="22"/>
              </w:rPr>
              <w:t xml:space="preserve">57.3 How QueryBook Stores and Retrieves Information</w:t>
            </w:r>
            <w:r>
              <w:rPr>
                <w:rFonts w:ascii="Calibri" w:cs="Calibri" w:eastAsia="Calibri" w:hAnsi="Calibri"/>
                <w:b/>
                <w:bCs/>
                <w:i w:val="false"/>
                <w:iCs w:val="false"/>
                <w:strike w:val="false"/>
                <w:color w:val="000000"/>
                <w:sz w:val="22"/>
                <w:szCs w:val="22"/>
              </w:rPr>
              <w:t xml:space="preserve">QueryBook converts all ingested content into Fact Units: atomic, language-agnostic semantic structures that encode meaning as mathematically precise semantic triples anchored in the Fact Graph. Each Fact Unit is: atomic (indivisible — it encodes exactly one semantic assertion), language-agnostic (independent of the language in which the source content was written — the same meaning expressed in English, Spanish, or Japanese produces the same Fact Unit, identified by the same Semantic Hash), deterministic (given the same Fact Unit and the same query, QueryBook produces the same answer every time), hypergraph-anchored (positioned as a node in the typed, weighted Fact Graph, enabling multi-hop traversal across conceptual relationships), and provenance-bound (every Fact Unit is cryptographically linked to its source content via the DPH and the Provenance Ledger). QueryBook retrieves meaning by searching for semantic identity — locating the exact concept node in the Fact Graph — not by searching for linguistic similarity. This distinction eliminates hallucination architecturally: every answer is assembled from stored Fact Units, and no output can be generated that is not traceable to a specific, verified Fact Unit.</w:t>
            </w:r>
            <w:r>
              <w:rPr>
                <w:rFonts w:ascii="Calibri" w:cs="Calibri" w:eastAsia="Calibri" w:hAnsi="Calibri"/>
                <w:b/>
                <w:bCs/>
                <w:i w:val="false"/>
                <w:iCs w:val="false"/>
                <w:strike w:val="false"/>
                <w:color w:val="1A1A1A"/>
                <w:sz w:val="22"/>
                <w:szCs w:val="22"/>
              </w:rPr>
              <w:t xml:space="preserve">57.4 The Structural Comparison — QueryBook vs. LLM Derivatives</w:t>
            </w:r>
            <w:r>
              <w:rPr>
                <w:rFonts w:ascii="Calibri" w:cs="Calibri" w:eastAsia="Calibri" w:hAnsi="Calibri"/>
                <w:b/>
                <w:bCs/>
                <w:i w:val="false"/>
                <w:iCs w:val="false"/>
                <w:strike w:val="false"/>
                <w:color w:val="333333"/>
                <w:sz w:val="24"/>
                <w:szCs w:val="24"/>
              </w:rPr>
              <w:t xml:space="preserve">SystemStorage UnitRetrieval MechanismReasoning TypeHallucination RiskCross-LanguageLLMTokens / statistical parametersProbability distribution over next tokensNone — pattern completionIntrinsic and unavoidableApproximatedRAG PipelineDocument chunks + vector embeddingsApproximate nearest-neighbor vector searchNone — retrieved text is returned as-isHigh — retrieval errors propagatePoor — embeddings are language-influencedChatbotToken stream context windowPrompt continuationNoneIntrinsicApproximatedQueryBookFact Units — language-agnostic semantic triplesDeterministic semantic identity lookup in the Fact GraphDeterministic multi-hop symbolic reasoningZero — all outputs are Fact Unit groundedExact — Semantic Hash is language-independent</w:t>
            </w:r>
            <w:r>
              <w:rPr>
                <w:rFonts w:ascii="Calibri" w:cs="Calibri" w:eastAsia="Calibri" w:hAnsi="Calibri"/>
                <w:b/>
                <w:bCs/>
                <w:i w:val="false"/>
                <w:iCs w:val="false"/>
                <w:strike w:val="false"/>
                <w:color w:val="1A1A1A"/>
                <w:sz w:val="22"/>
                <w:szCs w:val="22"/>
              </w:rPr>
              <w:t xml:space="preserve">57.5 Efficiency Gains — Compute, Electricity, Hardware, and Cooling</w:t>
            </w:r>
            <w:r>
              <w:rPr>
                <w:rFonts w:ascii="Calibri" w:cs="Calibri" w:eastAsia="Calibri" w:hAnsi="Calibri"/>
                <w:b/>
                <w:bCs/>
                <w:i w:val="false"/>
                <w:iCs w:val="false"/>
                <w:strike w:val="false"/>
                <w:color w:val="000000"/>
                <w:sz w:val="22"/>
                <w:szCs w:val="22"/>
              </w:rPr>
              <w:t xml:space="preserve">Because QueryBook stores meaning directly as structured Fact Units rather than distributing meaning implicitly across billions of learned statistical parameters, it avoids the enormous computational overhead that LLM-based systems incur at every layer of their operation. The efficiency gains are quantifiable across five dimensions:</w:t>
            </w:r>
            <w:r>
              <w:rPr>
                <w:rFonts w:ascii="Calibri" w:cs="Calibri" w:eastAsia="Calibri" w:hAnsi="Calibri"/>
                <w:b/>
                <w:bCs/>
                <w:i w:val="false"/>
                <w:iCs w:val="false"/>
                <w:strike w:val="false"/>
                <w:color w:val="1A1A1A"/>
                <w:sz w:val="22"/>
                <w:szCs w:val="22"/>
              </w:rPr>
              <w:t xml:space="preserve">57.5.1 Model Footprint</w:t>
            </w:r>
            <w:r>
              <w:rPr>
                <w:rFonts w:ascii="Calibri" w:cs="Calibri" w:eastAsia="Calibri" w:hAnsi="Calibri"/>
                <w:b/>
                <w:bCs/>
                <w:i w:val="false"/>
                <w:iCs w:val="false"/>
                <w:strike w:val="false"/>
                <w:color w:val="000000"/>
                <w:sz w:val="22"/>
                <w:szCs w:val="22"/>
              </w:rPr>
              <w:t xml:space="preserve">LLMs require billions of parameters to encode linguistic patterns — not because the underlying knowledge is that large, but because meaning must be reconstructed from statistical co-occurrence across vast token sequences. Fact Units compress meaning directly, eliminating the parameter overhead required for implicit encoding. Consequence: QueryBook's inference models are 10× to 100× smaller in parameter count than equivalent LLM systems. VRAM requirements drop from datacenter-scale GPU memory to consumer-grade hardware. The cost per deployed instance falls by orders of magnitude.</w:t>
            </w:r>
            <w:r>
              <w:rPr>
                <w:rFonts w:ascii="Calibri" w:cs="Calibri" w:eastAsia="Calibri" w:hAnsi="Calibri"/>
                <w:b/>
                <w:bCs/>
                <w:i w:val="false"/>
                <w:iCs w:val="false"/>
                <w:strike w:val="false"/>
                <w:color w:val="1A1A1A"/>
                <w:sz w:val="22"/>
                <w:szCs w:val="22"/>
              </w:rPr>
              <w:t xml:space="preserve">57.5.2 Inference Compute</w:t>
            </w:r>
            <w:r>
              <w:rPr>
                <w:rFonts w:ascii="Calibri" w:cs="Calibri" w:eastAsia="Calibri" w:hAnsi="Calibri"/>
                <w:b/>
                <w:bCs/>
                <w:i w:val="false"/>
                <w:iCs w:val="false"/>
                <w:strike w:val="false"/>
                <w:color w:val="000000"/>
                <w:sz w:val="22"/>
                <w:szCs w:val="22"/>
              </w:rPr>
              <w:t xml:space="preserve">LLMs execute a full transformer forward pass — billions of floating-point multiply-accumulate operations — for every query, regardless of query complexity. QueryBook performs direct hypergraph traversal from query to Fact Unit: a deterministic graph lookup operation whose cost scales with query depth, not model size. Consequence: 20× to 50× lower FLOPs per query. Response latency drops from seconds to milliseconds for typical factual queries. Throughput per hardware unit increases by the same factor.</w:t>
            </w:r>
            <w:r>
              <w:rPr>
                <w:rFonts w:ascii="Calibri" w:cs="Calibri" w:eastAsia="Calibri" w:hAnsi="Calibri"/>
                <w:b/>
                <w:bCs/>
                <w:i w:val="false"/>
                <w:iCs w:val="false"/>
                <w:strike w:val="false"/>
                <w:color w:val="1A1A1A"/>
                <w:sz w:val="22"/>
                <w:szCs w:val="22"/>
              </w:rPr>
              <w:t xml:space="preserve">57.5.3 Electricity Consumption</w:t>
            </w:r>
            <w:r>
              <w:rPr>
                <w:rFonts w:ascii="Calibri" w:cs="Calibri" w:eastAsia="Calibri" w:hAnsi="Calibri"/>
                <w:b/>
                <w:bCs/>
                <w:i w:val="false"/>
                <w:iCs w:val="false"/>
                <w:strike w:val="false"/>
                <w:color w:val="000000"/>
                <w:sz w:val="22"/>
                <w:szCs w:val="22"/>
              </w:rPr>
              <w:t xml:space="preserve">Inference compute translates directly to power draw. LLM-scale inference at production volume requires datacenter-class power infrastructure. QueryBook's reduced compute translates proportionally to reduced power consumption. Consequence: 50% to 90% reduction in energy consumption per query at equivalent throughput. QueryBook's architecture is feasible on edge devices and battery-powered mobile platforms — deployment contexts that are physically impossible for LLM-scale systems.</w:t>
            </w:r>
            <w:r>
              <w:rPr>
                <w:rFonts w:ascii="Calibri" w:cs="Calibri" w:eastAsia="Calibri" w:hAnsi="Calibri"/>
                <w:b/>
                <w:bCs/>
                <w:i w:val="false"/>
                <w:iCs w:val="false"/>
                <w:strike w:val="false"/>
                <w:color w:val="1A1A1A"/>
                <w:sz w:val="22"/>
                <w:szCs w:val="22"/>
              </w:rPr>
              <w:t xml:space="preserve">57.5.4 Cooling Requirements</w:t>
            </w:r>
            <w:r>
              <w:rPr>
                <w:rFonts w:ascii="Calibri" w:cs="Calibri" w:eastAsia="Calibri" w:hAnsi="Calibri"/>
                <w:b/>
                <w:bCs/>
                <w:i w:val="false"/>
                <w:iCs w:val="false"/>
                <w:strike w:val="false"/>
                <w:color w:val="000000"/>
                <w:sz w:val="22"/>
                <w:szCs w:val="22"/>
              </w:rPr>
              <w:t xml:space="preserve">Datacenter-scale LLM inference generates heat loads that require industrial liquid cooling infrastructure, specialized facility design, and significant auxiliary power for thermal management. QueryBook's reduced compute produces proportionally lower thermal output. Consequence: QueryBook's architecture can operate within the thermal envelope of embedded systems, mobile devices, and standard server hardware without industrial cooling infrastructure. This enables deployment in environments where LLM-class systems are physically excluded.</w:t>
            </w:r>
            <w:r>
              <w:rPr>
                <w:rFonts w:ascii="Calibri" w:cs="Calibri" w:eastAsia="Calibri" w:hAnsi="Calibri"/>
                <w:b/>
                <w:bCs/>
                <w:i w:val="false"/>
                <w:iCs w:val="false"/>
                <w:strike w:val="false"/>
                <w:color w:val="1A1A1A"/>
                <w:sz w:val="22"/>
                <w:szCs w:val="22"/>
              </w:rPr>
              <w:t xml:space="preserve">57.5.5 Hardware Flexibility</w:t>
            </w:r>
            <w:r>
              <w:rPr>
                <w:rFonts w:ascii="Calibri" w:cs="Calibri" w:eastAsia="Calibri" w:hAnsi="Calibri"/>
                <w:b/>
                <w:bCs/>
                <w:i w:val="false"/>
                <w:iCs w:val="false"/>
                <w:strike w:val="false"/>
                <w:color w:val="000000"/>
                <w:sz w:val="22"/>
                <w:szCs w:val="22"/>
              </w:rPr>
              <w:t xml:space="preserve">LLMs require high-end GPUs with massive memory bandwidth — hardware that is expensive, power-hungry, and in constrained supply. QueryBook's sparse, structured Fact Unit operations map efficiently onto a much broader range of hardware. Consequence: QueryBook can execute on mid-range GPUs, neuromorphic chips, FPGA accelerators, and low-power ARM devices. Hardware procurement cost, operating cost, and supply chain dependency are all substantially reduced relative to LLM-scale deployments.</w:t>
            </w:r>
            <w:r>
              <w:rPr>
                <w:rFonts w:ascii="Calibri" w:cs="Calibri" w:eastAsia="Calibri" w:hAnsi="Calibri"/>
                <w:b/>
                <w:bCs/>
                <w:i w:val="false"/>
                <w:iCs w:val="false"/>
                <w:strike w:val="false"/>
                <w:color w:val="1A1A1A"/>
                <w:sz w:val="22"/>
                <w:szCs w:val="22"/>
              </w:rPr>
              <w:t xml:space="preserve">57.6 Patent Significance</w:t>
            </w:r>
            <w:r>
              <w:rPr>
                <w:rFonts w:ascii="Calibri" w:cs="Calibri" w:eastAsia="Calibri" w:hAnsi="Calibri"/>
                <w:b/>
                <w:bCs/>
                <w:i w:val="false"/>
                <w:iCs w:val="false"/>
                <w:strike w:val="false"/>
                <w:color w:val="000000"/>
                <w:sz w:val="22"/>
                <w:szCs w:val="22"/>
              </w:rPr>
              <w:t xml:space="preserve">The Fact Unit architecture is patentably novel across multiple independent dimensions: (1) the representation itself — atomic, language-agnostic, provenance-bound semantic triples as the primary storage unit for knowledge; (2) the retrieval mechanism — deterministic semantic identity lookup via Semantic Hash and Fact Graph traversal, as opposed to probabilistic vector similarity search; (3) the hallucination prevention architecture — the structural impossibility of generating output not traceable to a stored Fact Unit; (4) the cross-lingual equivalence guarantee — the Semantic Hash is computed over normalized semantic meaning, not over source language tokens, ensuring identical Fact Units are produced regardless of the language in which the source content was written; and (5) the efficiency profile — the combination of reduced model footprint, deterministic inference, and hardware flexibility that flows directly from the Fact Unit representation. Each of these dimensions constitutes an independent basis for patent claims.</w:t>
            </w:r>
          </w:p>
          <w:p>
            <w:pPr>
              <w:pStyle w:val="Heading1"/>
              <w:spacing w:after="120" w:before="240" w:line="288" w:lineRule="auto"/>
            </w:pPr>
            <w:r>
              <w:rPr>
                <w:rFonts w:ascii="Calibri" w:cs="Calibri" w:eastAsia="Calibri" w:hAnsi="Calibri"/>
                <w:color w:val="000000"/>
                <w:sz w:val="32"/>
                <w:szCs w:val="32"/>
              </w:rPr>
              <w:t xml:space="preserve">Chapter 58: QueryBook's Dual-Brain Cognitive Architecture — Semantic Intelligence and World Intelligence</w:t>
            </w:r>
          </w:p>
          <w:p>
            <w:r>
              <w:rPr>
                <w:rFonts w:ascii="Calibri" w:cs="Calibri" w:eastAsia="Calibri" w:hAnsi="Calibri"/>
                <w:b/>
                <w:bCs/>
                <w:i w:val="false"/>
                <w:iCs w:val="false"/>
                <w:strike w:val="false"/>
                <w:color w:val="1A1A1A"/>
                <w:sz w:val="22"/>
                <w:szCs w:val="22"/>
              </w:rPr>
              <w:t xml:space="preserve">58.1 Overview — Two Fundamentally Different Forms of Intelligence</w:t>
            </w:r>
            <w:r>
              <w:rPr>
                <w:rFonts w:ascii="Calibri" w:cs="Calibri" w:eastAsia="Calibri" w:hAnsi="Calibri"/>
                <w:b/>
                <w:bCs/>
                <w:i w:val="false"/>
                <w:iCs w:val="false"/>
                <w:strike w:val="false"/>
                <w:color w:val="000000"/>
                <w:sz w:val="22"/>
                <w:szCs w:val="22"/>
              </w:rPr>
              <w:t xml:space="preserve">QueryBook's cognitive architecture is organized around two distinct, complementary intelligence systems that operate in parallel and communicate through precisely defined interfaces. These two systems — the Semantic Brain and the World Brain — are not redundant. They are categorically different in what they store, how they reason, and what cognitive operations they enable. Together they produce reasoning capabilities that neither system can achieve alone, and that no single-layer LLM architecture can approach.The Semantic Brain is QueryBook's meaning engine: Fact Unit-based, deterministic, language-agnostic, and mathematically structured. It handles factual knowledge, definitions, logical relationships, symbolic inference, and deterministic Q&amp;A. The World Brain is QueryBook's cognitive model of reality: hypergraph-based, developmental, and conceptual. It handles objects, physical properties, affordances, social rules, cause-and-effect relationships, spatial reasoning, and predictive simulation. These two brains are architecturally separate but semantically linked — and their integration is what elevates QueryBook from a sophisticated retrieval system to a genuine reasoning engine.</w:t>
            </w:r>
            <w:r>
              <w:rPr>
                <w:rFonts w:ascii="Calibri" w:cs="Calibri" w:eastAsia="Calibri" w:hAnsi="Calibri"/>
                <w:b/>
                <w:bCs/>
                <w:i w:val="false"/>
                <w:iCs w:val="false"/>
                <w:strike w:val="false"/>
                <w:color w:val="1A1A1A"/>
                <w:sz w:val="22"/>
                <w:szCs w:val="22"/>
              </w:rPr>
              <w:t xml:space="preserve">58.2 The Semantic Brain — Fact Unit Intelligence58.2.1 Nature and Storage</w:t>
            </w:r>
            <w:r>
              <w:rPr>
                <w:rFonts w:ascii="Calibri" w:cs="Calibri" w:eastAsia="Calibri" w:hAnsi="Calibri"/>
                <w:b/>
                <w:bCs/>
                <w:i w:val="false"/>
                <w:iCs w:val="false"/>
                <w:strike w:val="false"/>
                <w:color w:val="000000"/>
                <w:sz w:val="22"/>
                <w:szCs w:val="22"/>
              </w:rPr>
              <w:t xml:space="preserve">The Semantic Brain stores all knowledge as Fact Units: atomic, language-agnostic semantic triples of the form (Subject, Predicate, Object), each carrying a Semantic Hash, a ConfidenceScore, a ProvenanceRef, and an EmbeddingVector. A Fact Unit is not a sentence. It is the meaning of a sentence — stripped of its linguistic surface form and encoded as a mathematically precise semantic structure. The same assertion expressed in English, French, Arabic, and Japanese produces the same Fact Unit with the same Semantic Hash. Language is the input and the output of the Semantic Brain; it is never the internal representation.</w:t>
            </w:r>
            <w:r>
              <w:rPr>
                <w:rFonts w:ascii="Calibri" w:cs="Calibri" w:eastAsia="Calibri" w:hAnsi="Calibri"/>
                <w:b/>
                <w:bCs/>
                <w:i w:val="false"/>
                <w:iCs w:val="false"/>
                <w:strike w:val="false"/>
                <w:color w:val="1A1A1A"/>
                <w:sz w:val="22"/>
                <w:szCs w:val="22"/>
              </w:rPr>
              <w:t xml:space="preserve">58.2.2 Reasoning Characteristics</w:t>
            </w:r>
            <w:r>
              <w:rPr>
                <w:rFonts w:ascii="Calibri" w:cs="Calibri" w:eastAsia="Calibri" w:hAnsi="Calibri"/>
                <w:b/>
                <w:bCs/>
                <w:i w:val="false"/>
                <w:iCs w:val="false"/>
                <w:strike w:val="false"/>
                <w:color w:val="000000"/>
                <w:sz w:val="22"/>
                <w:szCs w:val="22"/>
              </w:rPr>
              <w:t xml:space="preserve">Semantic Brain reasoning is deterministic: given the same Fact Unit set and the same query, the Semantic Brain produces the same answer every time, without probability, without next-token prediction, and without hallucination. Reasoning operations include: direct Fact Unit retrieval (locating the Fact Unit whose semantic triple best satisfies the query), multi-hop traversal (following typed edges in the Fact Graph through chains of related Fact Units to answer questions that require combining multiple facts), symbolic inference (applying logical rules over Fact Unit predicates to derive conclusions not explicitly stored), semantic role disambiguation (resolving the referents of query entities against the Entity Registry and Ontology Mesh), and cross-language equivalence (recognizing that two queries in different languages target the same Fact Unit by comparing their Semantic Hashes).</w:t>
            </w:r>
            <w:r>
              <w:rPr>
                <w:rFonts w:ascii="Calibri" w:cs="Calibri" w:eastAsia="Calibri" w:hAnsi="Calibri"/>
                <w:b/>
                <w:bCs/>
                <w:i w:val="false"/>
                <w:iCs w:val="false"/>
                <w:strike w:val="false"/>
                <w:color w:val="1A1A1A"/>
                <w:sz w:val="22"/>
                <w:szCs w:val="22"/>
              </w:rPr>
              <w:t xml:space="preserve">58.2.3 What the Semantic Brain Handles</w:t>
            </w:r>
            <w:r>
              <w:rPr>
                <w:rFonts w:ascii="Calibri" w:cs="Calibri" w:eastAsia="Calibri" w:hAnsi="Calibri"/>
                <w:b/>
                <w:bCs/>
                <w:i w:val="false"/>
                <w:iCs w:val="false"/>
                <w:strike w:val="false"/>
                <w:color w:val="000000"/>
                <w:sz w:val="22"/>
                <w:szCs w:val="22"/>
              </w:rPr>
              <w:t xml:space="preserve">The Semantic Brain is the authoritative system for: factual knowledge retrieval (what, who, when, where); definition and classification queries (what is X, what type of thing is Y); relational queries (how does X relate to Y, what caused Z); logical inference (if A and B, then C); provenance and citation (which source asserts this fact, with what confidence); multilingual Q&amp;A (retrieving the same fact regardless of query language); and deterministic answer generation (assembling a grounded, provenance-verified natural-language response from a set of retrieved Fact Units via the Multilingual Regeneration Engine). The Semantic Brain does not predict. It does not simulate. It does not model the physical world. Those capabilities belong to the World Brain.</w:t>
            </w:r>
            <w:r>
              <w:rPr>
                <w:rFonts w:ascii="Calibri" w:cs="Calibri" w:eastAsia="Calibri" w:hAnsi="Calibri"/>
                <w:b/>
                <w:bCs/>
                <w:i w:val="false"/>
                <w:iCs w:val="false"/>
                <w:strike w:val="false"/>
                <w:color w:val="1A1A1A"/>
                <w:sz w:val="22"/>
                <w:szCs w:val="22"/>
              </w:rPr>
              <w:t xml:space="preserve">58.3 The World Brain — Hypergraph Conceptual Intelligence58.3.1 Nature and Storage</w:t>
            </w:r>
            <w:r>
              <w:rPr>
                <w:rFonts w:ascii="Calibri" w:cs="Calibri" w:eastAsia="Calibri" w:hAnsi="Calibri"/>
                <w:b/>
                <w:bCs/>
                <w:i w:val="false"/>
                <w:iCs w:val="false"/>
                <w:strike w:val="false"/>
                <w:color w:val="000000"/>
                <w:sz w:val="22"/>
                <w:szCs w:val="22"/>
              </w:rPr>
              <w:t xml:space="preserve">The World Brain stores all knowledge as hypergraph conceptual models — not as Fact Units. A concept node in the World Brain is not a factual assertion about a specific entity. It is a generalized model of a category of thing: its physical structure, its behavioral properties, its affordances for human interaction, its social context, and its causal relationships with other concepts. Where a Fact Unit says 'the box in Chapter 3 is described as wooden,' the World Brain's concept node for BOX says: physical objects of this type have volume, containment capacity, and structural rigidity; they respond to gravity; a human can lift, open, fill, close, and move them; they belong to the category CONTAINER, which belongs to the category PHYSICAL OBJECT. The World Brain models reality. The Semantic Brain models what has been said about reality.</w:t>
            </w:r>
            <w:r>
              <w:rPr>
                <w:rFonts w:ascii="Calibri" w:cs="Calibri" w:eastAsia="Calibri" w:hAnsi="Calibri"/>
                <w:b/>
                <w:bCs/>
                <w:i w:val="false"/>
                <w:iCs w:val="false"/>
                <w:strike w:val="false"/>
                <w:color w:val="1A1A1A"/>
                <w:sz w:val="22"/>
                <w:szCs w:val="22"/>
              </w:rPr>
              <w:t xml:space="preserve">58.3.2 How the World Brain Learns — Developmental Architecture</w:t>
            </w:r>
            <w:r>
              <w:rPr>
                <w:rFonts w:ascii="Calibri" w:cs="Calibri" w:eastAsia="Calibri" w:hAnsi="Calibri"/>
                <w:b/>
                <w:bCs/>
                <w:i w:val="false"/>
                <w:iCs w:val="false"/>
                <w:strike w:val="false"/>
                <w:color w:val="000000"/>
                <w:sz w:val="22"/>
                <w:szCs w:val="22"/>
              </w:rPr>
              <w:t xml:space="preserve">The World Brain is developmental: it builds its conceptual models through a process that mirrors human cognitive development. It does not receive a pre-built ontology. It constructs its world model incrementally from two parallel streams of input — sensory-grounded experience and language-grounded semantics — and merges them through hypergraph alignment. This developmental architecture is described in full in Chapter 59. The key characteristic that distinguishes the World Brain from any static knowledge base is that its models evolve: new evidence revises existing concept nodes, contradictions are resolved by adjusting confidence weights, and concepts are generalized or specialized as evidence accumulates. The World Brain is never complete and never static.</w:t>
            </w:r>
            <w:r>
              <w:rPr>
                <w:rFonts w:ascii="Calibri" w:cs="Calibri" w:eastAsia="Calibri" w:hAnsi="Calibri"/>
                <w:b/>
                <w:bCs/>
                <w:i w:val="false"/>
                <w:iCs w:val="false"/>
                <w:strike w:val="false"/>
                <w:color w:val="1A1A1A"/>
                <w:sz w:val="22"/>
                <w:szCs w:val="22"/>
              </w:rPr>
              <w:t xml:space="preserve">58.3.3 What the World Brain Handles</w:t>
            </w:r>
            <w:r>
              <w:rPr>
                <w:rFonts w:ascii="Calibri" w:cs="Calibri" w:eastAsia="Calibri" w:hAnsi="Calibri"/>
                <w:b/>
                <w:bCs/>
                <w:i w:val="false"/>
                <w:iCs w:val="false"/>
                <w:strike w:val="false"/>
                <w:color w:val="000000"/>
                <w:sz w:val="22"/>
                <w:szCs w:val="22"/>
              </w:rPr>
              <w:t xml:space="preserve">The World Brain is the authoritative system for: physical object modeling (the structure, properties, and behaviors of objects as categories); physics reasoning (applying rules of gravity, stability, causation, and force to interpret events described in ingested content); affordance modeling (what a human can do with or to an object, in what conditions, with what results); social rule reasoning (interpreting the social context and normative expectations of described human interactions); cause-and-effect inference (determining what caused an event and what consequences follow from it); counterfactual simulation (modeling alternative states of affairs by modifying concept node attributes and propagating consequences through the hypergraph); and conceptual enrichment of Fact Units (providing the World Brain's physical and social grounding to enhance the Semantic Brain's meaning representations).</w:t>
            </w:r>
            <w:r>
              <w:rPr>
                <w:rFonts w:ascii="Calibri" w:cs="Calibri" w:eastAsia="Calibri" w:hAnsi="Calibri"/>
                <w:b/>
                <w:bCs/>
                <w:i w:val="false"/>
                <w:iCs w:val="false"/>
                <w:strike w:val="false"/>
                <w:color w:val="1A1A1A"/>
                <w:sz w:val="22"/>
                <w:szCs w:val="22"/>
              </w:rPr>
              <w:t xml:space="preserve">58.4 The Interface — Where the Two Brains Connect</w:t>
            </w:r>
            <w:r>
              <w:rPr>
                <w:rFonts w:ascii="Calibri" w:cs="Calibri" w:eastAsia="Calibri" w:hAnsi="Calibri"/>
                <w:b/>
                <w:bCs/>
                <w:i w:val="false"/>
                <w:iCs w:val="false"/>
                <w:strike w:val="false"/>
                <w:color w:val="000000"/>
                <w:sz w:val="22"/>
                <w:szCs w:val="22"/>
              </w:rPr>
              <w:t xml:space="preserve">The Semantic Brain and the World Brain communicate through three precisely defined interface mechanisms:(1) Cross-Modal Binding: When a Fact Unit derived from text ingestion contains a reference to a concept that the World Brain has already modeled, a Cross-Modal Binding edge is created linking the Fact Unit to the corresponding World Brain concept node. This binding enriches the Fact Unit with physical and social grounding — the Semantic Brain's abstract meaning gains the World Brain's physical intuition. This is the mechanism by which QueryBook understands that 'the character placed the letter in the box' involves an object with containment affordance, structural rigidity, and gravity-constrained behavior — not because these facts were stated in the text, but because the World Brain's BOX concept node supplies them.(2) Concept Enrichment: The World Brain's concept nodes are continuously enriched by Fact Units from the Semantic Brain. When the Semantic Brain ingests content describing an object in new ways — a box described as floating in zero gravity in a science fiction novel — this information flows to the World Brain as a conditional variant, extending the concept node's attribute space without corrupting its physical-default model. The World Brain learns that BOX has a physical-default affordance profile and a conditional-variant profile for contexts where physics rules are suspended.(3) Unified Reasoning: For queries that require both factual precision and physical intuition, the Semantic Brain and World Brain collaborate: the Semantic Brain retrieves the relevant Fact Units, the World Brain provides the conceptual grounding and physics constraints, and the Multilingual Regeneration Engine assembles a response that is both factually accurate and physically coherent. This is the architecture that enables QueryBook to answer questions like 'Could the character have done that?' — a question that requires both factual knowledge of what the character did (Semantic Brain) and physical and social reasoning about what is humanly possible (World Brain).</w:t>
            </w:r>
          </w:p>
          <w:p>
            <w:pPr>
              <w:pStyle w:val="Heading3"/>
              <w:spacing w:after="120" w:before="200" w:line="288" w:lineRule="auto"/>
            </w:pPr>
            <w:r>
              <w:rPr>
                <w:rFonts w:ascii="Calibri" w:cs="Calibri" w:eastAsia="Calibri" w:hAnsi="Calibri"/>
                <w:color w:val="000000"/>
                <w:sz w:val="28"/>
                <w:szCs w:val="28"/>
              </w:rPr>
              <w:t xml:space="preserve">58.4.1 Consistency Model — Redesign Note (Performance)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REDESIGN FINDING — CONSISTENCY MODEL</w:t>
                  </w:r>
                  <w:r>
                    <w:rPr>
                      <w:rFonts w:ascii="Calibri" w:cs="Calibri" w:eastAsia="Calibri" w:hAnsi="Calibri"/>
                      <w:b/>
                      <w:bCs/>
                      <w:i w:val="false"/>
                      <w:iCs w:val="false"/>
                      <w:strike w:val="false"/>
                      <w:color w:val="333333"/>
                      <w:sz w:val="24"/>
                      <w:szCs w:val="24"/>
                    </w:rPr>
                    <w:t xml:space="preserve">The Semantic Brain and World Brain are described above as independently evolving knowledge structures connected by three interface mechanisms. Any two independently evolving stores connected by cross-references are subject to the CAP theorem: under a network partition between the services backing each brain, a choice must be made between blocking updates until the partition heals (consistency) or continuing to serve queries against a potentially stale cross-reference (availability). This tradeoff was implicit but not previously named.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Recommended framing: the “continuously enriched” language already used above (§58.4, mechanism 2) is consistent with an eventual-consistency model, which is the right choice here — Cross-Modal Binding and Concept Enrichment are not latency-sensitive in the way a query-time safety check is, so brief staleness in one brain's view of the other is an acceptable tradeoff for availability. This should be stated explicitly as the intended consistency model (eventual, not synchronous) so a future implementer does not read §58.4 as requiring real-time synchronous consistency between the two brains, which would reintroduce the CAP-theorem tradeoff without the benefit of having chosen it deliberately.</w:t>
            </w:r>
          </w:p>
          <w:p>
            <w:pPr>
              <w:pStyle w:val="Heading3"/>
              <w:spacing w:after="120" w:before="200" w:line="288" w:lineRule="auto"/>
            </w:pPr>
            <w:r>
              <w:rPr>
                <w:rFonts w:ascii="Calibri" w:cs="Calibri" w:eastAsia="Calibri" w:hAnsi="Calibri"/>
                <w:color w:val="000000"/>
                <w:sz w:val="28"/>
                <w:szCs w:val="28"/>
              </w:rPr>
              <w:t xml:space="preserve">36.1.1 Zero-Knowledge Encryption (ZKE) — Definition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ZKE is referenced throughout this chapter (§36.2's SAFU schema, §36.7's Right-to-Erasure Protocol, §36.8's History Interface) but was never formally defined in its own right. This section closes that gap, consolidating what those three sections already establish into one canonical specification rather than leaving ZKE definable only by inference from its scattered usages.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is opt-in, passphrase-derived encryption of a reader's own session and history data, structured such that QueryBook itself cannot decrypt that reader's history without the reader's own passphrase — “zero-knowledge” in the standard security sense: the platform holds no independent capability to read the protected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ZKE is active for a reader, their ReaderID field on every SAFU (§36.2) is encrypted rather than stored in plaintext, and the same passphrase gate governs decryption for display in the History Interface (§36.8's four views) and for any other read access to that reader's session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ZKE changes how erasure is implemented, not whether it is available: for a reader with ZKE active, full account erasure is cryptographic — destroying the reader's private key record renders all encrypted history data permanently unreadable without requiring individual enumeration and deletion of every session record. For a reader without ZKE active, erasure proceeds by explicit deletion of each record, per §36.7.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READER-CONTROLLED PRIVACY MECHANISM, NOT A PLATFORM-WIDE PROPERTY</w:t>
                  </w:r>
                  <w:r>
                    <w:rPr>
                      <w:rFonts w:ascii="Calibri" w:cs="Calibri" w:eastAsia="Calibri" w:hAnsi="Calibri"/>
                      <w:b/>
                      <w:bCs/>
                      <w:i w:val="false"/>
                      <w:iCs w:val="false"/>
                      <w:strike w:val="false"/>
                      <w:color w:val="333333"/>
                      <w:sz w:val="24"/>
                      <w:szCs w:val="24"/>
                    </w:rPr>
                    <w:t xml:space="preserve">ZKE is opt-in and scoped to an individual reader's own session and history data — it is not, and this section does not establish it as, a blanket claim that all QueryBook data is encrypted. §86.3 already corrects the specific overclaim that all Fact Units are encrypted; ZKE is the real, narrow, opt-in mechanism that overclaim was inaccurately generalized from.</w:t>
                  </w:r>
                </w:p>
              </w:tc>
            </w:tr>
          </w:tbl>
          <w:p>
            <w:pPr>
              <w:spacing w:after="200" w:before="0"/>
            </w:pPr>
          </w:p>
          <w:p>
            <w:r>
              <w:rPr>
                <w:rFonts w:ascii="Calibri" w:cs="Calibri" w:eastAsia="Calibri" w:hAnsi="Calibri"/>
                <w:b/>
                <w:bCs/>
                <w:i w:val="false"/>
                <w:iCs w:val="false"/>
                <w:strike w:val="false"/>
                <w:color w:val="1A1A1A"/>
                <w:sz w:val="22"/>
                <w:szCs w:val="22"/>
              </w:rPr>
              <w:t xml:space="preserve">58.5 Full Cognitive Element Classification</w:t>
            </w:r>
            <w:r>
              <w:rPr>
                <w:rFonts w:ascii="Calibri" w:cs="Calibri" w:eastAsia="Calibri" w:hAnsi="Calibri"/>
                <w:b/>
                <w:bCs/>
                <w:i w:val="false"/>
                <w:iCs w:val="false"/>
                <w:strike w:val="false"/>
                <w:color w:val="000000"/>
                <w:sz w:val="22"/>
                <w:szCs w:val="22"/>
              </w:rPr>
              <w:t xml:space="preserve">The following table classifies every major cognitive element of QueryBook's architecture by which brain system it belongs to and what it contributes to QueryBook's overall reasoning capability:</w:t>
            </w:r>
            <w:r>
              <w:rPr>
                <w:rFonts w:ascii="Calibri" w:cs="Calibri" w:eastAsia="Calibri" w:hAnsi="Calibri"/>
                <w:b/>
                <w:bCs/>
                <w:i w:val="false"/>
                <w:iCs w:val="false"/>
                <w:strike w:val="false"/>
                <w:color w:val="333333"/>
                <w:sz w:val="24"/>
                <w:szCs w:val="24"/>
              </w:rPr>
              <w:t xml:space="preserve">Cognitive ElementBrain SystemStorage TypeReasoning ContributionFact UnitsSemantic BrainLanguage-agnostic semantic triplesDeterministic factual retrieval and Q&amp;AOntology MeshSemantic BrainTyped predicate and entity hierarchySemantic consistency, logical inheritance, classificationFact GraphSemantic BrainTyped hypergraph of Fact UnitsMulti-hop relational traversal and symbolic inferenceMultilingual Regeneration EngineSemantic BrainNarrative Graph over Fact UnitsGrounded natural-language output in any supported languageProvenance LedgerSemantic BrainImmutable append-only Merkle DAGCitation, audit, and verifiabilityWorld Model DomainWorld BrainHypergraph concept nodesPhysical and social world modelingConceptual Memory LayerWorld BrainConcept / Rule / Schema nodesLong-term conceptual knowledge storeSensory Abstraction PipelineWorld BrainAbstracted content featuresConverts ingested content into World Brain concept inputsNeuromorphic Cognitive LayerWorld BrainSparse Distributed RepresentationsAssociative recall, pattern completion, temporal sequence learningPredictive Inference EngineWorld BrainHypergraph causal projectionsForward modeling, event prediction, knowledge gap identificationScenario Graph SystemWorld BrainBranching probabilistic hypergraphsMulti-step simulation, counterfactual reasoning, planningAGI Extension ModulesHybrid — both brainsFact Units + hypergraph conceptsAbductive reasoning, analogical reasoning, causal discovery, meta-cognition, goal-directed synthesisCross-Modal BindingInterface layerBinding edges between FU and concept nodesSemantic-physical grounding alignmentSafety SubstrateGoverning layerSafetyFlags on all Fact UnitsNon-bypassable constraint enforcement across both brains</w:t>
            </w:r>
            <w:r>
              <w:rPr>
                <w:rFonts w:ascii="Calibri" w:cs="Calibri" w:eastAsia="Calibri" w:hAnsi="Calibri"/>
                <w:b/>
                <w:bCs/>
                <w:i w:val="false"/>
                <w:iCs w:val="false"/>
                <w:strike w:val="false"/>
                <w:color w:val="1A1A1A"/>
                <w:sz w:val="22"/>
                <w:szCs w:val="22"/>
              </w:rPr>
              <w:t xml:space="preserve">58.6 Why This Architecture Produces Real Reasoning</w:t>
            </w:r>
            <w:r>
              <w:rPr>
                <w:rFonts w:ascii="Calibri" w:cs="Calibri" w:eastAsia="Calibri" w:hAnsi="Calibri"/>
                <w:b/>
                <w:bCs/>
                <w:i w:val="false"/>
                <w:iCs w:val="false"/>
                <w:strike w:val="false"/>
                <w:color w:val="000000"/>
                <w:sz w:val="22"/>
                <w:szCs w:val="22"/>
              </w:rPr>
              <w:t xml:space="preserve">LLMs reason in language — which is fundamentally a limitation, not a capability. Language is a surface encoding of meaning, and statistical relationships between surface encodings do not constitute reasoning about the meanings themselves. QueryBook reasons in meaning and in models. The Semantic Brain provides truth: deterministic, provenance-verified, language-independent semantic assertions. The World Brain provides understanding: physical, social, and causal models of how the world works. The AGI Extension Modules provide synthesis: the ability to combine truth and understanding into novel inferences, hypotheses, and plans that go beyond what was explicitly encoded in either brain. This three-layer architecture — truth, understanding, synthesis — is the foundation of genuine cognitive capability. It is what makes QueryBook not a language model with a knowledge base, but a reasoning system with a world model.</w:t>
            </w:r>
          </w:p>
          <w:p>
            <w:pPr>
              <w:pStyle w:val="Heading1"/>
              <w:spacing w:after="120" w:before="240" w:line="288" w:lineRule="auto"/>
            </w:pPr>
            <w:r>
              <w:rPr>
                <w:rFonts w:ascii="Calibri" w:cs="Calibri" w:eastAsia="Calibri" w:hAnsi="Calibri"/>
                <w:color w:val="000000"/>
                <w:sz w:val="32"/>
                <w:szCs w:val="32"/>
              </w:rPr>
              <w:t xml:space="preserve">Chapter 59: Dual-Grounded Developmental World Model — The Box Principle</w:t>
            </w:r>
          </w:p>
          <w:p>
            <w:r>
              <w:rPr>
                <w:rFonts w:ascii="Calibri" w:cs="Calibri" w:eastAsia="Calibri" w:hAnsi="Calibri"/>
                <w:b/>
                <w:bCs/>
                <w:i w:val="false"/>
                <w:iCs w:val="false"/>
                <w:strike w:val="false"/>
                <w:color w:val="1A1A1A"/>
                <w:sz w:val="22"/>
                <w:szCs w:val="22"/>
              </w:rPr>
              <w:t xml:space="preserve">59.1 Overview — Two Independent Grounding Streams</w:t>
            </w:r>
            <w:r>
              <w:rPr>
                <w:rFonts w:ascii="Calibri" w:cs="Calibri" w:eastAsia="Calibri" w:hAnsi="Calibri"/>
                <w:b/>
                <w:bCs/>
                <w:i w:val="false"/>
                <w:iCs w:val="false"/>
                <w:strike w:val="false"/>
                <w:color w:val="000000"/>
                <w:sz w:val="22"/>
                <w:szCs w:val="22"/>
              </w:rPr>
              <w:t xml:space="preserve">QueryBook's World Brain is not initialized with a pre-built world model. It builds its conceptual models developmentally, through a process that mirrors human cognitive development with structural precision. This developmental architecture operates through two parallel, initially independent grounding streams that converge through hypergraph alignment to produce unified, richly-connected concept nodes. The two streams are: (1) Sensory-Grounded World Modeling — in which QueryBook builds pre-linguistic physical models of objects, physics, and affordances from multimodal content streams, analogous to a human infant building a concept of 'box' before knowing the word 'box'; and (2) Language-Grounded Semantic Modeling — in which QueryBook builds Fact Units from ingested text, producing language-agnostic semantic structures centered on the meaning of words and concepts encountered in that text. The mechanism that unifies these two streams into a single, integrated concept is called Cross-Modal Binding. This three-part architecture — sensory grounding, semantic grounding, and cross-modal binding — is referred to throughout this chapter as the Box Principle, after the canonical worked example used to illustrate it.</w:t>
            </w:r>
            <w:r>
              <w:rPr>
                <w:rFonts w:ascii="Calibri" w:cs="Calibri" w:eastAsia="Calibri" w:hAnsi="Calibri"/>
                <w:b/>
                <w:bCs/>
                <w:i w:val="false"/>
                <w:iCs w:val="false"/>
                <w:strike w:val="false"/>
                <w:color w:val="1A1A1A"/>
                <w:sz w:val="22"/>
                <w:szCs w:val="22"/>
              </w:rPr>
              <w:t xml:space="preserve">59.2 Stream One — Sensory-Grounded World Modeling</w:t>
            </w:r>
            <w:r>
              <w:rPr>
                <w:rFonts w:ascii="Calibri" w:cs="Calibri" w:eastAsia="Calibri" w:hAnsi="Calibri"/>
                <w:b/>
                <w:bCs/>
                <w:i w:val="false"/>
                <w:iCs w:val="false"/>
                <w:strike w:val="false"/>
                <w:color w:val="000000"/>
                <w:sz w:val="22"/>
                <w:szCs w:val="22"/>
              </w:rPr>
              <w:t xml:space="preserve">The first grounding stream operates through the Sensory Abstraction Pipeline (Chapter 55) and produces pre-linguistic object models in the World Model Domain. When QueryBook processes multimodal content — an illustrated ebook, an audiobook with described scenes, a video documentary — the SAP extracts persistent object candidates from the content stream using the following mechanisms: object permanence tracking (identifying entities that persist across scene changes), motion segmentation (distinguishing objects from backgrounds based on differential motion), shape and volume inference (constructing 3D structural models from 2D visual representations), and physics modeling (inferring gravity response, mass, and stability from observed object trajectories and interactions described or depicted in the content).The output of this process is a hypergraph node in the World Model Domain representing a candidate object concept. For the canonical example — a box encountered in content — this node at the pre-linguistic stage contains: physical shape (rectangular prism, approximately N units per side), inferred mass (moderate — consistent with cardboard or wood), stability under gravity (rests flat, resistant to tipping when square face is down), containment structure (hollow interior capable of holding items), and observed interactions with human agents (lifted, opened, filled, closed, stacked). This object node is entirely pre-linguistic — it encodes what the object is as a physical entity, without any knowledge of what it is called or what it means in human discourse.</w:t>
            </w:r>
            <w:r>
              <w:rPr>
                <w:rFonts w:ascii="Calibri" w:cs="Calibri" w:eastAsia="Calibri" w:hAnsi="Calibri"/>
                <w:b/>
                <w:bCs/>
                <w:i w:val="false"/>
                <w:iCs w:val="false"/>
                <w:strike w:val="false"/>
                <w:color w:val="1A1A1A"/>
                <w:sz w:val="22"/>
                <w:szCs w:val="22"/>
              </w:rPr>
              <w:t xml:space="preserve">59.3 Stream Two — Language-Grounded Semantic Modeling</w:t>
            </w:r>
            <w:r>
              <w:rPr>
                <w:rFonts w:ascii="Calibri" w:cs="Calibri" w:eastAsia="Calibri" w:hAnsi="Calibri"/>
                <w:b/>
                <w:bCs/>
                <w:i w:val="false"/>
                <w:iCs w:val="false"/>
                <w:strike w:val="false"/>
                <w:color w:val="000000"/>
                <w:sz w:val="22"/>
                <w:szCs w:val="22"/>
              </w:rPr>
              <w:t xml:space="preserve">The second grounding stream operates through the Multimodal Ingestion Pipeline (Chapter 4) and produces Fact Units in the Semantic Brain. When QueryBook ingests a book or document in which the word 'box' appears, it does not store the word 'box' — it extracts the semantic meaning of 'box' from context: its definitional attributes, its typical uses, its categorical relationships, its symbolic and cultural associations in the text. This semantic extraction produces a Fact Unit centered on the language-agnostic meaning of the concept, identified by a Semantic Hash that is identical regardless of whether the source text was in English, Spanish, or any other language.The Fact Unit for BOX derived from text ingestion may contain: definitional attributes (a container, typically rigid, typically rectangular, typically closeable), categorical relations (IS-A CONTAINER, IS-A PHYSICAL OBJECT, CAN-BE STORAGE-UNIT), symbolic associations (as referenced in the specific ingested work — gift, concealment, restriction, surprise), and relational Fact Units linking BOX to other concepts in the ingested text (character placed letter inside box; box was found sealed; box contained forbidden item). This Fact Unit representation is purely linguistic in origin — it encodes what humans say and mean when they use the concept, without any grounding in physical experience of the object.</w:t>
            </w:r>
            <w:r>
              <w:rPr>
                <w:rFonts w:ascii="Calibri" w:cs="Calibri" w:eastAsia="Calibri" w:hAnsi="Calibri"/>
                <w:b/>
                <w:bCs/>
                <w:i w:val="false"/>
                <w:iCs w:val="false"/>
                <w:strike w:val="false"/>
                <w:color w:val="1A1A1A"/>
                <w:sz w:val="22"/>
                <w:szCs w:val="22"/>
              </w:rPr>
              <w:t xml:space="preserve">59.4 Stream Convergence — Cross-Modal Binding</w:t>
            </w:r>
            <w:r>
              <w:rPr>
                <w:rFonts w:ascii="Calibri" w:cs="Calibri" w:eastAsia="Calibri" w:hAnsi="Calibri"/>
                <w:b/>
                <w:bCs/>
                <w:i w:val="false"/>
                <w:iCs w:val="false"/>
                <w:strike w:val="false"/>
                <w:color w:val="000000"/>
                <w:sz w:val="22"/>
                <w:szCs w:val="22"/>
              </w:rPr>
              <w:t xml:space="preserve">The two streams initially produce separate, unlinked representations: a physical object node in the World Brain, and a semantic Fact Unit in the Semantic Brain. Cross-Modal Binding is the mechanism that unifies them. Binding is triggered when co-occurring evidence in the ingested content — a word and a depicted object appearing together — allows QueryBook to determine that the semantic concept and the physical object node refer to the same real-world referent.The binding process operates as follows: (1) Co-occurrence detection — the system identifies that the linguistic token 'box' and the physical object node for BOX are co-active in the same scene context within the ingested content. (2) Semantic similarity confirmation — the system verifies that the Fact Unit's definitional attributes are semantically consistent with the physical object node's inferred attributes (containment structure, rectangular shape, human liftability all match). (3) Hypergraph fusion — a stable binding edge is created between the Fact Unit and the physical object node, making them jointly addressable as a single unified concept. (4) Bidirectional enrichment — the physical object node inherits the Fact Unit's semantic content (definitions, symbolic associations, categorical relationships in the Ontology Mesh), and the Fact Unit inherits the physical object node's sensory grounding (physical shape, gravity behavior, containment structure, human affordances). After binding, neither the Semantic Brain's BOX nor the World Brain's BOX is the full concept — the unified, cross-modal concept node that results from their fusion is.</w:t>
            </w:r>
            <w:r>
              <w:rPr>
                <w:rFonts w:ascii="Calibri" w:cs="Calibri" w:eastAsia="Calibri" w:hAnsi="Calibri"/>
                <w:b/>
                <w:bCs/>
                <w:i w:val="false"/>
                <w:iCs w:val="false"/>
                <w:strike w:val="false"/>
                <w:color w:val="1A1A1A"/>
                <w:sz w:val="22"/>
                <w:szCs w:val="22"/>
              </w:rPr>
              <w:t xml:space="preserve">59.5 The Episodic Flush Mechanism</w:t>
            </w:r>
            <w:r>
              <w:rPr>
                <w:rFonts w:ascii="Calibri" w:cs="Calibri" w:eastAsia="Calibri" w:hAnsi="Calibri"/>
                <w:b/>
                <w:bCs/>
                <w:i w:val="false"/>
                <w:iCs w:val="false"/>
                <w:strike w:val="false"/>
                <w:color w:val="000000"/>
                <w:sz w:val="22"/>
                <w:szCs w:val="22"/>
              </w:rPr>
              <w:t xml:space="preserve">As cross-modal binding progresses and a concept node stabilizes through repeated evidence from multiple content sources, QueryBook executes the Episodic Flush: a selective discarding of the specific episodic content that produced the concept, retaining only the abstracted conceptual model. This mechanism is architecturally essential and follows directly from the design principle that the World Brain stores what the world is, not the circumstances under which it was learned.Pre-Flush Hypergraph State: The World Brain contains a rich but episodic-heavy graph — many instance-specific object nodes (this particular box as seen in illustration 3 of Book A; this particular box as described in Chapter 7 of Book B), many episodic event nodes (the moment the word 'box' co-occurred with the depicted object in a specific scene), and many temporary binding edges formed during individual cross-modal binding events. This pre-flush state is computationally expensive and semantically noisy — it contains specific details of individual learning events that are irrelevant to the generalized concept.Post-Flush Hypergraph State: After the Episodic Flush, the World Brain contains a compact, abstract, generalized concept structure: one stable concept node N_BOX_concept, connected to aggregated physics invariants (N_phys_BOX_core — stable gravity response, typical mass range, stability patterns), aggregated human affordances (N_aff_BOX_core — liftable, openable, fillable, closeable, stackable), a consolidated semantic Fact Unit (N_sem_BOX_FU_core — definitions, categorical relations, symbolic associations distilled from all ingested text references), and higher-level category nodes (N_cat_CONTAINER, N_cat_PHYSICAL_OBJECT). All instance-specific sensory nodes, all episodic event nodes, and all temporary binding edges have been decayed or pruned. The system retains what BOX is — not how it learned it.This architecture produces three critical capabilities that are impossible in systems that retain episodic data: (1) Robust generalization — because the concept is not tied to any specific instance, QueryBook can correctly recognize and reason about a BOX it has never specifically encountered before; (2) Counterfactual reasoning — because the concept encodes stable physical invariants rather than specific memories, QueryBook can simulate variants ('what if the box were made of glass?', 'what if the box were floating?') without being constrained by the specific instances from which the concept was learned; (3) Compact conceptual growth — the World Brain grows in conceptual richness over time without proportional growth in storage volume, because concepts compress many instances into one stable model.</w:t>
            </w:r>
            <w:r>
              <w:rPr>
                <w:rFonts w:ascii="Calibri" w:cs="Calibri" w:eastAsia="Calibri" w:hAnsi="Calibri"/>
                <w:b/>
                <w:bCs/>
                <w:i w:val="false"/>
                <w:iCs w:val="false"/>
                <w:strike w:val="false"/>
                <w:color w:val="1A1A1A"/>
                <w:sz w:val="22"/>
                <w:szCs w:val="22"/>
              </w:rPr>
              <w:t xml:space="preserve">59.6 Concept Refinement — Five Enhancement Mechanisms</w:t>
            </w:r>
            <w:r>
              <w:rPr>
                <w:rFonts w:ascii="Calibri" w:cs="Calibri" w:eastAsia="Calibri" w:hAnsi="Calibri"/>
                <w:b/>
                <w:bCs/>
                <w:i w:val="false"/>
                <w:iCs w:val="false"/>
                <w:strike w:val="false"/>
                <w:color w:val="000000"/>
                <w:sz w:val="22"/>
                <w:szCs w:val="22"/>
              </w:rPr>
              <w:t xml:space="preserve">Beyond the core dual-grounding and episodic flush architecture, QueryBook's World Brain incorporates five additional mechanisms that deepen and stabilize its conceptual models over time:(1) Temporal Concept Consolidation: QueryBook does not form a final concept from a single cross-modal binding event. Instead, a temporal consolidation process tracks repeated encounters with the same concept across multiple content sources and multiple ingestion sessions. Each encounter contributes evidence that strengthens stable features and weakens unstable ones. Core invariants — attributes that appear consistently across all instances — are extracted and stored as the concept's definitive attribute set. Accidental features — attributes that appeared in one instance but not consistently — are weighted down and eventually discarded. This makes the concept of BOX more stable and generalizable than any single instance could produce.(2) Conflict Resolution Between Streams: Sensory-grounded object nodes and language-grounded Fact Units sometimes disagree. A text may describe a box as light; the physical model may have inferred significant mass from depicted interactions. The Conflict Resolution module detects these mismatches, assigns confidence weights to each conflicting attribute based on the quality and quantity of supporting evidence, and creates conditional attribute values ('typically moderate mass; can be light if materials specified as cardboard or foam'). Exceptions are stored without corrupting the core concept. This is exactly how humans learn nuance — and it produces the same nuanced, conditionally structured concept.(3) Human-Centric Affordance Modeling: All affordances encoded in the World Brain's concept nodes are explicitly modeled from a human perspective. The affordance set for BOX is: 'Can a human lift it? Can a human open it? Can a human store items in it? Does it obstruct human movement?' This human-centric framing ensures that QueryBook's world model is aligned with human reasoning about objects — not with any other perspective. Affordances that are not meaningful from a human perspective are not encoded.(4) Counterfactual Concept Simulation: Once a concept node is stabilized, QueryBook can simulate variations by temporarily modifying concept node attributes and propagating consequences through the Scenario Graph System. 'What if the box were made of glass?' modifies the material attribute, propagates to the physics model (fragility rule activates, transparency attribute adds), propagates to the affordance model (opens differently, cannot be stacked as high), and propagates to the semantic model (different symbolic associations). This simulation capability is directly enabled by the abstract, attribute-structured nature of the post-flush concept node — it would be impossible if the concept were stored as specific episodic instances.(5) Meta-Concept Formation: As QueryBook accumulates concept nodes across many objects and ingestion sessions, the World Brain identifies structural commonalities and forms higher-order meta-concepts. The individual concepts BOX, JAR, BAG, and BASKET all share containment structure, human-openable affordance, and item-holding capacity. The World Brain generalizes these into the meta-concept CONTAINER. CONTAINER, CHAIR, TABLE, and DOOR are all PHYSICAL OBJECTs that humans interact with directly. This hierarchy of meta-concepts — from specific instances to categories to super-categories — is exactly the conceptual hierarchy that humans develop from childhood: from 'box' to 'container' to 'object' to 'thing.' Meta-concept formation enables QueryBook to transfer knowledge across domains, predict the properties of novel objects based on their category membership, and reason at multiple levels of abstraction simultaneously.</w:t>
            </w:r>
            <w:r>
              <w:rPr>
                <w:rFonts w:ascii="Calibri" w:cs="Calibri" w:eastAsia="Calibri" w:hAnsi="Calibri"/>
                <w:b/>
                <w:bCs/>
                <w:i w:val="false"/>
                <w:iCs w:val="false"/>
                <w:strike w:val="false"/>
                <w:color w:val="1A1A1A"/>
                <w:sz w:val="22"/>
                <w:szCs w:val="22"/>
              </w:rPr>
              <w:t xml:space="preserve">59.7 Integration with the Semantic Brain</w:t>
            </w:r>
            <w:r>
              <w:rPr>
                <w:rFonts w:ascii="Calibri" w:cs="Calibri" w:eastAsia="Calibri" w:hAnsi="Calibri"/>
                <w:b/>
                <w:bCs/>
                <w:i w:val="false"/>
                <w:iCs w:val="false"/>
                <w:strike w:val="false"/>
                <w:color w:val="000000"/>
                <w:sz w:val="22"/>
                <w:szCs w:val="22"/>
              </w:rPr>
              <w:t xml:space="preserve">The dual-grounded World Model integrates with the Semantic Brain through two active channels that operate continuously during both ingestion and query processing: (1) Grounding channel — inbound from World Brain to Semantic Brain. When the Semantic Brain constructs a response to a query, it issues a WorldModel.Query() call to retrieve the physical and social grounding for all object-type entities referenced in the relevant Fact Units. The response is enriched with the World Brain's affordance data, physics constraints, and category relationships before it reaches the Multilingual Regeneration Engine. This ensures that QueryBook's natural-language outputs are not only factually accurate but physically coherent. (2) Enrichment channel — inbound from Semantic Brain to World Brain. When the Semantic Brain ingests new text that references an object already modeled in the World Brain, it passes the new semantic information to WorldModel.Update(), which integrates it into the existing concept node as additional semantic attributes, categorical relationships, or conditional attribute variants. The World Brain learns from language; the Semantic Brain learns from the World Brain.</w:t>
            </w:r>
            <w:r>
              <w:rPr>
                <w:rFonts w:ascii="Calibri" w:cs="Calibri" w:eastAsia="Calibri" w:hAnsi="Calibri"/>
                <w:b/>
                <w:bCs/>
                <w:i w:val="false"/>
                <w:iCs w:val="false"/>
                <w:strike w:val="false"/>
                <w:color w:val="1A1A1A"/>
                <w:sz w:val="22"/>
                <w:szCs w:val="22"/>
              </w:rPr>
              <w:t xml:space="preserve">59.8 Patent Significance</w:t>
            </w:r>
            <w:r>
              <w:rPr>
                <w:rFonts w:ascii="Calibri" w:cs="Calibri" w:eastAsia="Calibri" w:hAnsi="Calibri"/>
                <w:b/>
                <w:bCs/>
                <w:i w:val="false"/>
                <w:iCs w:val="false"/>
                <w:strike w:val="false"/>
                <w:color w:val="000000"/>
                <w:sz w:val="22"/>
                <w:szCs w:val="22"/>
              </w:rPr>
              <w:t xml:space="preserve">The Dual-Grounded Developmental World Model represents a patentably novel architectural contribution across four independent dimensions: (1) The dual-grounding mechanism itself — the specific architecture of parallel sensory-grounded and language-grounded concept formation streams that merge through Cross-Modal Binding to produce unified concept nodes; (2) The Episodic Flush protocol — the specific mechanism by which instance-specific sensory nodes and episodic event nodes are decayed and pruned after concept consolidation, retaining only the abstract concept structure; (3) The Conflict Resolution module — the specific mechanism by which sensory and semantic attribute conflicts are resolved through confidence weighting and conditional attribute encoding rather than overwriting; (4) The Meta-Concept Formation process — the specific mechanism by which the World Brain generalizes across concept nodes to form hierarchical super-concepts that enable cross-domain knowledge transfer and categorical inference. Each of these four mechanisms is novel relative to prior art in knowledge representation, ontology construction, and machine learning — none of the existing LLM, RAG, or static ontology architectures implement any equivalent of any of these four processes.</w:t>
            </w:r>
          </w:p>
          <w:p>
            <w:pPr>
              <w:pStyle w:val="Heading2"/>
              <w:spacing w:after="120" w:before="240" w:line="288" w:lineRule="auto"/>
            </w:pPr>
            <w:r>
              <w:rPr>
                <w:rFonts w:ascii="Calibri" w:cs="Calibri" w:eastAsia="Calibri" w:hAnsi="Calibri"/>
                <w:color w:val="000000"/>
                <w:sz w:val="36"/>
                <w:szCs w:val="36"/>
              </w:rPr>
              <w:t xml:space="preserve">59.9 Developmental Parallel — Verified Correspondence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grounds this chapter's claim that its developmental architecture “mirrors human cognitive development with structural precision” in two specific, independently verified bodies of developmental psychology research, following Chapter 101's methodology. The correspondence is precise at the level of timing structure, not merely a general analogy.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REAL CITATIONS, MAPPED TO SPECIFIC MECHANISMS</w:t>
                  </w:r>
                  <w:r>
                    <w:rPr>
                      <w:rFonts w:ascii="Calibri" w:cs="Calibri" w:eastAsia="Calibri" w:hAnsi="Calibri"/>
                      <w:b/>
                      <w:bCs/>
                      <w:i w:val="false"/>
                      <w:iCs w:val="false"/>
                      <w:strike w:val="false"/>
                      <w:color w:val="333333"/>
                      <w:sz w:val="24"/>
                      <w:szCs w:val="24"/>
                    </w:rPr>
                    <w:t xml:space="preserve">Fast Mapping (Carey &amp; Bartlett, 1978, Papers and Reports on Child Language Development 15:17–29) describes a child's tentative, single-exposure word-to-referent link — described in the literature itself as “skeletal” and “placeholding,” not a finished concept. This corresponds directly to a single Cross-Modal Binding event (§59.4): a real binding edge is created, but this chapter already specifies that no final concept forms from one such event. Cross-Situational Word Learning (Yu &amp; Smith, 2007, Psychological Science 18:414–420; Smith &amp; Yu, 2008, Cognition 106:1558–1568) describes how learners resolve a single ambiguous naming event's referential uncertainty by tracking co-occurrence statistics across many separate exposures. This corresponds directly to Temporal Concept Consolidation (§59.5–§59.6): a concept does not stabilize from one binding event, but from a tracked pattern across repeated encounters.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59.9.1 Where the Parallel Is Honestly Incomplete</w:t>
            </w:r>
          </w:p>
          <w:p>
            <w:pPr>
              <w:spacing w:after="120" w:line="360" w:lineRule="auto"/>
            </w:pPr>
            <w:r>
              <w:rPr>
                <w:rFonts w:ascii="Calibri" w:cs="Calibri" w:eastAsia="Calibri" w:hAnsi="Calibri"/>
                <w:b w:val="false"/>
                <w:bCs w:val="false"/>
                <w:i w:val="false"/>
                <w:iCs w:val="false"/>
                <w:strike w:val="false"/>
                <w:color w:val="000000"/>
                <w:sz w:val="22"/>
                <w:szCs w:val="22"/>
              </w:rPr>
              <w:t xml:space="preserve">Human word learning research identifies additional disambiguation heuristics not currently part of this chapter's mechanism — a bias toward interpreting a novel word as naming a whole object rather than a part or property, inference from a speaker's gaze direction, and a tendency to assume distinct words carry distinct meanings (mutual exclusivity). This chapter's Cross-Modal Binding relies on co-occurrence detection and semantic-consistency confirmation (§59.4); it does not currently incorporate gaze-direction inference or a whole-object bias as separate disambiguation signals. The verified correspondence is precise for the two-stage timing structure — tentative single-exposure binding, then statistical consolidation across repeated exposures — and is not claimed beyond that.</w:t>
            </w:r>
          </w:p>
          <w:p>
            <w:pPr>
              <w:pStyle w:val="Heading2"/>
              <w:spacing w:after="120" w:before="240" w:line="288" w:lineRule="auto"/>
            </w:pPr>
            <w:r>
              <w:rPr>
                <w:rFonts w:ascii="Calibri" w:cs="Calibri" w:eastAsia="Calibri" w:hAnsi="Calibri"/>
                <w:color w:val="000000"/>
                <w:sz w:val="36"/>
                <w:szCs w:val="36"/>
              </w:rPr>
              <w:t xml:space="preserve">59.9.2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§59.4's Cross-Modal Binding mechanism and §59.5–§59.6's consolidation mechanisms. It modifies none of their specifications; it grounds an existing claim with citation and states its boundary explicitly.</w:t>
            </w:r>
          </w:p>
          <w:p>
            <w:pPr>
              <w:pStyle w:val="Heading2"/>
              <w:spacing w:after="120" w:before="240" w:line="288" w:lineRule="auto"/>
            </w:pPr>
            <w:r>
              <w:rPr>
                <w:rFonts w:ascii="Calibri" w:cs="Calibri" w:eastAsia="Calibri" w:hAnsi="Calibri"/>
                <w:color w:val="000000"/>
                <w:sz w:val="36"/>
                <w:szCs w:val="36"/>
              </w:rPr>
              <w:t xml:space="preserve">59.10 Encyclopedia Content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Encyclopedia entries — a headword, descriptive text, and typically an accompanying image — are an especially strong source for the Box Principle's Cross-Modal Binding (§59.4), since the co-occurrence of a named concept and its depiction is unusually clean and well-structured compared to a general narrative source. This section specifies how encyclopedia content is ingested and how it is bounded with respect to copyrighted expression.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FACTS ARE EXTRACTED FREELY; ORIGINAL EXPRESSION AND IMAGES ARE NOT</w:t>
                  </w:r>
                  <w:r>
                    <w:rPr>
                      <w:rFonts w:ascii="Calibri" w:cs="Calibri" w:eastAsia="Calibri" w:hAnsi="Calibri"/>
                      <w:b/>
                      <w:bCs/>
                      <w:i w:val="false"/>
                      <w:iCs w:val="false"/>
                      <w:strike w:val="false"/>
                      <w:color w:val="333333"/>
                      <w:sz w:val="24"/>
                      <w:szCs w:val="24"/>
                    </w:rPr>
                    <w:t xml:space="preserve">A discrete historical or factual claim within an encyclopedia entry — a date, a name, an event, a definitional attribute — is extracted into a Fact Unit under the fact/expression dichotomy established in Feist Publications, Inc. v. Rural Telephone Service Co., 499 U.S. 340 (1991): a raw fact is not itself copyrightable regardless of which source reported it, and its extraction into a Fact Unit is not a use of the source's protected expression. This section does not extend that principle beyond what it actually covers: a Fact Unit's content must capture the fact itself, not closely track the entry's own original sentence structure or specific wording, and an entry's accompanying image remains a separately copyrighted work subject to this Bible's existing rights-aware ingestion requirements (Chapter 60) — extracting a factual observation from an image (§59.2's sensory-grounded stream) is not the same act as reproducing or redistributing the image itself.</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proceeds through the standard pipeline: the entry's image is processed through Sensory-Grounded World Modeling (§59.2) exactly as any other visual content, and the entry's text is processed through Language-Grounded Semantic Modeling (§59.3), with each discrete factual claim extracted as its own Fact Unit rather than as a reproduction of the entry's original prose. Where an entry's headword and image co-occur, Cross-Modal Binding (§59.4) applies exactly as already specified. An encyclopedia's own categorical structure — genus, family, cross-references to related entries — maps to the Ontology Mesh's existing poly-hierarchical domain structure (Chapter 6) rather than requiring a new classification mechanism.</w:t>
            </w:r>
          </w:p>
          <w:p>
            <w:pPr>
              <w:pStyle w:val="Heading2"/>
              <w:spacing w:after="120" w:before="240" w:line="288" w:lineRule="auto"/>
            </w:pPr>
            <w:r>
              <w:rPr>
                <w:rFonts w:ascii="Calibri" w:cs="Calibri" w:eastAsia="Calibri" w:hAnsi="Calibri"/>
                <w:color w:val="000000"/>
                <w:sz w:val="36"/>
                <w:szCs w:val="36"/>
              </w:rPr>
              <w:t xml:space="preserve">59.10.1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§59.2–§59.4's existing dual-stream and binding mechanisms; the Ontology Mesh (Chapter 6); and Chapter 60's existing rights-validation requirement for image content. It modifies none of their specifications, and introduces no exemption from Chapter 60's rights framework for any content beyond the specific, narrow category of discrete extracted facts already addressed by Feist.</w:t>
            </w:r>
          </w:p>
          <w:p>
            <w:pPr>
              <w:pStyle w:val="Heading2"/>
              <w:spacing w:after="120" w:before="240" w:line="288" w:lineRule="auto"/>
            </w:pPr>
            <w:r>
              <w:rPr>
                <w:rFonts w:ascii="Calibri" w:cs="Calibri" w:eastAsia="Calibri" w:hAnsi="Calibri"/>
                <w:color w:val="000000"/>
                <w:sz w:val="36"/>
                <w:szCs w:val="36"/>
              </w:rPr>
              <w:t xml:space="preserve">59.11 Additional Disambiguation Heuristics for Cross-Modal Binding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gap explicitly named at §59.9.1: three additional disambiguation heuristics identified in real word-learning research, not previously part of this chapter's mechanism, are added to Cross-Modal Binding (§59.4) as additional co-occurrence-resolution signals, used alongside — not in place of — the semantic-consistency confirmation already specified there.</w:t>
            </w:r>
          </w:p>
          <w:p>
            <w:pPr>
              <w:pStyle w:val="Heading3"/>
              <w:spacing w:after="120" w:before="200" w:line="288" w:lineRule="auto"/>
            </w:pPr>
            <w:r>
              <w:rPr>
                <w:rFonts w:ascii="Calibri" w:cs="Calibri" w:eastAsia="Calibri" w:hAnsi="Calibri"/>
                <w:color w:val="000000"/>
                <w:sz w:val="28"/>
                <w:szCs w:val="28"/>
              </w:rPr>
              <w:t xml:space="preserve">59.11.1 Gaze-Direction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ingested content includes a visible speaker and multiple candidate objects are present in the same scene as a spoken label, the speaker's own gaze direction, where observable in the content, is used as an additional signal identifying which object the label most likely refers to (Baldwin, 1991, Child Development 62:875–890). This applies only where a speaker's gaze is actually observable in the ingested content; where it is not, Cross-Modal Binding proceeds exactly as already specified at §59.4, using co-occurrence and semantic consistency alone.</w:t>
            </w:r>
          </w:p>
          <w:p>
            <w:pPr>
              <w:pStyle w:val="Heading3"/>
              <w:spacing w:after="120" w:before="200" w:line="288" w:lineRule="auto"/>
            </w:pPr>
            <w:r>
              <w:rPr>
                <w:rFonts w:ascii="Calibri" w:cs="Calibri" w:eastAsia="Calibri" w:hAnsi="Calibri"/>
                <w:color w:val="000000"/>
                <w:sz w:val="28"/>
                <w:szCs w:val="28"/>
              </w:rPr>
              <w:t xml:space="preserve">59.11.2 Whole-Object Bias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a detected object, Cross-Modal Binding preferentially interprets the label as referring to the object as a whole rather than to one of its parts, its material, or another property, absent specific evidence to the contrary (Markman, 1989, Categorization and Naming in Children; Markman, 1992, Cognitive Development). This is a preference among candidate interpretations, not an exclusion; where content evidence specifically indicates a part or property reference, that evidence governs.</w:t>
            </w:r>
          </w:p>
          <w:p>
            <w:pPr>
              <w:pStyle w:val="Heading3"/>
              <w:spacing w:after="120" w:before="200" w:line="288" w:lineRule="auto"/>
            </w:pPr>
            <w:r>
              <w:rPr>
                <w:rFonts w:ascii="Calibri" w:cs="Calibri" w:eastAsia="Calibri" w:hAnsi="Calibri"/>
                <w:color w:val="000000"/>
                <w:sz w:val="28"/>
                <w:szCs w:val="28"/>
              </w:rPr>
              <w:t xml:space="preserve">59.11.3 Mutual Exclusivity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spoken label co-occurs with multiple candidate objects, at least one of which already has a bound concept from a prior ingestion event, Cross-Modal Binding preferentially binds the new label to the object that does not yet have a bound label, rather than assigning a second label to an already-labeled object (Markman &amp; Wachtel, 1988, Cognitive Psychology 20:121–157). Consistent with the cited research's own finding that this is a default preference rather than an absolute rule, direct evidence that a single object legitimately carries two labels — a synonym, or a name in a different ingested language sharing the same Semantic Hash — overrides this preference rather than being excluded by it.</w:t>
            </w:r>
          </w:p>
          <w:p>
            <w:pPr>
              <w:pStyle w:val="Heading3"/>
              <w:spacing w:after="120" w:before="200" w:line="288" w:lineRule="auto"/>
            </w:pPr>
            <w:r>
              <w:rPr>
                <w:rFonts w:ascii="Calibri" w:cs="Calibri" w:eastAsia="Calibri" w:hAnsi="Calibri"/>
                <w:color w:val="000000"/>
                <w:sz w:val="28"/>
                <w:szCs w:val="28"/>
              </w:rPr>
              <w:t xml:space="preserve">59.11.4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Cross-Modal Binding (§59.4) and the semantic consistency confirmation already specified there. It modifies none of §59.4's existing specification; it adds three additional, evidence-overridable disambiguation signals operating alongside the mechanism already in place. §59.9.1's prior statement that this Bible's mechanism did not incorporate these heuristics is superseded by this section.</w:t>
            </w:r>
          </w:p>
          <w:p>
            <w:pPr>
              <w:pStyle w:val="Heading1"/>
              <w:spacing w:after="120" w:before="240" w:line="288" w:lineRule="auto"/>
            </w:pPr>
            <w:r>
              <w:rPr>
                <w:rFonts w:ascii="Calibri" w:cs="Calibri" w:eastAsia="Calibri" w:hAnsi="Calibri"/>
                <w:color w:val="000000"/>
                <w:sz w:val="32"/>
                <w:szCs w:val="32"/>
              </w:rPr>
              <w:t xml:space="preserve">Chapter 36: Cross-Book Query History Analysis — Reader Intelligence Architecture</w:t>
            </w:r>
          </w:p>
          <w:p>
            <w:r>
              <w:t xml:space="preserve">36.1 Purpose and Scope</w:t>
            </w:r>
            <w:r>
              <w:rPr>
                <w:rFonts w:ascii="Calibri" w:cs="Calibri" w:eastAsia="Calibri" w:hAnsi="Calibri"/>
                <w:b/>
                <w:bCs/>
                <w:i w:val="false"/>
                <w:iCs w:val="false"/>
                <w:strike w:val="false"/>
                <w:color w:val="000000"/>
                <w:sz w:val="22"/>
                <w:szCs w:val="22"/>
              </w:rPr>
              <w:t xml:space="preserve">The Reader Intelligence Architecture (RIA) is QueryBook's system for persisting, analyzing, and leveraging a reader's complete query history across all sessions and all licensed works — not merely within a single session as handled by the Cognitive Context Window (Chapter 7.2), but across the reader's entire lifetime engagement with the QueryBook platform. The RIA serves three functions: (1) Personal continuity — ensuring that a reader returning to a work after days or weeks does not face a cold-start loss of prior conversational and analytical context; (2) Cross-book intelligence — identifying semantic connections between what a reader has queried across multiple different works, enabling QueryBook to surface unexpected thematic, narrative, or factual connections the reader has not explicitly requested; (3) Reader preference modeling — building a structured model of each reader's interests, reading style, and analytical depth, used to personalize query result ranking and annotation surfacing. All three functions operate under the reader's explicit consent and are fully subject to the Zero-Knowledge Encryption scheme (§36.1.1) and the Right-to-Erasure Protocol (Chapter 36.7).</w:t>
            </w:r>
            <w:r>
              <w:rPr>
                <w:rFonts w:ascii="Calibri" w:cs="Calibri" w:eastAsia="Calibri" w:hAnsi="Calibri"/>
                <w:b/>
                <w:bCs/>
                <w:i w:val="false"/>
                <w:iCs w:val="false"/>
                <w:strike w:val="false"/>
                <w:color w:val="1A1A1A"/>
                <w:sz w:val="22"/>
                <w:szCs w:val="22"/>
              </w:rPr>
              <w:t xml:space="preserve">36.2 The Session Archive Fact Unit (SAFU)</w:t>
            </w:r>
            <w:r>
              <w:rPr>
                <w:rFonts w:ascii="Calibri" w:cs="Calibri" w:eastAsia="Calibri" w:hAnsi="Calibri"/>
                <w:b/>
                <w:bCs/>
                <w:i w:val="false"/>
                <w:iCs w:val="false"/>
                <w:strike w:val="false"/>
                <w:color w:val="000000"/>
                <w:sz w:val="22"/>
                <w:szCs w:val="22"/>
              </w:rPr>
              <w:t xml:space="preserve">At the conclusion of every reading session, the Cognitive Context Window's active contents are condensed into a Session Archive Fact Unit (SAFU) — a structured summary record that preserves the semantic substance of the session without retaining the full query-by-query transcript. The SAFU schema contains the following mandatory fields: SAFUID (globally unique UUID), ReaderID (encrypted if ZKE is active), QBFObjectID (the licensed work queried during the session), SessionStartTimestamp (UTC), SessionEndTimestamp (UTC), QueryCount (integer — total number of queries submitted in the session), PrimaryEntityRefs (array of Entity IDs from the Ontology Mesh representing the top five most-queried entities in the session — e.g., character names, locations, themes), PrimaryFUIDRefs (array of the twenty Fact Unit IDs most frequently retrieved during the session), SemanticThemeVector (a 256-dimensional vector encoding the aggregate semantic focus of the session, derived by averaging the EmbeddingVectors of all retrieved Fact Units), PriorSAFUID (the SAFUID of the most recent prior session against the same QBFObjectID, enabling chronological session chaining), and ZKEFlag (boolean).</w:t>
            </w:r>
            <w:r>
              <w:rPr>
                <w:rFonts w:ascii="Calibri" w:cs="Calibri" w:eastAsia="Calibri" w:hAnsi="Calibri"/>
                <w:b/>
                <w:bCs/>
                <w:i w:val="false"/>
                <w:iCs w:val="false"/>
                <w:strike w:val="false"/>
                <w:color w:val="1A1A1A"/>
                <w:sz w:val="22"/>
                <w:szCs w:val="22"/>
              </w:rPr>
              <w:t xml:space="preserve">36.3 The Reader History Index (RHI)</w:t>
            </w:r>
            <w:r>
              <w:rPr>
                <w:rFonts w:ascii="Calibri" w:cs="Calibri" w:eastAsia="Calibri" w:hAnsi="Calibri"/>
                <w:b/>
                <w:bCs/>
                <w:i w:val="false"/>
                <w:iCs w:val="false"/>
                <w:strike w:val="false"/>
                <w:color w:val="000000"/>
                <w:sz w:val="22"/>
                <w:szCs w:val="22"/>
              </w:rPr>
              <w:t xml:space="preserve">All SAFUs produced for a given reader are stored in the Reader History Index (RHI) — a per-reader index structure maintained in the Fact Graph as a distinct reader-scoped subgraph, fully isolated from the public Fact Graph by ICLQ scope constraints. The RHI is organized along three axes: (1) Temporal axis — SAFUs ordered by SessionEndTimestamp, enabling chronological browsing of reading history. (2) Work axis — SAFUs grouped by QBFObjectID, enabling the reader to view their complete query history for a specific book across all sessions. (3) Thematic axis — SAFUs clustered by SemanticThemeVector proximity using an HNSW index maintained over the RHI, enabling the discovery of sessions that explored similar themes even across different books.</w:t>
            </w:r>
            <w:r>
              <w:rPr>
                <w:rFonts w:ascii="Calibri" w:cs="Calibri" w:eastAsia="Calibri" w:hAnsi="Calibri"/>
                <w:b/>
                <w:bCs/>
                <w:i w:val="false"/>
                <w:iCs w:val="false"/>
                <w:strike w:val="false"/>
                <w:color w:val="1A1A1A"/>
                <w:sz w:val="22"/>
                <w:szCs w:val="22"/>
              </w:rPr>
              <w:t xml:space="preserve">36.4 Cross-Session Context Injection</w:t>
            </w:r>
            <w:r>
              <w:rPr>
                <w:rFonts w:ascii="Calibri" w:cs="Calibri" w:eastAsia="Calibri" w:hAnsi="Calibri"/>
                <w:b/>
                <w:bCs/>
                <w:i w:val="false"/>
                <w:iCs w:val="false"/>
                <w:strike w:val="false"/>
                <w:color w:val="000000"/>
                <w:sz w:val="22"/>
                <w:szCs w:val="22"/>
              </w:rPr>
              <w:t xml:space="preserve">When a reader opens a QBF object they have previously queried, the RIA automatically retrieves the most recent SAFU for that work and injects its PrimaryEntityRefs and PrimaryFUIDRefs into the Cognitive Context Window as pre-loaded background context, with SessionRelevanceWeights assigned based on recency and semantic proximity to the current session's first query. This cross-session context injection produces three immediate benefits: (1) Entity continuity — the CCW already knows which characters, locations, and themes the reader was tracking in their prior session; pronoun and reference resolution begins with prior session context already active. (2) Retrieval priority seeding — Fact Units retrieved frequently in prior sessions receive an elevated initial SRW in the current session, making QueryBook more likely to surface them in response to related queries. (3) Implicit resumption — if the reader's first query in the new session is topically continuous with their prior session, QueryBook can answer without requiring the reader to re-establish context, producing the experience of a conversation resumed rather than a conversation restarted.</w:t>
            </w:r>
            <w:r>
              <w:rPr>
                <w:rFonts w:ascii="Calibri" w:cs="Calibri" w:eastAsia="Calibri" w:hAnsi="Calibri"/>
                <w:b/>
                <w:bCs/>
                <w:i w:val="false"/>
                <w:iCs w:val="false"/>
                <w:strike w:val="false"/>
                <w:color w:val="1A1A1A"/>
                <w:sz w:val="22"/>
                <w:szCs w:val="22"/>
              </w:rPr>
              <w:t xml:space="preserve">36.5 Cross-Book Thematic Analysis</w:t>
            </w:r>
            <w:r>
              <w:rPr>
                <w:rFonts w:ascii="Calibri" w:cs="Calibri" w:eastAsia="Calibri" w:hAnsi="Calibri"/>
                <w:b/>
                <w:bCs/>
                <w:i w:val="false"/>
                <w:iCs w:val="false"/>
                <w:strike w:val="false"/>
                <w:color w:val="000000"/>
                <w:sz w:val="22"/>
                <w:szCs w:val="22"/>
              </w:rPr>
              <w:t xml:space="preserve">The cross-book capability of the RIA is implemented through the Thematic Similarity Engine (TSE), which operates over the thematic axis of the RHI. The TSE performs four operations that surface connections across works the reader has engaged with: (1) Intra-reader thematic clustering — the TSE clusters all of a reader's SAFUs by SemanticThemeVector proximity, identifying the recurring thematic concerns that characterize the reader's engagement across their entire library. A reader who consistently queries character motivation, moral ambiguity, and social power dynamics across multiple works is identified as having a thematic profile weighted toward these concerns. (2) Cross-work entity linkage — the TSE scans the PrimaryEntityRefs across all of a reader's SAFUs to identify cases where the same Ontology Mesh entity node appears in sessions against multiple different works. Example: a reader who has queried the concept of 'exile' in three different novels receives a thematic connection alert surfacing the structural similarities in how each author uses the concept. (3) Gap identification — the TSE identifies Fact Units and concept nodes that are thematically adjacent to the reader's established profile but have never been retrieved — representing knowledge gaps relative to the reader's interests. These gaps can be surfaced as recommended queries or recommended works. (4) Insight generation — the Predictive Inference Engine (Chapter 14.4) uses the reader's thematic profile as a weighting input for its inference chains, producing personalized multi-hop reasoning paths that reflect the reader's established analytical interests rather than a generic traversal of the Fact Graph.</w:t>
            </w:r>
            <w:r>
              <w:rPr>
                <w:rFonts w:ascii="Calibri" w:cs="Calibri" w:eastAsia="Calibri" w:hAnsi="Calibri"/>
                <w:b/>
                <w:bCs/>
                <w:i w:val="false"/>
                <w:iCs w:val="false"/>
                <w:strike w:val="false"/>
                <w:color w:val="1A1A1A"/>
                <w:sz w:val="22"/>
                <w:szCs w:val="22"/>
              </w:rPr>
              <w:t xml:space="preserve">36.6 Reader Preference Modeling</w:t>
            </w:r>
            <w:r>
              <w:rPr>
                <w:rFonts w:ascii="Calibri" w:cs="Calibri" w:eastAsia="Calibri" w:hAnsi="Calibri"/>
                <w:b/>
                <w:bCs/>
                <w:i w:val="false"/>
                <w:iCs w:val="false"/>
                <w:strike w:val="false"/>
                <w:color w:val="000000"/>
                <w:sz w:val="22"/>
                <w:szCs w:val="22"/>
              </w:rPr>
              <w:t xml:space="preserve">In addition to thematic analysis, the RIA builds a structured Reader Preference Model (RPM) for each reader, capturing dimensions of reading behavior that inform response personalization: (1) Query depth preference — readers who ask multi-hop questions requiring five or more inference steps are modeled as deep-analytical; readers who ask direct factual questions are modeled as surface-retrieval. The MRE adjusts response depth accordingly. (2) Language register preference — the register and vocabulary level of the reader's own query language is analyzed across sessions to calibrate the MRE's output register. A reader who writes in formal academic English receives responses in matched register. (3) Annotation density — the ratio of annotations to queries across sessions indicates how actively the reader is engaging with the content beyond passive querying. High-annotation readers receive more prominent annotation surfacing in the Reader Portal. (4) Session length and cadence — session duration and inter-session interval patterns are used by the Cross-Session Context Injection system to calibrate how aggressively prior context is pre-loaded. A reader who returns daily needs lighter context injection than a reader who returns monthly.</w:t>
            </w:r>
            <w:r>
              <w:rPr>
                <w:rFonts w:ascii="Calibri" w:cs="Calibri" w:eastAsia="Calibri" w:hAnsi="Calibri"/>
                <w:b/>
                <w:bCs/>
                <w:i w:val="false"/>
                <w:iCs w:val="false"/>
                <w:strike w:val="false"/>
                <w:color w:val="1A1A1A"/>
                <w:sz w:val="22"/>
                <w:szCs w:val="22"/>
              </w:rPr>
              <w:t xml:space="preserve">36.7 Right-to-Erasure Protocol</w:t>
            </w:r>
            <w:r>
              <w:rPr>
                <w:rFonts w:ascii="Calibri" w:cs="Calibri" w:eastAsia="Calibri" w:hAnsi="Calibri"/>
                <w:b/>
                <w:bCs/>
                <w:i w:val="false"/>
                <w:iCs w:val="false"/>
                <w:strike w:val="false"/>
                <w:color w:val="000000"/>
                <w:sz w:val="22"/>
                <w:szCs w:val="22"/>
              </w:rPr>
              <w:t xml:space="preserve">The Reader Intelligence Architecture is fully subject to GDPR Article 17 and CCPA right-to-erasure requirements. QueryBook implements erasure at three levels of granularity: (1) Session-level erasure — a reader can delete any individual SAFU from their RHI. The SAFU is permanently removed from the RHI, its SemanticThemeVector is removed from the HNSW thematic index, and its PrimaryEntityRefs and PrimaryFUIDRefs are removed from all cross-book thematic analysis structures. A Provenance Ledger entry records the deletion event with timestamp and reader-initiated flag. (2) Work-level erasure — a reader can delete all SAFUs associated with a specific QBFObjectID. All session history for that work is permanently removed. (3) Full account erasure — a reader can request deletion of their entire RHI, all SAFUs, all Annotation Fact Units, all Reader Preference Model data, and their Reader ID from all system structures. For readers with ZKE active, full account erasure is implemented as cryptographic erasure — the reader's private key record is deleted, rendering all encrypted blobs permanently unreadable without requiring enumeration and deletion of every individual encrypted blob. For readers without ZKE, full account erasure requires explicit deletion of every SAFU, AFU, and RPM record. Confirmation of full account erasure is delivered to the reader with a Provenance Ledger attestation record.</w:t>
            </w:r>
          </w:p>
          <w:p>
            <w:pPr>
              <w:pStyle w:val="Heading3"/>
              <w:spacing w:after="120" w:before="200" w:line="288" w:lineRule="auto"/>
            </w:pPr>
            <w:r>
              <w:rPr>
                <w:rFonts w:ascii="Calibri" w:cs="Calibri" w:eastAsia="Calibri" w:hAnsi="Calibri"/>
                <w:color w:val="000000"/>
                <w:sz w:val="28"/>
                <w:szCs w:val="28"/>
              </w:rPr>
              <w:t xml:space="preserve">36.7.1 Live-Session Erasure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a real gap in §36.7's existing erasure protocol: the Cognitive Context Window's active query-and-response transcript (§36.2) exists in an unerasable state for the duration of a session, since §36.7's erasure actions operate on the SAFU produced only after session-end condensation. This section adds an explicit, immediate, user-initiated action clearing the live transcript itself, available at any point during an active session — the reader-facing equivalent of clearing browser history, but available in real time rather than only after the 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IMMEDIATE, EXPLICIT, AND CONFIRMED — NOT A DIFFERENT GUARANTEE THAN ALREADY EXISTS</w:t>
                  </w:r>
                  <w:r>
                    <w:rPr>
                      <w:rFonts w:ascii="Calibri" w:cs="Calibri" w:eastAsia="Calibri" w:hAnsi="Calibri"/>
                      <w:b/>
                      <w:bCs/>
                      <w:i w:val="false"/>
                      <w:iCs w:val="false"/>
                      <w:strike w:val="false"/>
                      <w:color w:val="333333"/>
                      <w:sz w:val="24"/>
                      <w:szCs w:val="24"/>
                    </w:rPr>
                    <w:t xml:space="preserve">This section does not create a new privacy property; the transcript was already never retained past session end (§36.2). It converts an implicit design fact into an explicit, user-triggerable, confirmed action: a reader may clear the live Cognitive Context Window's query-and-response content at any time during an active session, immediately, without waiting for session end. Where the session continues after clearing, a new SAFU reflects only post-clearing activity; content already cleared is not included in session-end condensation.</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On invocation: (1) the Cognitive Context Window's active transcript is cleared immediately, client- and server-side; (2) no partial or condensed record of the cleared content is created — the action is a full clear, not a summarization; (3) a Provenance Ledger entry records that a live-session erasure occurred, with timestamp and reader-initiated flag, consistent with §36.7's existing confirmation pattern, but without retaining the cleared content itself in that record; (4) the reader receives on-screen confirmation that the action completed. Where ZKE is active for the session, this action requires no additional key operation — the content is removed outright rather than rendered unreadable.</w:t>
            </w:r>
          </w:p>
          <w:p>
            <w:pPr>
              <w:pStyle w:val="Heading3"/>
              <w:spacing w:after="120" w:before="200" w:line="288" w:lineRule="auto"/>
            </w:pPr>
            <w:r>
              <w:rPr>
                <w:rFonts w:ascii="Calibri" w:cs="Calibri" w:eastAsia="Calibri" w:hAnsi="Calibri"/>
                <w:color w:val="000000"/>
                <w:sz w:val="28"/>
                <w:szCs w:val="28"/>
              </w:rPr>
              <w:t xml:space="preserve">36.7.2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Cognitive Context Window and SAFU condensation process (§36.2); §36.7's existing erasure levels and Provenance Ledger confirmation pattern; and, where active, Zero-Knowledge Encryption (§36.1.1). It modifies none of their specifications; it adds an immediate action operating on content §36.7's existing actions could not yet reach.</w:t>
            </w:r>
          </w:p>
          <w:p>
            <w:pPr>
              <w:pStyle w:val="Heading3"/>
              <w:spacing w:after="120" w:before="200" w:line="288" w:lineRule="auto"/>
            </w:pPr>
            <w:r>
              <w:rPr>
                <w:rFonts w:ascii="Calibri" w:cs="Calibri" w:eastAsia="Calibri" w:hAnsi="Calibri"/>
                <w:color w:val="000000"/>
                <w:sz w:val="28"/>
                <w:szCs w:val="28"/>
              </w:rPr>
              <w:t xml:space="preserve">36.7.3 Retention-Minimized SAFU (Opt-In Retention)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strengthens data minimization by reversing SAFU's default retention posture, extending the session-scoped-by-default pattern already established at Chapter 95 (Complementary Learning Systems Formalization) from Personal Object Location results to reader history generally. Previously, a SAFU was created automatically at session end and retained indefinitely until a reader took explicit action to erase it under §36.7. This section changes the default: a SAFU is retained only where a reader has explicitly elected to retain reader history, and is not created as persistent storage otherwise.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DEFAULT IS NOW MINIMAL; RETENTION IS THE OPT-IN, NOT ERASURE</w:t>
                  </w:r>
                  <w:r>
                    <w:rPr>
                      <w:rFonts w:ascii="Calibri" w:cs="Calibri" w:eastAsia="Calibri" w:hAnsi="Calibri"/>
                      <w:b/>
                      <w:bCs/>
                      <w:i w:val="false"/>
                      <w:iCs w:val="false"/>
                      <w:strike w:val="false"/>
                      <w:color w:val="333333"/>
                      <w:sz w:val="24"/>
                      <w:szCs w:val="24"/>
                    </w:rPr>
                    <w:t xml:space="preserve">Where a reader has not affirmatively elected reader-history retention, session activity is condensed into a SAFU only transiently, for the duration needed to support the active session's own immediate features, and is discarded at session end rather than persisted — no separate erasure action is needed for data that was never retained. Where a reader has affirmatively elected retention — to support features that depend on history, such as Cross-Book Thematic Analysis (Chapter 36) or personalized recommendations — SAFU creation and retention proceed exactly as already specified at §36.2, fully subject to §36.7's existing erasure protocol and §36.7.1's live-session erasure. This section does not weaken either erasure mechanism; it changes what persists by default before erasure would ever become necessary.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reader's retention election is itself a Fact Unit-backed, auditable preference, changeable at any time; changing from retain to non-retain does not retroactively delete already-existing SAFUs, which remain governed by §36.7's existing erasure actions. Changing from non-retain to retain applies prospectively to future sessions only. A reader relying on features requiring history (§36.7.3's own retention-dependent examples) is informed at the point of electing non-retention that those specific features will not function without it, so the trade-off is transparent rather than a silent feature loss.</w:t>
            </w:r>
          </w:p>
          <w:p>
            <w:pPr>
              <w:pStyle w:val="Heading3"/>
              <w:spacing w:after="120" w:before="200" w:line="288" w:lineRule="auto"/>
            </w:pPr>
            <w:r>
              <w:rPr>
                <w:rFonts w:ascii="Calibri" w:cs="Calibri" w:eastAsia="Calibri" w:hAnsi="Calibri"/>
                <w:color w:val="000000"/>
                <w:sz w:val="28"/>
                <w:szCs w:val="28"/>
              </w:rPr>
              <w:t xml:space="preserve">36.7.4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SAFU schema and condensation process (§36.2); the session-scoped-by-default pattern formalized at Chapter 95; and §36.7–§36.7.1's existing erasure mechanisms, which continue to govern any SAFU a reader has elected to retain. It modifies none of their specifications; it changes the default retention posture that precedes them.</w:t>
            </w:r>
          </w:p>
          <w:p>
            <w:pPr>
              <w:pStyle w:val="Heading3"/>
              <w:spacing w:after="120" w:before="200" w:line="288" w:lineRule="auto"/>
            </w:pPr>
            <w:r>
              <w:rPr>
                <w:rFonts w:ascii="Calibri" w:cs="Calibri" w:eastAsia="Calibri" w:hAnsi="Calibri"/>
                <w:color w:val="000000"/>
                <w:sz w:val="28"/>
                <w:szCs w:val="28"/>
              </w:rPr>
              <w:t xml:space="preserve">36.7.5 Correction — Retention Restored as Default</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explicit instruction, §36.7.3's default retention posture is reversed. A SAFU is once again created and retained automatically at session end, as originally specified at §36.2, rather than only where a reader has affirmatively elected retention. §36.7.3's opt-in-retention model, and the session-scoped-by-default pattern it drew from Chapter 95, remain valid and available where a future deployment or operator elects that posture; they are not the operative default under this correction.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RETENTION IS DEFAULT; DESTRUCTION IS THE OPTION</w:t>
                  </w:r>
                  <w:r>
                    <w:rPr>
                      <w:rFonts w:ascii="Calibri" w:cs="Calibri" w:eastAsia="Calibri" w:hAnsi="Calibri"/>
                      <w:b/>
                      <w:bCs/>
                      <w:i w:val="false"/>
                      <w:iCs w:val="false"/>
                      <w:strike w:val="false"/>
                      <w:color w:val="333333"/>
                      <w:sz w:val="24"/>
                      <w:szCs w:val="24"/>
                    </w:rPr>
                    <w:t xml:space="preserve">The operative default, as of this section, is: reader queries and responses are retained automatically, unless and until a reader takes explicit action to erase them. Destruction and erasure remain fully available as user-initiated options, entirely unchanged by this correction — §36.7's three-level erasure (session, work, full account), and §36.7.1's immediate live-session erasure, both continue to operate exactly as already specified. This correction changes only which state is automatic and which state requires an explicit action; it removes no capability and weakens no existing erasure mechanism.</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is a legitimate, common product posture, distinct from the request declined two turns prior to §36.7.3: retaining data by default with a genuine, working, user-controlled destruction option is not an attempt to defeat lawful process — it is an ordinary retention model with real, functioning user control over their own data, the same shape as most consumer services' history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Where ZKE (§36.1.1) is active, retention under this default is still subject to the platform's inability to decrypt without the reader's own passphrase — this correction changes only whether a SAFU is created and retained, not the encryption guarantee governing it where a reader has separately opted into ZKE.</w:t>
            </w:r>
          </w:p>
          <w:p>
            <w:r>
              <w:rPr>
                <w:rFonts w:ascii="Calibri" w:cs="Calibri" w:eastAsia="Calibri" w:hAnsi="Calibri"/>
                <w:b/>
                <w:bCs/>
                <w:i w:val="false"/>
                <w:iCs w:val="false"/>
                <w:strike w:val="false"/>
                <w:color w:val="1A1A1A"/>
                <w:sz w:val="22"/>
                <w:szCs w:val="22"/>
              </w:rPr>
              <w:t xml:space="preserve">36.8 Reader Portal — History Interface Specification</w:t>
            </w:r>
            <w:r>
              <w:rPr>
                <w:rFonts w:ascii="Calibri" w:cs="Calibri" w:eastAsia="Calibri" w:hAnsi="Calibri"/>
                <w:b/>
                <w:bCs/>
                <w:i w:val="false"/>
                <w:iCs w:val="false"/>
                <w:strike w:val="false"/>
                <w:color w:val="000000"/>
                <w:sz w:val="22"/>
                <w:szCs w:val="22"/>
              </w:rPr>
              <w:t xml:space="preserve">The Reader Portal exposes the Reader History Index through four interface views: (1) Timeline View — a chronological list of all sessions across all works, showing QBFObjectID (book title), session date, query count, and the reader's own annotations from that session. Each session entry is expandable to show the PrimaryEntityRefs retrieved during that session. (2) By-Book View — the reader selects a specific work from their library and sees all sessions against that work in chronological order, with aggregate query counts and a semantic theme summary for each session. (3) Thematic Map View — a visual representation of the reader's SemanticThemeVector clusters across all sessions and all works, showing which thematic areas the reader has explored most intensively and which remain unexplored. (4) Annotation Library View — a consolidated view of all Annotation Fact Units across all works, filterable by AnnotationType, QBFObjectID, date range, and full-text search within annotation content. All four views respect ZKE — if ZKE is active, the Portal prompts for the reader's passphrase before decrypting and displaying any history content. Decryption occurs exclusively on the reader's device; no decrypted content is transmitted to the server.</w:t>
            </w:r>
          </w:p>
          <w:p>
            <w:pPr>
              <w:pStyle w:val="Heading1"/>
              <w:spacing w:after="120" w:before="240" w:line="288" w:lineRule="auto"/>
            </w:pPr>
            <w:r>
              <w:rPr>
                <w:rFonts w:ascii="Calibri" w:cs="Calibri" w:eastAsia="Calibri" w:hAnsi="Calibri"/>
                <w:color w:val="000000"/>
                <w:sz w:val="32"/>
                <w:szCs w:val="32"/>
              </w:rPr>
              <w:t xml:space="preserve">Chapter 37: Conversational Intelligence Layer — QueryBook's Human Dialogue Architecture</w:t>
            </w:r>
          </w:p>
          <w:p>
            <w:r>
              <w:t xml:space="preserve">37.1 Purpose and Architectural Position</w:t>
            </w:r>
            <w:r>
              <w:rPr>
                <w:rFonts w:ascii="Calibri" w:cs="Calibri" w:eastAsia="Calibri" w:hAnsi="Calibri"/>
                <w:b/>
                <w:bCs/>
                <w:i w:val="false"/>
                <w:iCs w:val="false"/>
                <w:strike w:val="false"/>
                <w:color w:val="000000"/>
                <w:sz w:val="22"/>
                <w:szCs w:val="22"/>
              </w:rPr>
              <w:t xml:space="preserve">The Conversational Intelligence Layer (CIL) is the architectural system that governs QueryBook's ability to engage in multi-turn human dialogue — not as a language model predicting conversational text, but as a meaning engine that understands what a human is communicating, tracks the full semantic structure of the conversation in working memory, and generates responses that are grounded in stored Fact Units rather than generated from statistical patterns. The CIL sits between the Reader Portal (which receives raw text or speech input from the reader) and the Semantic Q&amp;A Domain (which performs Fact Graph retrieval). It is responsible for four capabilities that together constitute genuine conversational competence: (1) intent classification — understanding what type of communicative act the reader is performing; (2) coreference resolution — deterministically resolving pronouns and references to prior conversational entities; (3) clarification management — detecting ambiguous or incomplete queries and generating targeted clarification requests; and (4) response adaptation — adjusting response length, depth, register, and format to match the reader's demonstrated preferences and the conversational context.</w:t>
            </w:r>
            <w:r>
              <w:rPr>
                <w:rFonts w:ascii="Calibri" w:cs="Calibri" w:eastAsia="Calibri" w:hAnsi="Calibri"/>
                <w:b/>
                <w:bCs/>
                <w:i w:val="false"/>
                <w:iCs w:val="false"/>
                <w:strike w:val="false"/>
                <w:color w:val="1A1A1A"/>
                <w:sz w:val="22"/>
                <w:szCs w:val="22"/>
              </w:rPr>
              <w:t xml:space="preserve">37.2 Intent Classification Engine (ICE)</w:t>
            </w:r>
            <w:r>
              <w:rPr>
                <w:rFonts w:ascii="Calibri" w:cs="Calibri" w:eastAsia="Calibri" w:hAnsi="Calibri"/>
                <w:b/>
                <w:bCs/>
                <w:i w:val="false"/>
                <w:iCs w:val="false"/>
                <w:strike w:val="false"/>
                <w:color w:val="000000"/>
                <w:sz w:val="22"/>
                <w:szCs w:val="22"/>
              </w:rPr>
              <w:t xml:space="preserve">Every reader query received by the CIL is first classified by the Intent Classification Engine before any retrieval operation begins. The ICE assigns every query to exactly one of seven intent categories: (1) FACTUAL_QUERY — the reader is requesting a specific fact or set of facts from the ingested content. Markers: question words (who, what, when, where), definite references to named entities, specific chapter or scene references. Processing path: direct Fact Graph traversal. Example: 'What did Marcus find in the warehouse?' (2) EXPLANATORY_QUERY — the reader is requesting an explanation of why something happened or how something works within the content. Markers: 'why', 'how', 'explain', 'what caused'. Processing path: multi-hop causal traversal via the Reasoning Domain. Example: 'Why did Marcus leave the city?' (3) CLARIFICATION_REQUEST — the reader is asking QueryBook to clarify, expand, or rephrase a prior answer. Markers: 'what did you mean', 'can you explain that', 'I don't understand', reference to 'your answer' or 'you said'. Processing path: CCW lookup of prior answer Fact Units followed by reformulation. Example: 'What did you mean by that last part?' (4) FOLLOW_UP — the reader is continuing a prior topic without re-establishing the subject. Markers: pronouns referring to CCW-active entities, temporal markers ('and then', 'after that', 'what next'), short queries of three words or fewer. Processing path: CCW-seeded retrieval with prior entity resolution pre-applied. Example: 'And what happened next?' (5) COMPARATIVE_QUERY — the reader is asking QueryBook to compare two things. Markers: 'compare', 'difference between', 'how is X different from Y', 'which one'. Processing path: parallel dual-branch Fact Graph traversal with comparative synthesis. Example: 'How is Marcus different from his brother?' (6) INTERPRETIVE_QUERY — the reader is asking for an interpretation, analysis, or opinion about the content. Markers: 'why do you think', 'what does it mean', 'what is the author trying to say', 'is it significant that'. Processing path: Narrative Graph System plus World Brain social schema interpretation. Example: 'What do you think the author meant by the ending?' (7) VAGUE_OR_AMBIGUOUS — the reader's query lacks sufficient specificity to initiate retrieval. Markers: queries below three words without CCW context, entity references that cannot be resolved to the Ontology Mesh or the CCW. Processing path: Clarification Generation Engine. Example: 'Tell me more.'</w:t>
            </w:r>
            <w:r>
              <w:rPr>
                <w:rFonts w:ascii="Calibri" w:cs="Calibri" w:eastAsia="Calibri" w:hAnsi="Calibri"/>
                <w:b/>
                <w:bCs/>
                <w:i w:val="false"/>
                <w:iCs w:val="false"/>
                <w:strike w:val="false"/>
                <w:color w:val="1A1A1A"/>
                <w:sz w:val="22"/>
                <w:szCs w:val="22"/>
              </w:rPr>
              <w:t xml:space="preserve">37.3 Coreference Resolution Protocol (CRP)</w:t>
            </w:r>
            <w:r>
              <w:rPr>
                <w:rFonts w:ascii="Calibri" w:cs="Calibri" w:eastAsia="Calibri" w:hAnsi="Calibri"/>
                <w:b/>
                <w:bCs/>
                <w:i w:val="false"/>
                <w:iCs w:val="false"/>
                <w:strike w:val="false"/>
                <w:color w:val="000000"/>
                <w:sz w:val="22"/>
                <w:szCs w:val="22"/>
              </w:rPr>
              <w:t xml:space="preserve">The Coreference Resolution Protocol is the deterministic mechanism by which the CIL resolves all pronouns, demonstratives, and elliptical references in a reader query to specific, typed entities in the Cognitive Context Window or the Fact Graph. The CRP operates as a four-step process applied to every query after intent classification: (1) Reference span detection — the CRP identifies all referential expressions in the query that require resolution: personal pronouns (he, she, it, they, him, her, them), demonstrative pronouns (this, that, these, those), definite descriptions that refer back to a prior mention ('the character', 'the book', 'that event'), and zero-subject ellipsis ('And then?' with no explicit subject). (2) CCW candidate generation — for each reference span, the CRP queries the CCW for all entities of the semantically appropriate type that are currently active with a SessionRelevanceWeight above 0.20. A third-person singular masculine pronoun ('he') generates candidates from all PERSON-type entities with masculine gender attribute in the CCW. A demonstrative ('that') generates candidates from all entities retrieved in the immediately prior query turn. (3) Candidate ranking — candidates are ranked by a composite score: SRW (higher recency = higher score) × SemanticRoleCompatibility (entities whose most recent Fact Graph role matches the grammatical role of the reference span score higher) × TypeCompatibility (entities whose Ontology Mesh type is compatible with the predicate of the current query score higher). (4) Resolution commitment — the top-ranked candidate is committed as the resolution for the reference span. If the top candidate's composite score is below 0.45, the CRP flags the reference as unresolvable and passes the query to the Clarification Generation Engine rather than committing a low-confidence resolution. All resolution decisions are logged to the session's CCW state with their composite scores, enabling retrospective inspection of any resolution choice.</w:t>
            </w:r>
            <w:r>
              <w:rPr>
                <w:rFonts w:ascii="Calibri" w:cs="Calibri" w:eastAsia="Calibri" w:hAnsi="Calibri"/>
                <w:b/>
                <w:bCs/>
                <w:i w:val="false"/>
                <w:iCs w:val="false"/>
                <w:strike w:val="false"/>
                <w:color w:val="1A1A1A"/>
                <w:sz w:val="22"/>
                <w:szCs w:val="22"/>
              </w:rPr>
              <w:t xml:space="preserve">37.4 Clarification Generation Engine (CGE)</w:t>
            </w:r>
            <w:r>
              <w:rPr>
                <w:rFonts w:ascii="Calibri" w:cs="Calibri" w:eastAsia="Calibri" w:hAnsi="Calibri"/>
                <w:b/>
                <w:bCs/>
                <w:i w:val="false"/>
                <w:iCs w:val="false"/>
                <w:strike w:val="false"/>
                <w:color w:val="000000"/>
                <w:sz w:val="22"/>
                <w:szCs w:val="22"/>
              </w:rPr>
              <w:t xml:space="preserve">The Clarification Generation Engine is invoked in two circumstances: (1) when the ICE classifies a query as VAGUE_OR_AMBIGUOUS; and (2) when the CRP cannot resolve a reference span with sufficient confidence. The CGE generates a targeted, minimal clarification request — not a generic 'I don't understand' response, but a precisely scoped question that identifies exactly what information is missing and offers the most likely candidates as options. The CGE operates as follows: (1) Gap identification — the CGE identifies the specific missing element: an unresolvable entity reference, an underspecified temporal scope, an ambiguous predicate, or an insufficiently specified comparison target. (2) Candidate surfacing — the CGE retrieves the top three most plausible interpretations of the ambiguous element from the CCW and the Fact Graph and presents them as options within the clarification request. (3) Clarification formulation — the MRE generates a natural-language clarification question anchored to the specific gap. Example: if the reader asks 'Tell me more' after a session discussing both Marcus and his sister Elena, the CGE generates: 'Did you want to know more about Marcus or about Elena?' rather than the generic 'Could you be more specific?' (4) Clarification response integration — when the reader responds to the clarification request, the CGE resolves the gap using the reader's response, commits the resolution to the CCW, and resubmits the original query with the resolution applied, producing the intended answer without requiring the reader to reformulate their original question.</w:t>
            </w:r>
            <w:r>
              <w:rPr>
                <w:rFonts w:ascii="Calibri" w:cs="Calibri" w:eastAsia="Calibri" w:hAnsi="Calibri"/>
                <w:b/>
                <w:bCs/>
                <w:i w:val="false"/>
                <w:iCs w:val="false"/>
                <w:strike w:val="false"/>
                <w:color w:val="1A1A1A"/>
                <w:sz w:val="22"/>
                <w:szCs w:val="22"/>
              </w:rPr>
              <w:t xml:space="preserve">37.5 Repetition and Frustration Detection</w:t>
            </w:r>
            <w:r>
              <w:rPr>
                <w:rFonts w:ascii="Calibri" w:cs="Calibri" w:eastAsia="Calibri" w:hAnsi="Calibri"/>
                <w:b/>
                <w:bCs/>
                <w:i w:val="false"/>
                <w:iCs w:val="false"/>
                <w:strike w:val="false"/>
                <w:color w:val="000000"/>
                <w:sz w:val="22"/>
                <w:szCs w:val="22"/>
              </w:rPr>
              <w:t xml:space="preserve">The CIL monitors the conversation for signals of comprehension failure — situations where QueryBook's responses are not meeting the reader's informational need. Two detection mechanisms operate continuously: (1) Query repetition detection — the CIL computes the SemanticHash of every incoming query and compares it against the SemanticHashes of all prior queries in the current CCW. If the new query's SemanticHash is within a configurable similarity threshold of a prior query's SemanticHash (indicating the reader is asking the same question again in different words), the CIL flags this as a repetition event and activates the Response Reformulation Protocol (Section 37.6) rather than returning the same answer a second time. (2) Explicit dissatisfaction detection — the ICE monitors for explicit dissatisfaction markers: 'that's not what I asked', 'you didn't answer my question', 'that's wrong', 'try again'. Detection of any explicit dissatisfaction marker activates the Response Reformulation Protocol immediately, regardless of whether a repetition event has been detected.</w:t>
            </w:r>
            <w:r>
              <w:rPr>
                <w:rFonts w:ascii="Calibri" w:cs="Calibri" w:eastAsia="Calibri" w:hAnsi="Calibri"/>
                <w:b/>
                <w:bCs/>
                <w:i w:val="false"/>
                <w:iCs w:val="false"/>
                <w:strike w:val="false"/>
                <w:color w:val="1A1A1A"/>
                <w:sz w:val="22"/>
                <w:szCs w:val="22"/>
              </w:rPr>
              <w:t xml:space="preserve">37.6 Response Reformulation Protocol (RRP)</w:t>
            </w:r>
            <w:r>
              <w:rPr>
                <w:rFonts w:ascii="Calibri" w:cs="Calibri" w:eastAsia="Calibri" w:hAnsi="Calibri"/>
                <w:b/>
                <w:bCs/>
                <w:i w:val="false"/>
                <w:iCs w:val="false"/>
                <w:strike w:val="false"/>
                <w:color w:val="000000"/>
                <w:sz w:val="22"/>
                <w:szCs w:val="22"/>
              </w:rPr>
              <w:t xml:space="preserve">When repetition or frustration is detected, the Response Reformulation Protocol generates a reformulated response to the same underlying query using a different explanatory strategy: (1) Depth adjustment — if the prior response was high-level and the reader is dissatisfied, the RRP retrieves additional supporting Fact Units and constructs a more detailed response. If the prior response was detailed and the reader is dissatisfied, the RRP compresses to the single most directly relevant Fact Unit and presents it without elaboration. (2) Anchor shifting — the RRP identifies which aspect of the query the prior response addressed and deliberately shifts to a different aspect. If the reader asked why Marcus left and the prior response addressed his external circumstances, the RRP constructs a response focusing on his internal motivation Fact Units. (3) Example injection — the RRP retrieves a specific scene or passage Fact Unit that concretely illustrates the abstract answer provided in the prior response, grounding the explanation in the text rather than in conceptual summary. (4) Concession and redirect — if the RRP determines that the query cannot be answered with higher confidence because the relevant Fact Units do not exist in the ingested content, it generates an explicit acknowledgment: 'The text does not provide a direct answer to this question, but the closest available information is...' followed by the most semantically adjacent Fact Units available. This honest acknowledgment of knowledge boundaries is architecturally guaranteed — QueryBook cannot fabricate an answer because it cannot generate text that is not Fact Unit grounded.</w:t>
            </w:r>
            <w:r>
              <w:rPr>
                <w:rFonts w:ascii="Calibri" w:cs="Calibri" w:eastAsia="Calibri" w:hAnsi="Calibri"/>
                <w:b/>
                <w:bCs/>
                <w:i w:val="false"/>
                <w:iCs w:val="false"/>
                <w:strike w:val="false"/>
                <w:color w:val="1A1A1A"/>
                <w:sz w:val="22"/>
                <w:szCs w:val="22"/>
              </w:rPr>
              <w:t xml:space="preserve">37.7 Response Adaptation Architecture</w:t>
            </w:r>
            <w:r>
              <w:rPr>
                <w:rFonts w:ascii="Calibri" w:cs="Calibri" w:eastAsia="Calibri" w:hAnsi="Calibri"/>
                <w:b/>
                <w:bCs/>
                <w:i w:val="false"/>
                <w:iCs w:val="false"/>
                <w:strike w:val="false"/>
                <w:color w:val="000000"/>
                <w:sz w:val="22"/>
                <w:szCs w:val="22"/>
              </w:rPr>
              <w:t xml:space="preserve">Beyond reformulation in failure cases, the CIL continuously adapts every response to match the conversational context and the reader's demonstrated preferences as modeled by the Reader Preference Model (Chapter 36.6). Four adaptation parameters are applied to every response generated by the MRE: (1) Depth parameter — set to SURFACE, STANDARD, or DEEP based on the current query's intent classification and the reader's historical query depth preference from the RPM. SURFACE responses provide the single most relevant Fact Unit with minimal elaboration. STANDARD responses provide two to four related Fact Units with logical connective structure. DEEP responses provide multi-hop traversal results with causal chain elaboration and supporting evidence. (2) Register parameter — set to FORMAL, NEUTRAL, or CASUAL based on the reader's query language register as analyzed across the current session and prior sessions in the RPM. Register calibration is applied by the MRE at the lexical selection and sentence structure generation stages. (3) Citation mode — set to INLINE, SUMMARY, or NONE based on the reader's annotation behavior and query type. INLINE mode appends a passage reference ('as described in Chapter 7') to each Fact Unit in the response. SUMMARY mode appends a single consolidated source reference at the end of the response. NONE mode omits citations for conversational follow-up queries where citation would disrupt the flow. (4) Length parameter — maximum response length in Fact Unit count, calibrated to the query's intent classification: FACTUAL_QUERY maximum 3 Fact Units; EXPLANATORY_QUERY maximum 8 Fact Units; COMPARATIVE_QUERY maximum 6 Fact Units per branch; INTERPRETIVE_QUERY maximum 10 Fact Units.</w:t>
            </w:r>
            <w:r>
              <w:rPr>
                <w:rFonts w:ascii="Calibri" w:cs="Calibri" w:eastAsia="Calibri" w:hAnsi="Calibri"/>
                <w:b/>
                <w:bCs/>
                <w:i w:val="false"/>
                <w:iCs w:val="false"/>
                <w:strike w:val="false"/>
                <w:color w:val="1A1A1A"/>
                <w:sz w:val="22"/>
                <w:szCs w:val="22"/>
              </w:rPr>
              <w:t xml:space="preserve">37.8 Multi-Turn Session Memory — Full Architecture Summary</w:t>
            </w:r>
            <w:r>
              <w:rPr>
                <w:rFonts w:ascii="Calibri" w:cs="Calibri" w:eastAsia="Calibri" w:hAnsi="Calibri"/>
                <w:b/>
                <w:bCs/>
                <w:i w:val="false"/>
                <w:iCs w:val="false"/>
                <w:strike w:val="false"/>
                <w:color w:val="000000"/>
                <w:sz w:val="22"/>
                <w:szCs w:val="22"/>
              </w:rPr>
              <w:t xml:space="preserve">The complete multi-turn session memory architecture integrates components from four chapters of this specification: (1) Cognitive Context Window (Chapter 7.2) — the working memory buffer holding all Fact Units retrieved in the current session with their SessionRelevanceWeights, subject to exponential decay over query turns. Capacity: 8,192 Fact Units simultaneously. (2) Coreference Resolution Protocol (Chapter 37.3) — deterministic resolution of all pronouns and references to CCW-active entities, logged with composite scores. (3) Session Archive Fact Unit (Chapter 36.2) — the condensed session summary produced at session end, storing the semantic substance of the session for cross-session continuity. (4) Cross-Session Context Injection (Chapter 36.4) — pre-loading of prior SAFU content into the CCW at session start, providing continuity across days and weeks of reading. Together these four mechanisms ensure that a reader who asks twenty questions across three sessions separated by two weeks receives responses in the third session that are contextually informed by everything established in sessions one and two — with no cold start, no context loss, and no requirement to re-establish prior ground.</w:t>
            </w:r>
            <w:r>
              <w:rPr>
                <w:rFonts w:ascii="Calibri" w:cs="Calibri" w:eastAsia="Calibri" w:hAnsi="Calibri"/>
                <w:b/>
                <w:bCs/>
                <w:i w:val="false"/>
                <w:iCs w:val="false"/>
                <w:strike w:val="false"/>
                <w:color w:val="1A1A1A"/>
                <w:sz w:val="22"/>
                <w:szCs w:val="22"/>
              </w:rPr>
              <w:t xml:space="preserve">37.9 Patent Significance</w:t>
            </w:r>
            <w:r>
              <w:rPr>
                <w:rFonts w:ascii="Calibri" w:cs="Calibri" w:eastAsia="Calibri" w:hAnsi="Calibri"/>
                <w:b/>
                <w:bCs/>
                <w:i w:val="false"/>
                <w:iCs w:val="false"/>
                <w:strike w:val="false"/>
                <w:color w:val="000000"/>
                <w:sz w:val="22"/>
                <w:szCs w:val="22"/>
              </w:rPr>
              <w:t xml:space="preserve">The Conversational Intelligence Layer constitutes patentably novel subject matter across five independent dimensions: (1) The Intent Classification Engine — a seven-category semantic intent classifier that operates on language-agnostic Query Structs rather than on token sequences, enabling intent classification that is language-independent and provably grounded in semantic structure rather than statistical surface patterns. (2) The Coreference Resolution Protocol — a deterministic, composite-scored coreference resolution system that operates over a typed semantic working memory (the CCW) rather than over a token sequence context window, enabling guaranteed referent resolution with auditable scoring at every resolution decision. (3) The Clarification Generation Engine — a candidate-surfacing clarification system that identifies the exact missing element in an underspecified query and presents the most plausible resolutions as structured options, as opposed to generic disambiguation prompts. (4) The Repetition and Frustration Detection system — a SemanticHash-based query repetition detector that identifies semantically equivalent queries expressed in different words, triggering systematic response reformulation rather than repeated identical answers. (5) The integrated multi-turn session architecture — the specific combination of the CCW, CRP, SAFU, and cross-session context injection that produces persistent, semantically coherent multi-session dialogue without the use of any large language model context window or token-based memory mechanism. Each of these five dimensions is novel relative to all prior art in conversational AI, book Q&amp;A systems, and natural language interfaces.DOCUMENT CONTROL NOTICE</w:t>
            </w:r>
            <w:r>
              <w:rPr>
                <w:rFonts w:ascii="Calibri" w:cs="Calibri" w:eastAsia="Calibri" w:hAnsi="Calibri"/>
                <w:b/>
                <w:bCs/>
                <w:i w:val="false"/>
                <w:iCs w:val="false"/>
                <w:strike w:val="false"/>
                <w:color w:val="333333"/>
                <w:sz w:val="24"/>
                <w:szCs w:val="24"/>
              </w:rPr>
              <w:t xml:space="preserve">This document — QueryBook Bible: Canonical Core Technology Specification, Version 1.0, dated August 1, 2026 — constitutes the complete and authoritative specification of the QueryBook system as of its stated date. All future amendments, addenda, and errata must be issued as formally versioned supplements referencing this document by its version identifier. No oral or informal representations modify the terms of this Specification. This document supersedes all prior drafts, presentations, whitepapers, and informal technical descriptions of the QueryBook system. Prepared and authorized by the QueryBook Core Technology Group.</w:t>
            </w:r>
          </w:p>
        </w:tc>
      </w:tr>
    </w:tbl>
    <w:p>
      <w:pPr>
        <w:spacing w:after="200" w:before="0"/>
      </w:pPr>
    </w:p>
    <w:p>
      <w:pPr>
        <w:spacing w:after="120" w:line="360" w:lineRule="auto"/>
        <w:jc w:val="center"/>
      </w:pPr>
      <w:r>
        <w:rPr>
          <w:rFonts w:ascii="Calibri" w:cs="Calibri" w:eastAsia="Calibri" w:hAnsi="Calibri"/>
          <w:b w:val="false"/>
          <w:bCs w:val="false"/>
          <w:i/>
          <w:iCs/>
          <w:strike w:val="false"/>
          <w:color w:val="000000"/>
          <w:sz w:val="22"/>
          <w:szCs w:val="22"/>
        </w:rPr>
        <w:t xml:space="preserve">QueryBook Bible — Canonical Core Technology Specification — Version 1.0 — August 1, 2026</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Confidential — Proprietary and Patent-Sensitive — QueryBook Core Technology Group</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 2026 QueryBook Core Technology Group. All Rights Reserved.</w:t>
      </w:r>
    </w:p>
    <w:p>
      <w:pPr>
        <w:pBdr>
          <w:bottom w:val="single" w:color="FFFF00" w:sz="6"/>
        </w:pBdr>
        <w:spacing w:after="240" w:before="240"/>
      </w:pPr>
    </w:p>
    <w:p>
      <w:pPr>
        <w:pStyle w:val="Heading1"/>
        <w:shd w:fill="FFFF00" w:color="auto" w:val="clear"/>
        <w:spacing w:after="120" w:before="240" w:line="288" w:lineRule="auto"/>
      </w:pPr>
      <w:r>
        <w:rPr>
          <w:rFonts w:ascii="Calibri" w:cs="Calibri" w:eastAsia="Calibri" w:hAnsi="Calibri"/>
          <w:color w:val="000000"/>
          <w:sz w:val="48"/>
          <w:szCs w:val="48"/>
        </w:rPr>
        <w:t xml:space="preserve">Chapter 39: QueryBook Application Library and Generator (QAL/QAG) — Narrow-Scope App Instantiation from Fact Universes</w:t>
      </w:r>
    </w:p>
    <w:p>
      <w:pPr>
        <w:pStyle w:val="Heading2"/>
        <w:shd w:fill="FFFF00" w:color="auto" w:val="clear"/>
        <w:spacing w:after="120" w:before="240" w:line="288" w:lineRule="auto"/>
      </w:pPr>
      <w:r>
        <w:rPr>
          <w:rFonts w:ascii="Calibri" w:cs="Calibri" w:eastAsia="Calibri" w:hAnsi="Calibri"/>
          <w:color w:val="000000"/>
          <w:sz w:val="36"/>
          <w:szCs w:val="36"/>
        </w:rPr>
        <w:t xml:space="preserve">39.1 Governing Philosophy — The Library Before the Generator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instinct to build an app generator first is architecturally wrong. A generator with nothing to generate from produces blank-slate apps — as limited and generic as every no-code tool that already exists. The correct sequence is: build the library first. The generator is simply the mechanism by which the library delivers a personalised instance to a specific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(QAL) is a curated, growing collection of narrow, task-focused application templates — each one covering exactly one problem in exactly one domain, each one built from QueryBook Fact Units extracted from authoritative content in that domain, each one following a standard anatomy that makes every app immediately usable and integrable with every other app in the library. The QueryBook Application Generator (QAG) is the delivery engine — the system that takes a library app, asks the user for their specific parameters, and produces a personalised running instance of that app in seconds. Together they form a self-reinforcing system: every new app added to the library makes the generator more valuable; every user who requests an app and customises it adds a new instance that informs the next version of the library template.</w:t>
      </w:r>
    </w:p>
    <w:p>
      <w:pPr>
        <w:pStyle w:val="Heading2"/>
        <w:shd w:fill="FFFF00" w:color="auto" w:val="clear"/>
        <w:spacing w:after="120" w:before="240" w:line="288" w:lineRule="auto"/>
      </w:pPr>
      <w:r>
        <w:rPr>
          <w:rFonts w:ascii="Calibri" w:cs="Calibri" w:eastAsia="Calibri" w:hAnsi="Calibri"/>
          <w:color w:val="000000"/>
          <w:sz w:val="36"/>
          <w:szCs w:val="36"/>
        </w:rPr>
        <w:t xml:space="preserve">39.2 The Narrow Scope Rule — The Single Most Important Design Decision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app must comply with the Narrow Scope Rule: One app. One task type. One domain. One set of data points. No QueryBook app crosses task types. No QueryBook app attempts to be a platform. Complex workflows are accomplished by combining multiple narrow apps — not by building one large app. There are exactly six permitted task types. Every app in the library is classified as exactly one of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It Does</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Output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Takes user's specific inputs, applies domain Fact Unit formulas, returns a precise quantitative result</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number, quantity, cost, or measurement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Logs entries over time against a defined schema, maintains a running history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timestamped log with totals, trends, and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Manages time-based tasks, intervals, deadlines, and sequences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calendar of tasks with due dates, alerts, and completion logging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Categorises, retrieves, and relates items within a defined taxonomy</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structured, searchable, categorised collection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Delivers a step-by-step procedural execution plan adapted to the user's situation</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An ordered checklist with context-sensitive instructions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Evaluates multiple options against defined criteria derived from domain Fact Units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 ranked or scored comparison matrix</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Why this rule is the right design: a paint calculator that also tracks purchases, schedules rooms, and organises suppliers is not a better app — it is a worse one. It is harder to build, harder to use, harder to maintain, and impossible to integrate cleanly with other apps. Four narrow apps — a CALCULATE app, a TRACK app, a SCHEDULE app, and an ORGANISE app — each doing one thing perfectly and sharing data through standard integration hooks, produce a superior result in every dimension.</w:t>
      </w:r>
    </w:p>
    <w:p>
      <w:pPr>
        <w:pStyle w:val="Heading2"/>
        <w:shd w:fill="FFFF00" w:color="auto" w:val="clear"/>
        <w:spacing w:after="120" w:before="240" w:line="288" w:lineRule="auto"/>
      </w:pPr>
      <w:r>
        <w:rPr>
          <w:rFonts w:ascii="Calibri" w:cs="Calibri" w:eastAsia="Calibri" w:hAnsi="Calibri"/>
          <w:color w:val="000000"/>
          <w:sz w:val="36"/>
          <w:szCs w:val="36"/>
        </w:rPr>
        <w:t xml:space="preserve">39.3 App Anatomy — The Six Universal Components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app in the QAL, regardless of domain or task type, is built from exactly six components in the same structural arrangement. This standardisation is what makes integration between apps possible and what makes every new app immediately familiar to every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1 — The Parameter Panel: the user's specific inputs — the data points that distinguish their instance from the generic template. For a paint calculator: room dimensions, surface type, current colour, target colour. For a crop planting scheduler: crop species, planting zone, first frost date, bed dimensions. The Parameter Panel is the only part of the app the user fills in. Everything else is derived from it plus the Fact Universe.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2 — The Fact Engine: the domain Fact Units — extracted from the relevant QueryBook publication or from the World Brain's concept nodes for that domain — that provide the logic the app operates on. The Fact Engine is invisible to the user. They never see it. But it is the reason the app's calculations, schedules, and guidance are authoritative rather than generic. A paint calculator whose Fact Engine is drawn from a specific paint manufacturer's technical guide produces different, more precise results than one drawn from a general home improvement book. The source is always disclosed to the user.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3 — The Reasoning Layer: the PIE traversal that connects the user's Parameter Panel inputs to the Fact Engine's domain knowledge and produces results. For CALCULATE apps: the formula traversal. For GUIDE apps: the conditional procedural sequence selection. For COMPARE apps: the multi-criteria evaluation matrix. The Reasoning Layer is QueryBook's existing inference infrastructure — no new computation engine is required.</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4 — The Output Display: the result, presented in the format appropriate to the task type: a number and material list for CALCULATE; a timestamped log table for TRACK; a calendar view for SCHEDULE; a browsable collection for ORGANISE; a step checklist for GUIDE; a scored matrix for COMPARE. Every Output Display supports three standard export formats: PDF (printable), CSV (data transfer), and Share Link (send to another user or app).</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5 — The Log: every app maintains a persistent log of all inputs, calculations, and outputs — timestamped and user-attributed. The Log is the user's history of their work in this app. It is also the data source for cross-app integration — other apps can read this app's Log (with user permission) to pre-populate their own Parameter Panels.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Component 6 — The Integration Registry: a declared list of all other QAL apps this app can share data with, in both directions. Declared at build time, verified at instantiation. The Integration Registry is what creates the lattice — every app knows its neighbours, and the lattice grows as new apps declare new connections.</w:t>
      </w:r>
    </w:p>
    <w:p>
      <w:pPr>
        <w:pStyle w:val="Heading2"/>
        <w:shd w:fill="FFFF00" w:color="auto" w:val="clear"/>
        <w:spacing w:after="120" w:before="240" w:line="288" w:lineRule="auto"/>
      </w:pPr>
      <w:r>
        <w:rPr>
          <w:rFonts w:ascii="Calibri" w:cs="Calibri" w:eastAsia="Calibri" w:hAnsi="Calibri"/>
          <w:color w:val="000000"/>
          <w:sz w:val="36"/>
          <w:szCs w:val="36"/>
        </w:rPr>
        <w:t xml:space="preserve">39.4 Standard Features — Present in Every App Without Exception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Six features are present in every QAL app regardless of domain, task type, or complexity tier.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FFF00" w:color="auto" w:val="clear"/>
          </w:tcPr>
          <w:p>
            <w:r>
              <w:rPr>
                <w:rFonts w:ascii="Calibri" w:cs="Calibri" w:eastAsia="Calibri" w:hAnsi="Calibri"/>
                <w:b/>
                <w:bCs/>
                <w:i w:val="false"/>
                <w:iCs w:val="false"/>
                <w:strike w:val="false"/>
                <w:color w:val="333333"/>
                <w:sz w:val="22"/>
                <w:szCs w:val="22"/>
              </w:rPr>
              <w:t xml:space="preserve">Feature</w:t>
            </w:r>
          </w:p>
        </w:tc>
        <w:tc>
          <w:tcPr>
            <w:tcW w:type="pct" w:w="50%"/>
            <w:shd w:fill="FFFF00" w:color="auto" w:val="clear"/>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Natural language input</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Parameter Panel can be filled by typing or speaking in plain language — the SPE converts it to the app's structured parameter schema</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Inline Fact citation</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result the app produces cites the specific Fact Unit that generated it — the user can tap any result to see exactly which part of which book or reference produced it</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Suggested next app</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On completing a task, every app surfaces the most relevant next app from the library — connected to the ARE recommendation engine</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Export in three formats</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PDF, CSV, Share Link — always present, always one tap away</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QueryBook conversation bridge</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 has a direct link back to the QueryBook conversation for the relevant publication — the user can ask a question about any result and receive a full Fact Unit-grounded answer</w:t>
            </w:r>
          </w:p>
        </w:tc>
      </w:tr>
      <w:tr>
        <w:trPr>
          <w:tblHeader w:val="false"/>
        </w:trPr>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Cross-app data sharing</w:t>
            </w:r>
          </w:p>
        </w:tc>
        <w:tc>
          <w:tcPr>
            <w:tcW w:type="pct" w:w="50%"/>
            <w:shd w:fill="FFFF00" w:color="auto" w:val="clear"/>
          </w:tcPr>
          <w:p>
            <w:r>
              <w:rPr>
                <w:rFonts w:ascii="Calibri" w:cs="Calibri" w:eastAsia="Calibri" w:hAnsi="Calibri"/>
                <w:b w:val="false"/>
                <w:bCs w:val="false"/>
                <w:i w:val="false"/>
                <w:iCs w:val="false"/>
                <w:strike w:val="false"/>
                <w:color w:val="333333"/>
                <w:sz w:val="22"/>
                <w:szCs w:val="22"/>
              </w:rPr>
              <w:t xml:space="preserve">Every app's Log is available to any other app in the user's personal library (with explicit permission per app) via the Integration Registry</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39.5 The Three-Step User Flow — Ask, Detail,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This is the complete user experience from need to working app. It applies identically to a seven-year-old building a lemonade stand counter and a professional engineer building a structural load calculator.</w:t>
      </w:r>
    </w:p>
    <w:p>
      <w:pPr>
        <w:pStyle w:val="Heading3"/>
        <w:shd w:fill="FFFF00" w:color="auto" w:val="clear"/>
        <w:spacing w:after="120" w:before="240" w:line="288" w:lineRule="auto"/>
      </w:pPr>
      <w:r>
        <w:rPr>
          <w:rFonts w:ascii="Calibri" w:cs="Calibri" w:eastAsia="Calibri" w:hAnsi="Calibri"/>
          <w:color w:val="000000"/>
          <w:sz w:val="30"/>
          <w:szCs w:val="30"/>
        </w:rPr>
        <w:t xml:space="preserve">Step 1 — ASK</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user asks for the app in natural language — through their QueryBook conversation interface, through a library search, or through the ARE's proactive recommendation. Three entry paths exist: (1) Proactive recommendation — the ARE detects an app-relevant query pattern and surfaces: 'It looks like you could use a [app name]. Want me to set it up?' (2) Library search — user browses or searches the QAL directly: 'Show me apps for home painting.' (3) Direct request — user states the need: 'I need an app to track my Corvette restoration parts.' In all three cases, the QAG presents the matching library app with a one-paragraph description of what it does, what parameters it needs, and what it produces.</w:t>
      </w:r>
    </w:p>
    <w:p>
      <w:pPr>
        <w:pStyle w:val="Heading3"/>
        <w:shd w:fill="FFFF00" w:color="auto" w:val="clear"/>
        <w:spacing w:after="120" w:before="240" w:line="288" w:lineRule="auto"/>
      </w:pPr>
      <w:r>
        <w:rPr>
          <w:rFonts w:ascii="Calibri" w:cs="Calibri" w:eastAsia="Calibri" w:hAnsi="Calibri"/>
          <w:color w:val="000000"/>
          <w:sz w:val="30"/>
          <w:szCs w:val="30"/>
        </w:rPr>
        <w:t xml:space="preserve">Step 2 — DETAIL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presents the Parameter Panel for the selected app and collects the user's specific situation data. This step is conversational — the QAG asks for each parameter in natural language, one at a time if the user prefers, or all at once if the user provides them: 'To set up your Interior Paint Calculator, I need three things: (1) Tell me your rooms — name and dimensions for each one. (2) What are the surfaces like — smooth walls, textured, or a mix? (3) Are you changing colour, and if so, from what to what?' The user responds in plain language. The SPE converts their response to the app's structured parameter schema. The QAG confirms the parameters back to the user in plain language before proceeding. For domain-specific apps tied to a QueryBook publication, the QAG pre-populates any parameters already known from the user's prior conversation — room dimensions discussed in a query, vehicle make and model mentioned in a question, crop type queried about — so the user only confirms rather than re-enters.</w:t>
      </w:r>
    </w:p>
    <w:p>
      <w:pPr>
        <w:pStyle w:val="Heading3"/>
        <w:shd w:fill="FFFF00" w:color="auto" w:val="clear"/>
        <w:spacing w:after="120" w:before="240" w:line="288" w:lineRule="auto"/>
      </w:pPr>
      <w:r>
        <w:rPr>
          <w:rFonts w:ascii="Calibri" w:cs="Calibri" w:eastAsia="Calibri" w:hAnsi="Calibri"/>
          <w:color w:val="000000"/>
          <w:sz w:val="30"/>
          <w:szCs w:val="30"/>
        </w:rPr>
        <w:t xml:space="preserve">Step 3 — INSTANTIATE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QAG injects the user's parameters into the selected library template, activates the Fact Engine with the relevant domain Fact Units, runs the initial Reasoning Layer traversal, and delivers the working app — fully populated with the user's specific data, with results already calculated, with the Log initialised, and with the Integration Registry ready. From the user's perspective: they answered three questions and a complete, working, personalised app appeared. The entire Step 3 process is invisible. There is no 'building' screen. There is no delay beyond the traversal time. The app is now a permanent fixture in the user's QueryBook personal library — available on any device, persistent across sessions, growing its Log with every use.</w:t>
      </w:r>
    </w:p>
    <w:p>
      <w:pPr>
        <w:pStyle w:val="Heading2"/>
        <w:shd w:fill="FFFF00" w:color="auto" w:val="clear"/>
        <w:spacing w:after="120" w:before="240" w:line="288" w:lineRule="auto"/>
      </w:pPr>
      <w:r>
        <w:rPr>
          <w:rFonts w:ascii="Calibri" w:cs="Calibri" w:eastAsia="Calibri" w:hAnsi="Calibri"/>
          <w:color w:val="000000"/>
          <w:sz w:val="36"/>
          <w:szCs w:val="36"/>
        </w:rPr>
        <w:t xml:space="preserve">39.6 The App Recommendation Engine (ARE) — Connected to Suggested Queries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QueryBook already specifies a Suggested Queries mechanism that analyses the user's query pattern and surfaces follow-on questions the user is likely to want to ask. The App Recommendation Engine is a direct extension of that same infrastructure — it analyses the same query patterns but matches them to library apps rather than to follow-on questions.</w:t>
      </w:r>
    </w:p>
    <w:p>
      <w:pPr>
        <w:spacing w:after="120" w:line="360" w:lineRule="auto"/>
      </w:pPr>
      <w:r>
        <w:rPr>
          <w:rFonts w:ascii="Calibri" w:cs="Calibri" w:eastAsia="Calibri" w:hAnsi="Calibri"/>
          <w:b w:val="false"/>
          <w:bCs w:val="false"/>
          <w:i/>
          <w:iCs/>
          <w:strike w:val="false"/>
          <w:color w:val="555555"/>
          <w:sz w:val="20"/>
          <w:szCs w:val="20"/>
        </w:rPr>
        <w:t xml:space="preserve">Merge note — acronym disambiguation: ARE is also used in this Bible for the Associative Recall Engine (§7.2.3) and the Adaptive Response Engine (Chapter 52), both unrelated subsystems. Where cross-chapter clarity matters, this app-library component may be cited as QAL-ARE; the short form ARE is retained here unchanged per this section's original text.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ARE monitors every reader's active query session for five signal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Signal Type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Example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App Pattern Match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quantities, measurements, costs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sequences, what-to-do-next, steps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GUIDE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Temporal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timing, intervals, schedules, deadlines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SCHEDULE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Collection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lists, inventories, what do I need</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ORGANISE app family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Progress signals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Queries about tracking, completion, how-far-along</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TRACK app family</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three or more signals of the same type are detected within a session, the ARE fires — identifying the most relevant library app for that signal cluster and surfacing a recommendation at the natural pause point in the conversation, after a query answer is delivered, never interrupting: 'Based on your questions about your Mustang restoration, I think the Classic Vehicle Parts Tracker could be useful. It tracks every part you need, its source, cost, and installation status — all built from the specifications in this guide. Want me to set it up?' The ARE recommendation is not a sales prompt. It is a logical next step surfaced at the moment of maximum relevance. The ARE recommendation integrates directly with the existing Suggested Queries display in the Reader Portal — apps appear as a distinct card alongside suggested follow-on queries, clearly labelled as an app recommendation rather than a question. The user can dismiss it, save it for later, or instantiate it immediately.</w:t>
      </w:r>
    </w:p>
    <w:p>
      <w:pPr>
        <w:pStyle w:val="Heading2"/>
        <w:shd w:fill="FFFF00" w:color="auto" w:val="clear"/>
        <w:spacing w:after="120" w:before="240" w:line="288" w:lineRule="auto"/>
      </w:pPr>
      <w:r>
        <w:rPr>
          <w:rFonts w:ascii="Calibri" w:cs="Calibri" w:eastAsia="Calibri" w:hAnsi="Calibri"/>
          <w:color w:val="000000"/>
          <w:sz w:val="36"/>
          <w:szCs w:val="36"/>
        </w:rPr>
        <w:t xml:space="preserve">39.7 The Lattice Growth Model — How the Library Becomes Self-Reinforcing</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is designed to grow in a specific pattern — not as a flat list of unrelated apps, but as a connected lattice where every new app strengthens the value of every existing app it shares entity types with. The lattice forms through shared entity types: when two apps share an entity type — Vehicle, Room, Plant Species, Financial Transaction, Person — they can share data through their Integration Registries. The more apps that share an entity type, the more valuable that entity type becomes as a data node in the user's personal app ecosystem.</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Example lattice cluster — the Vehicle entity type: Vehicle Maintenance Scheduler (SCHEDULE) shares Vehicle entity with Classic Vehicle Parts Tracker (ORGANISE), which shares Vehicle entity and Parts entity with Restoration Budget Calculator (CALCULATE), which shares Vehicle entity, Parts entity, and Cost entity with Restoration Progress Logger (TRACK), which shares Vehicle entity and Task entity with Pre-Purchase Inspection Checklist (GUIDE), which shares Vehicle entity with Fuel Economy Tracker (TRACK). A user who instantiates the Restoration Budget Calculator automatically has access to the parts data in their Classic Vehicle Parts Tracker and the task data in their Restoration Progress Logger — because all three share the Vehicle entity and are registered in each other's Integration Registries. The user enters their vehicle once. Every app knows it.</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Three lattice growth mechanisms: (1) Author Foundation apps — when a new QueryBook publication is ingested with App Foundation Certification, its domain Fact Units are automatically assessed for new app templates. New apps derived from new publications extend the lattice into new domains. (2) User-requested custom apps — when a user requests a customisation that does not exist in the library, the QAG builds it, the QueryBook team reviews it, and if it meets the Narrow Scope Rule, it is added to the library as a new template available to all users. The originating user is credited. (3) Cross-domain connections — when a new app shares an entity type with apps in a different domain family, a cross-domain lattice edge is created — extending integration pathways across domains. A nutrition tracker connecting to a grocery budget calculator is a cross-domain lattice edge between the Health and Home Economics families. The lattice compounds: a library of 100 apps with an average of 5 integration connections each has 500 data-sharing pathways. A library of 1,000 apps has the potential for 5,000 pathways. The value of the library grows faster than the number of apps in it.</w:t>
      </w:r>
    </w:p>
    <w:p>
      <w:pPr>
        <w:pStyle w:val="Heading2"/>
        <w:shd w:fill="FFFF00" w:color="auto" w:val="clear"/>
        <w:spacing w:after="120" w:before="240" w:line="288" w:lineRule="auto"/>
      </w:pPr>
      <w:r>
        <w:rPr>
          <w:rFonts w:ascii="Calibri" w:cs="Calibri" w:eastAsia="Calibri" w:hAnsi="Calibri"/>
          <w:color w:val="000000"/>
          <w:sz w:val="36"/>
          <w:szCs w:val="36"/>
        </w:rPr>
        <w:t xml:space="preserve">39.8 The Initial Domain Taxonomy — 12 Families, 72 Seed Apps</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QAL launches with 72 seed apps across 12 domain families — enough to cover the most common life and industry domains immediately, and enough to demonstrate the lattice structure from day one.</w:t>
      </w:r>
    </w:p>
    <w:p>
      <w:pPr>
        <w:pStyle w:val="Heading3"/>
        <w:shd w:fill="FFFF00" w:color="auto" w:val="clear"/>
        <w:spacing w:after="120" w:before="240" w:line="288" w:lineRule="auto"/>
      </w:pPr>
      <w:r>
        <w:rPr>
          <w:rFonts w:ascii="Calibri" w:cs="Calibri" w:eastAsia="Calibri" w:hAnsi="Calibri"/>
          <w:color w:val="000000"/>
          <w:sz w:val="30"/>
          <w:szCs w:val="30"/>
        </w:rPr>
        <w:t xml:space="preserve">Family 1 — Home and Property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Interior Paint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Quantities and materials for any room configuration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Flooring Material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Square footage, waste factor, and cost by floor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Energy Usage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Monthly utility consumption by category and trend</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Appliance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and replacement planning per appliance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Home Improvement Project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Step sequence for any standard home project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Room Dimension Organiser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All room measurements, surfaces, and specifications in one place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2 — Kitchen, Food, and Nutrition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Grocery Budget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by category with weekly and monthly totals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Recipe Scaling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Ingredient quantities for any serving count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Pantry Inventory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What you have, what you need, expiry dates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Meal Nutrition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Nutritional profile of any meal from its ingredients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Weekly Meal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Meals by day with automatic shopping list generation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Food Cost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Cost per serving for any home-cooked meal</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3 — Health and Wellness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Medication Schedule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Doses, timings, refill reminders, and interaction flags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Symptom and Wellness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health entries with pattern detection prompts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Recovery Timeline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Expected recovery milestones for common procedures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Sleep Quality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Nightly sleep data with trend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Hydration Target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Daily water targets by body weight and activity level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Vital Signs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Blood pressure, heart rate, temperature over time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4 — Fitness and Activity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Workout Session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Sets, reps, loads, and perceived effort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Training Schedule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Weekly training blocks with rest day management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Personal Record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PRs by lift or activity with trend charting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Caloric Burn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Energy expenditure by activity type, duration, and body weight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Running Pace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Target paces for any race distance and goal time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Exercise Progress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Performance across time periods or training approaches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5 — Finance and Personal Economics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Lemonade Stand POS</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Sales counter and revenue total for any simple micro-business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Freelance Income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Projects, rates, invoiced amounts, and payment status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Monthly Budget Allocator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Category allocation from income with surplus and deficit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Debt Payoff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Payoff timeline and interest cost under different payment strategies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Savings Goal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Progress toward a savings target with projected completion date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Expense Category Analyser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Spending in any category vs. prior periods or benchmarks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6 — Automotive and Vehicles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Vehicle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mileage and time for any make and model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Classic Vehicle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sourcing status, cost, and installation log</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Budget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 and labour cost projection for restoration by scope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Fuel Economy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Miles per gallon by fill-up with trend and cost analysis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Pre-Purchase Inspection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Condition assessment checklist by vehicle category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Restoration Progress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Task completion log against full restoration sequence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7 — Garden and Agriculture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Crop Planting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Sow, transplant, and harvest dates by species and zone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Soil Amendment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Amendment quantities by bed volume and target pH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Garden Bed Layout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Bed configurations, plant spacing, and companion planting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Irrigation Zone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Water volume and timing by zone, crop, and soil type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Harvest Yield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Yield by crop and bed across seasons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Pest and Disease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Occurrence, identification, and treatment history by plant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8 — Education and Research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Term Paper Source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Sources, quotes, topics, and citation details by paper</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Study Topic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Subject areas, mastery levels, and revision history</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Vocabulary Builder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New terms, definitions, and review schedule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Reading List Manager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Books by subject, status, and key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Research Question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Open questions, sources consulted, and findings by topic</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Assignment Deadline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milestones, and submission dates by course</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9 — Trade and Construction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Concrete Volume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Mix quantities by slab or form dimensions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Electrical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Circuit sizing, load totals, and breaker requirements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Lumber and Timber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Board-feet by project with waste factor and species options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Tile Layout Estimator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Tile quantity, adhesive, and grout by room and joint width</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HVAC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Heating and cooling capacity by room volume and insulation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Trade Job Cost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Labour hours, materials, and margin by job</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10 — Creative and Craft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Sewing Material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Fabric yardage by pattern size and layout</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Knitting and Crochet Row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Row count, stitch count, and pattern progress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Photography Shoot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Shot list, equipment checklist, and location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Pottery Glaze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Glaze material quantities by batch weight and recipe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Music Practice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Pieces, techniques, and session time with progression notes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Art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Materials, quantities, suppliers, and restock reminders</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11 — Marine and Outdoor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Sailboat Maintenance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Service intervals by system and season for any vessel class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Boat Restoration Parts Tracker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Parts list, source, cost, and installation status by system</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Camping Gear Checklist</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Equipment list by trip type, season, and group size</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Navigation Fuel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Fuel consumption and range by vessel, speed, and conditions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Fishing Log</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Catches, locations, conditions, and gear by session</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Hiking Route Planner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GUIDE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Trail segments, waypoints, elevation, and supply checklist</w:t>
            </w:r>
          </w:p>
        </w:tc>
      </w:tr>
    </w:tbl>
    <w:p>
      <w:pPr>
        <w:spacing w:after="200" w:before="0"/>
      </w:pPr>
    </w:p>
    <w:p>
      <w:pPr>
        <w:pStyle w:val="Heading3"/>
        <w:shd w:fill="FFFF00" w:color="auto" w:val="clear"/>
        <w:spacing w:after="120" w:before="240" w:line="288" w:lineRule="auto"/>
      </w:pPr>
      <w:r>
        <w:rPr>
          <w:rFonts w:ascii="Calibri" w:cs="Calibri" w:eastAsia="Calibri" w:hAnsi="Calibri"/>
          <w:color w:val="000000"/>
          <w:sz w:val="30"/>
          <w:szCs w:val="30"/>
        </w:rPr>
        <w:t xml:space="preserve">Family 12 — Science and Engineering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App Name</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Task Type</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It Does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Structural Load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Load distribution and member sizing for simple structures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Chemical Mix Calculator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Solution concentrations and volumes by formula</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Experiment Data Logger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TRACK</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Variables, measurements, and observations by trial</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Engineering Tolerance Comparator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COMPARE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Measured values against specification tolerances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Lab Supply Inventory</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ORGANISE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Reagents, quantities, hazard class, and reorder levels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Milestone Scheduler</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SCHEDULE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Deliverables, dependencies, and deadlines for any technical project</w:t>
            </w:r>
          </w:p>
        </w:tc>
      </w:tr>
    </w:tbl>
    <w:p>
      <w:pPr>
        <w:spacing w:after="200" w:before="0"/>
      </w:pPr>
    </w:p>
    <w:p>
      <w:pPr>
        <w:pStyle w:val="Heading2"/>
        <w:shd w:fill="FFFF00" w:color="auto" w:val="clear"/>
        <w:spacing w:after="120" w:before="240" w:line="288" w:lineRule="auto"/>
      </w:pPr>
      <w:r>
        <w:rPr>
          <w:rFonts w:ascii="Calibri" w:cs="Calibri" w:eastAsia="Calibri" w:hAnsi="Calibri"/>
          <w:color w:val="000000"/>
          <w:sz w:val="36"/>
          <w:szCs w:val="36"/>
        </w:rPr>
        <w:t xml:space="preserve">39.9 The Customisation Request Protocol</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When a user needs an app that does not exist in the library — or needs a library app modified for a specific requirement — the Customisation Request Protocol governs the process: (1) The user describes their specific need in natural language. The QAG determines whether the need matches an existing library app (in which case it is a standard instantiation), a modification of an existing app (a customisation), or a genuinely new app (a new template request). (2) For customisations: the QAG presents the closest library app and asks which parameters or features need to change. All customisations must still comply with the Narrow Scope Rule — if the user's requirement implies crossing task types, the QAG proposes two separate apps rather than one combined one. (3) For new templates: the QAG builds a one-off instance for the user immediately — using the same Fact Engine and Reasoning Layer infrastructure, but without a library template. The instance is flagged as a custom app in the user's library. If the instance proves valuable, the QueryBook App Team reviews it for library inclusion as a new template. (4) Library promotion: custom apps that are promoted to the library retain a credit to the originating user — 'developed from a community request' — and the originating user receives a notification that their app is now available to the full QueryBook community.</w:t>
      </w:r>
    </w:p>
    <w:p>
      <w:pPr>
        <w:pStyle w:val="Heading2"/>
        <w:shd w:fill="FFFF00" w:color="auto" w:val="clear"/>
        <w:spacing w:after="120" w:before="240" w:line="288" w:lineRule="auto"/>
      </w:pPr>
      <w:r>
        <w:rPr>
          <w:rFonts w:ascii="Calibri" w:cs="Calibri" w:eastAsia="Calibri" w:hAnsi="Calibri"/>
          <w:color w:val="000000"/>
          <w:sz w:val="36"/>
          <w:szCs w:val="36"/>
        </w:rPr>
        <w:t xml:space="preserve">39.10 Author App Foundation Integration</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Every QueryBook publication that carries App Foundation Certification contributes its domain Fact Units to the QAL as a Fact Engine source. Authors benefit in four specific ways: (1) Revenue participation — every app instantiated using that publication's Fact Units as the primary Fact Engine source generates a micro-royalty for the author — a fraction of the app instantiation fee, accumulating across every user who builds that app from that book. (2) Discovery inversion — users who find an app in the library and use it are shown the underlying publication as the source of the app's knowledge — creating a new discovery pathway from app to book, the reverse of the conventional book-to-reader path. (3) Author analytics — authors see in their Author Portal dashboard which of their Fact Units are most frequently used in app generation — a direct signal of which parts of their content readers find most practically valuable. (4) Competitive labelling — books with App Foundation Certification display a badge in the QueryBook catalog: 'This publication generates [n] apps.' This is a measurable, specific differentiator that no conventional ebook platform can offer.</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App Foundation Certification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FFFF00" w:color="auto" w:val="clear"/>
          </w:tcPr>
          <w:p>
            <w:r>
              <w:rPr>
                <w:rFonts w:ascii="Calibri" w:cs="Calibri" w:eastAsia="Calibri" w:hAnsi="Calibri"/>
                <w:b/>
                <w:bCs/>
                <w:i w:val="false"/>
                <w:iCs w:val="false"/>
                <w:strike w:val="false"/>
                <w:color w:val="333333"/>
                <w:sz w:val="22"/>
                <w:szCs w:val="22"/>
              </w:rPr>
              <w:t xml:space="preserve">Certification</w:t>
            </w:r>
          </w:p>
        </w:tc>
        <w:tc>
          <w:tcPr>
            <w:tcW w:type="pct" w:w="33%"/>
            <w:shd w:fill="FFFF00" w:color="auto" w:val="clear"/>
          </w:tcPr>
          <w:p>
            <w:r>
              <w:rPr>
                <w:rFonts w:ascii="Calibri" w:cs="Calibri" w:eastAsia="Calibri" w:hAnsi="Calibri"/>
                <w:b/>
                <w:bCs/>
                <w:i w:val="false"/>
                <w:iCs w:val="false"/>
                <w:strike w:val="false"/>
                <w:color w:val="333333"/>
                <w:sz w:val="22"/>
                <w:szCs w:val="22"/>
              </w:rPr>
              <w:t xml:space="preserve">What the Author Has Tagged</w:t>
            </w:r>
          </w:p>
        </w:tc>
        <w:tc>
          <w:tcPr>
            <w:tcW w:type="pct" w:w="34%"/>
            <w:shd w:fill="FFFF00" w:color="auto" w:val="clear"/>
          </w:tcPr>
          <w:p>
            <w:r>
              <w:rPr>
                <w:rFonts w:ascii="Calibri" w:cs="Calibri" w:eastAsia="Calibri" w:hAnsi="Calibri"/>
                <w:b/>
                <w:bCs/>
                <w:i w:val="false"/>
                <w:iCs w:val="false"/>
                <w:strike w:val="false"/>
                <w:color w:val="333333"/>
                <w:sz w:val="22"/>
                <w:szCs w:val="22"/>
              </w:rPr>
              <w:t xml:space="preserve">What the Reader Gets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Calculator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Quantitative Fact Units — formulas, coverage rates, material quantities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Calculation apps — paint calculators, material estimators, cost projectors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Project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Procedural Fact Units — task sequences, timelines, milestones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Project management apps — task trackers, progress loggers, timeline managers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Specification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Technical Fact Units — tolerances, standards, compliance requirements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Reference apps — in-context specification lookup, compliance checklists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Procurement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Supplier and product Fact Units — parts lists, vendor recommendations, sourcing guidance</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Procurement apps — shopping lists, supplier databases, order trackers</w:t>
            </w:r>
          </w:p>
        </w:tc>
      </w:tr>
      <w:tr>
        <w:trPr>
          <w:tblHeader w:val="false"/>
        </w:trPr>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Full Foundation Certified</w:t>
            </w:r>
          </w:p>
        </w:tc>
        <w:tc>
          <w:tcPr>
            <w:tcW w:type="pct" w:w="33%"/>
            <w:shd w:fill="FFFF00" w:color="auto" w:val="clear"/>
          </w:tcPr>
          <w:p>
            <w:r>
              <w:rPr>
                <w:rFonts w:ascii="Calibri" w:cs="Calibri" w:eastAsia="Calibri" w:hAnsi="Calibri"/>
                <w:b w:val="false"/>
                <w:bCs w:val="false"/>
                <w:i w:val="false"/>
                <w:iCs w:val="false"/>
                <w:strike w:val="false"/>
                <w:color w:val="333333"/>
                <w:sz w:val="22"/>
                <w:szCs w:val="22"/>
              </w:rPr>
              <w:t xml:space="preserve">All four types</w:t>
            </w:r>
          </w:p>
        </w:tc>
        <w:tc>
          <w:tcPr>
            <w:tcW w:type="pct" w:w="34%"/>
            <w:shd w:fill="FFFF00" w:color="auto" w:val="clear"/>
          </w:tcPr>
          <w:p>
            <w:r>
              <w:rPr>
                <w:rFonts w:ascii="Calibri" w:cs="Calibri" w:eastAsia="Calibri" w:hAnsi="Calibri"/>
                <w:b w:val="false"/>
                <w:bCs w:val="false"/>
                <w:i w:val="false"/>
                <w:iCs w:val="false"/>
                <w:strike w:val="false"/>
                <w:color w:val="333333"/>
                <w:sz w:val="22"/>
                <w:szCs w:val="22"/>
              </w:rPr>
              <w:t xml:space="preserve">The complete professional application — project, specification, procurement, and budget integrated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39.11 NLPL-Driven On-Demand App Composition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connects two systems already specified independently: NLPL (§48.4), and §39.7's second lattice growth mechanism — “user-requested custom apps,” where the QAG builds an app that doesn't yet exist in the library. It closes two gaps left open where those two sections met: how the request is actually phrased, and what happens to the requesting user's own app while broader library review is pending.</w:t>
      </w:r>
    </w:p>
    <w:p>
      <w:pPr>
        <w:pStyle w:val="Heading3"/>
        <w:spacing w:after="120" w:before="200" w:line="288" w:lineRule="auto"/>
      </w:pPr>
      <w:r>
        <w:rPr>
          <w:rFonts w:ascii="Calibri" w:cs="Calibri" w:eastAsia="Calibri" w:hAnsi="Calibri"/>
          <w:color w:val="000000"/>
          <w:sz w:val="28"/>
          <w:szCs w:val="28"/>
        </w:rPr>
        <w:t xml:space="preserve">39.11.1 The Request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instruction like “Generate an application that helps me manage my song collection” is an NLPL statement, processed through the same five-stage pipeline already specified in §48.4.1. Intent Decomposition (Stage 1) classifies this as an App Composition intent rather than a query or a WATCH program request, and routes it to QAG instead of the QBPL emitter — the same routing principle already established for other NLPL intent categories, applied to one more target.</w:t>
      </w:r>
    </w:p>
    <w:p>
      <w:pPr>
        <w:pStyle w:val="Heading3"/>
        <w:spacing w:after="120" w:before="200" w:line="288" w:lineRule="auto"/>
      </w:pPr>
      <w:r>
        <w:rPr>
          <w:rFonts w:ascii="Calibri" w:cs="Calibri" w:eastAsia="Calibri" w:hAnsi="Calibri"/>
          <w:color w:val="000000"/>
          <w:sz w:val="28"/>
          <w:szCs w:val="28"/>
        </w:rPr>
        <w:t xml:space="preserve">39.11.2 Composition, Not Code Generation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BOUNDED COMPOSITION, NOT ARBITRARY CODE SYNTHESIS</w:t>
            </w:r>
            <w:r>
              <w:rPr>
                <w:rFonts w:ascii="Calibri" w:cs="Calibri" w:eastAsia="Calibri" w:hAnsi="Calibri"/>
                <w:b/>
                <w:bCs/>
                <w:i w:val="false"/>
                <w:iCs w:val="false"/>
                <w:strike w:val="false"/>
                <w:color w:val="333333"/>
                <w:sz w:val="24"/>
                <w:szCs w:val="24"/>
              </w:rPr>
              <w:t xml:space="preserve">QAG does not write source code in an arbitrary programming language. It composes a new app instance from the same fixed standard anatomy every QAL app already has (§39.4: Parameter Panel, Fact citation, suggested-next-app, three-format export, conversation bridge, cross-app sharing) applied to a new domain schema — for a song collection, entity fields such as Title, Artist, Album, and Genre. This is §39.12's own Patent Significance claim (2) in this chapter, restated as the actual mechanism: Fact Unit injection into structural templates “without human programming,” and, per this section, without machine-generated arbitrary-language programming either. The Narrow Scope Rule (§39.2) still applies in full: the composed app gets one task type, one domain, one set of data points — a song collection manager does not also become a music streaming client or a lyrics database.</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domain has no existing book-derived Fact Units to draw from — a personal song collection is not extracted from a publication — the app's entity data is composed as reader-generated Fact Units, the same category already established for Personal Notes (§63.1) and distinct from a book's own author-sourced Fact Graph, never conflated with it.</w:t>
      </w:r>
    </w:p>
    <w:p>
      <w:pPr>
        <w:pStyle w:val="Heading3"/>
        <w:spacing w:after="120" w:before="200" w:line="288" w:lineRule="auto"/>
      </w:pPr>
      <w:r>
        <w:rPr>
          <w:rFonts w:ascii="Calibri" w:cs="Calibri" w:eastAsia="Calibri" w:hAnsi="Calibri"/>
          <w:color w:val="000000"/>
          <w:sz w:val="28"/>
          <w:szCs w:val="28"/>
        </w:rPr>
        <w:t xml:space="preserve">39.11.3 Immediate Personal Use</w:t>
      </w:r>
    </w:p>
    <w:p>
      <w:pPr>
        <w:spacing w:after="120" w:line="360" w:lineRule="auto"/>
      </w:pPr>
      <w:r>
        <w:rPr>
          <w:rFonts w:ascii="Calibri" w:cs="Calibri" w:eastAsia="Calibri" w:hAnsi="Calibri"/>
          <w:b w:val="false"/>
          <w:bCs w:val="false"/>
          <w:i w:val="false"/>
          <w:iCs w:val="false"/>
          <w:strike w:val="false"/>
          <w:color w:val="000000"/>
          <w:sz w:val="22"/>
          <w:szCs w:val="22"/>
        </w:rPr>
        <w:t xml:space="preserve">§39.7's mechanism (2) specifies that the QueryBook team reviews a user-requested app before it is added to the library as a template available to all users. That review governs the app's status as a shared library template only. The requesting user's own personal instance is usable immediately on composition — the user is not waiting on a review cycle to use the application they asked for; they are only waiting on one if and when their app is being considered for promotion into the shared QAL.</w:t>
      </w:r>
    </w:p>
    <w:p>
      <w:pPr>
        <w:pStyle w:val="Heading3"/>
        <w:spacing w:after="120" w:before="200" w:line="288" w:lineRule="auto"/>
      </w:pPr>
      <w:r>
        <w:rPr>
          <w:rFonts w:ascii="Calibri" w:cs="Calibri" w:eastAsia="Calibri" w:hAnsi="Calibri"/>
          <w:color w:val="000000"/>
          <w:sz w:val="28"/>
          <w:szCs w:val="28"/>
        </w:rPr>
        <w:t xml:space="preserve">39.11.4 Modification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further NLPL instruction directed at an existing personal app instance — “Also track which songs I've marked as favorites” — modifies that instance's Parameter Panel schema and entity fields rather than composing a new app from scratch. Each modification is a new version in the app's Fact Unit VersionChain (Chapter 5), the same versioning discipline already applied to WATCH programs (§49.5.1) and Personal Notes (§63.3) — prior versions remain in the Provenance Ledger, not overwritten.</w:t>
      </w:r>
    </w:p>
    <w:p>
      <w:pPr>
        <w:pStyle w:val="Heading2"/>
        <w:shd w:fill="FFFF00" w:color="auto" w:val="clear"/>
        <w:spacing w:after="120" w:before="240" w:line="288" w:lineRule="auto"/>
      </w:pPr>
      <w:r>
        <w:rPr>
          <w:rFonts w:ascii="Calibri" w:cs="Calibri" w:eastAsia="Calibri" w:hAnsi="Calibri"/>
          <w:color w:val="000000"/>
          <w:sz w:val="36"/>
          <w:szCs w:val="36"/>
        </w:rPr>
        <w:t xml:space="preserve">39.12 Patent Significance</w:t>
      </w:r>
    </w:p>
    <w:p>
      <w:pPr>
        <w:spacing w:after="240" w:line="360" w:lineRule="auto"/>
      </w:pPr>
      <w:r>
        <w:rPr>
          <w:rFonts w:ascii="Calibri" w:cs="Calibri" w:eastAsia="Calibri" w:hAnsi="Calibri"/>
          <w:b w:val="false"/>
          <w:bCs w:val="false"/>
          <w:i w:val="false"/>
          <w:iCs w:val="false"/>
          <w:strike w:val="false"/>
          <w:color w:val="333333"/>
          <w:sz w:val="22"/>
          <w:szCs w:val="22"/>
          <w:shd w:fill="FFFF00" w:color="auto" w:val="clear"/>
        </w:rPr>
        <w:t xml:space="preserve">The QueryBook Application Library and Generator constitutes novel subject matter across five independent dimensions: (1) The Narrow Scope Rule as an architectural principle — the specific design decision to limit every application to one task type and one domain, combined with the lattice integration model that achieves complex workflows through app composition rather than app expansion, is novel as a programmatic constraint on AI-generated application architecture. (2) Fact Unit injection as application logic generation — the specific mechanism by which domain Fact Units extracted from published content are injected into structural application templates to produce domain-specific application logic without human programming is novel and directly patentable as a method claim. (3) The App Recommendation Engine as an extension of query pattern analysis — the specific architecture of extending a query-pattern-based suggestion engine to surface relevant application recommendations from a structured library, at the moment of maximum contextual relevance within a content query session, is novel as a method for context-aware application discovery. (4) The Lattice Growth Model — the specific mechanism by which shared entity types across application templates create automatic integration pathways, producing a self-reinforcing application ecosystem whose value grows super-linearly with the number of applications in the library, is novel as an application library architecture. (5) Author royalty participation in application instantiation — the specific commercial model in which the author of a publication receives a royalty for each application generated from their publication's Fact Units is novel as a publishing revenue mechanism and directly patentable as a business method claim.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0D2A5E" w:color="auto" w:val="clear"/>
          </w:tcPr>
          <w:p>
            <w:r>
              <w:rPr>
                <w:rFonts w:ascii="Calibri" w:cs="Calibri" w:eastAsia="Calibri" w:hAnsi="Calibri"/>
                <w:b/>
                <w:bCs/>
                <w:i w:val="false"/>
                <w:iCs w:val="false"/>
                <w:strike w:val="false"/>
                <w:color w:val="FFFFFF"/>
                <w:sz w:val="24"/>
                <w:szCs w:val="24"/>
              </w:rPr>
              <w:t xml:space="preserve">APPENDIX C — QueryBook Native Hybrid AI vs. LLM Operation: Infrastructure Comparison Specification</w:t>
            </w:r>
          </w:p>
        </w:tc>
      </w:tr>
    </w:tbl>
    <w:p>
      <w:pPr>
        <w:spacing w:after="200" w:before="0"/>
      </w:pPr>
    </w:p>
    <w:p>
      <w:pPr>
        <w:pStyle w:val="Heading1"/>
        <w:spacing w:after="120" w:before="240" w:line="288" w:lineRule="auto"/>
      </w:pPr>
      <w:r>
        <w:rPr>
          <w:rFonts w:ascii="Calibri" w:cs="Calibri" w:eastAsia="Calibri" w:hAnsi="Calibri"/>
          <w:color w:val="0D2A5E"/>
          <w:sz w:val="48"/>
          <w:szCs w:val="48"/>
        </w:rPr>
        <w:t xml:space="preserve">Appendix C: QueryBook Native Hybrid AI vs. LLM Operation — Infrastructure Comparison Specification</w:t>
      </w:r>
    </w:p>
    <w:p>
      <w:pPr>
        <w:pStyle w:val="Heading2"/>
        <w:spacing w:after="90" w:before="240" w:line="288" w:lineRule="auto"/>
      </w:pPr>
      <w:r>
        <w:rPr>
          <w:rFonts w:ascii="Calibri" w:cs="Calibri" w:eastAsia="Calibri" w:hAnsi="Calibri"/>
          <w:color w:val="0D2A5E"/>
          <w:sz w:val="36"/>
          <w:szCs w:val="36"/>
        </w:rPr>
        <w:t xml:space="preserve">C.1 Purpose and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provides a full, quantified infrastructure comparison between a QueryBook Native Hybrid AI deployment and a traditional Large Language Model (LLM) inference operation, at a common baseline of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The purpose is to establish the hardware, power, water, storage, and network footprint of each system for engineering planning, procurement, investor briefing, and data center negotiation purposes.</w:t>
      </w:r>
    </w:p>
    <w:p>
      <w:pPr>
        <w:spacing w:after="120" w:line="360" w:lineRule="auto"/>
      </w:pPr>
      <w:r>
        <w:rPr>
          <w:rFonts w:ascii="Calibri" w:cs="Calibri" w:eastAsia="Calibri" w:hAnsi="Calibri"/>
          <w:b/>
          <w:bCs/>
          <w:i w:val="false"/>
          <w:iCs w:val="false"/>
          <w:strike w:val="false"/>
          <w:color w:val="333333"/>
          <w:sz w:val="22"/>
          <w:szCs w:val="22"/>
        </w:rPr>
        <w:t xml:space="preserve">Architecture Definition:</w:t>
      </w:r>
      <w:r>
        <w:rPr>
          <w:rFonts w:ascii="Calibri" w:cs="Calibri" w:eastAsia="Calibri" w:hAnsi="Calibri"/>
          <w:b w:val="false"/>
          <w:bCs w:val="false"/>
          <w:i w:val="false"/>
          <w:iCs w:val="false"/>
          <w:strike w:val="false"/>
          <w:color w:val="000000"/>
          <w:sz w:val="22"/>
          <w:szCs w:val="22"/>
        </w:rPr>
        <w:t xml:space="preserve"> In this appendix, the QueryBook Native architecture refers to the core QueryBook knowledge architecture — the integrated combination of the Ontology Mesh, Fact Graph, Semantic Parsing Engine, and Multilingual Regeneration Engine — operating as a deterministic, provenance-grounded knowledge retrieval and response system, entirely native to QueryBook with no dependency on any external or independently-operable technology. The QueryBook Native Hybrid AI is the full QueryBook platform as specified in Chapters 1 through 49 of this Bible.</w:t>
      </w:r>
      <w:r>
        <w:rPr>
          <w:rFonts w:ascii="Calibri" w:cs="Calibri" w:eastAsia="Calibri" w:hAnsi="Calibri"/>
          <w:b w:val="false"/>
          <w:bCs w:val="false"/>
          <w:i/>
          <w:iCs/>
          <w:strike w:val="false"/>
          <w:color w:val="555555"/>
          <w:sz w:val="20"/>
          <w:szCs w:val="20"/>
        </w:rPr>
        <w:t xml:space="preserve"/>
      </w:r>
    </w:p>
    <w:p>
      <w:pPr>
        <w:pStyle w:val="Heading2"/>
        <w:spacing w:after="90" w:before="240" w:line="288" w:lineRule="auto"/>
      </w:pPr>
      <w:r>
        <w:rPr>
          <w:rFonts w:ascii="Calibri" w:cs="Calibri" w:eastAsia="Calibri" w:hAnsi="Calibri"/>
          <w:color w:val="0D2A5E"/>
          <w:sz w:val="36"/>
          <w:szCs w:val="36"/>
        </w:rPr>
        <w:t xml:space="preserve">C.2 Baseline Assumptions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Parameter</w:t>
            </w:r>
          </w:p>
        </w:tc>
        <w:tc>
          <w:tcPr>
            <w:tcW w:type="pct" w:w="75%"/>
          </w:tcPr>
          <w:p>
            <w:r>
              <w:rPr>
                <w:rFonts w:ascii="Calibri" w:cs="Calibri" w:eastAsia="Calibri" w:hAnsi="Calibri"/>
                <w:b/>
                <w:bCs/>
                <w:i w:val="false"/>
                <w:iCs w:val="false"/>
                <w:strike w:val="false"/>
                <w:color w:val="333333"/>
                <w:sz w:val="22"/>
                <w:szCs w:val="22"/>
              </w:rPr>
              <w:t xml:space="preserve">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Daily query volume</w:t>
            </w:r>
          </w:p>
        </w:tc>
        <w:tc>
          <w:tcPr>
            <w:tcW w:type="pct" w:w="75%"/>
          </w:tcPr>
          <w:p>
            <w:r>
              <w:rPr>
                <w:rFonts w:ascii="Calibri" w:cs="Calibri" w:eastAsia="Calibri" w:hAnsi="Calibri"/>
                <w:b/>
                <w:bCs/>
                <w:i w:val="false"/>
                <w:iCs w:val="false"/>
                <w:strike w:val="false"/>
                <w:color w:val="333333"/>
                <w:sz w:val="22"/>
                <w:szCs w:val="22"/>
              </w:rPr>
              <w:t xml:space="preserve">1,000,000 queries per day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QPS (sustained)</w:t>
            </w:r>
          </w:p>
        </w:tc>
        <w:tc>
          <w:tcPr>
            <w:tcW w:type="pct" w:w="75%"/>
          </w:tcPr>
          <w:p>
            <w:r>
              <w:rPr>
                <w:rFonts w:ascii="Calibri" w:cs="Calibri" w:eastAsia="Calibri" w:hAnsi="Calibri"/>
                <w:b/>
                <w:bCs/>
                <w:i w:val="false"/>
                <w:iCs w:val="false"/>
                <w:strike w:val="false"/>
                <w:color w:val="333333"/>
                <w:sz w:val="22"/>
                <w:szCs w:val="22"/>
              </w:rPr>
              <w:t xml:space="preserve">11.6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Peak QPS (3× sustained)</w:t>
            </w:r>
          </w:p>
        </w:tc>
        <w:tc>
          <w:tcPr>
            <w:tcW w:type="pct" w:w="75%"/>
          </w:tcPr>
          <w:p>
            <w:r>
              <w:rPr>
                <w:rFonts w:ascii="Calibri" w:cs="Calibri" w:eastAsia="Calibri" w:hAnsi="Calibri"/>
                <w:b/>
                <w:bCs/>
                <w:i w:val="false"/>
                <w:iCs w:val="false"/>
                <w:strike w:val="false"/>
                <w:color w:val="333333"/>
                <w:sz w:val="22"/>
                <w:szCs w:val="22"/>
              </w:rPr>
              <w:t xml:space="preserve">35 QPS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input prompt length (both systems)</w:t>
            </w:r>
          </w:p>
        </w:tc>
        <w:tc>
          <w:tcPr>
            <w:tcW w:type="pct" w:w="75%"/>
          </w:tcPr>
          <w:p>
            <w:r>
              <w:rPr>
                <w:rFonts w:ascii="Calibri" w:cs="Calibri" w:eastAsia="Calibri" w:hAnsi="Calibri"/>
                <w:b/>
                <w:bCs/>
                <w:i w:val="false"/>
                <w:iCs w:val="false"/>
                <w:strike w:val="false"/>
                <w:color w:val="333333"/>
                <w:sz w:val="22"/>
                <w:szCs w:val="22"/>
              </w:rPr>
              <w:t xml:space="preserve">2,000 tokens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LLM output</w:t>
            </w:r>
          </w:p>
        </w:tc>
        <w:tc>
          <w:tcPr>
            <w:tcW w:type="pct" w:w="75%"/>
          </w:tcPr>
          <w:p>
            <w:r>
              <w:rPr>
                <w:rFonts w:ascii="Calibri" w:cs="Calibri" w:eastAsia="Calibri" w:hAnsi="Calibri"/>
                <w:b/>
                <w:bCs/>
                <w:i w:val="false"/>
                <w:iCs w:val="false"/>
                <w:strike w:val="false"/>
                <w:color w:val="333333"/>
                <w:sz w:val="22"/>
                <w:szCs w:val="22"/>
              </w:rPr>
              <w:t xml:space="preserve">500 tokens</w:t>
            </w:r>
            <w:r>
              <w:rPr>
                <w:rFonts w:ascii="Calibri" w:cs="Calibri" w:eastAsia="Calibri" w:hAnsi="Calibri"/>
                <w:b w:val="false"/>
                <w:bCs w:val="false"/>
                <w:i w:val="false"/>
                <w:iCs w:val="false"/>
                <w:strike w:val="false"/>
                <w:color w:val="333333"/>
                <w:sz w:val="22"/>
                <w:szCs w:val="22"/>
              </w:rPr>
              <w:t xml:space="preserve"> per query (full autoregressive generation)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Average QB output</w:t>
            </w:r>
          </w:p>
        </w:tc>
        <w:tc>
          <w:tcPr>
            <w:tcW w:type="pct" w:w="75%"/>
          </w:tcPr>
          <w:p>
            <w:r>
              <w:rPr>
                <w:rFonts w:ascii="Calibri" w:cs="Calibri" w:eastAsia="Calibri" w:hAnsi="Calibri"/>
                <w:b/>
                <w:bCs/>
                <w:i w:val="false"/>
                <w:iCs w:val="false"/>
                <w:strike w:val="false"/>
                <w:color w:val="333333"/>
                <w:sz w:val="22"/>
                <w:szCs w:val="22"/>
              </w:rPr>
              <w:t xml:space="preserve">150 tokens</w:t>
            </w:r>
            <w:r>
              <w:rPr>
                <w:rFonts w:ascii="Calibri" w:cs="Calibri" w:eastAsia="Calibri" w:hAnsi="Calibri"/>
                <w:b w:val="false"/>
                <w:bCs w:val="false"/>
                <w:i w:val="false"/>
                <w:iCs w:val="false"/>
                <w:strike w:val="false"/>
                <w:color w:val="333333"/>
                <w:sz w:val="22"/>
                <w:szCs w:val="22"/>
              </w:rPr>
              <w:t xml:space="preserve"> MRE linguistic assembly + Fact Graph traversal (SPE parses 100 tokens; MRE phrases 150 tokens; substantive content retrieved deterministically from graph)</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Response time target</w:t>
            </w:r>
          </w:p>
        </w:tc>
        <w:tc>
          <w:tcPr>
            <w:tcW w:type="pct" w:w="75%"/>
          </w:tcPr>
          <w:p>
            <w:r>
              <w:rPr>
                <w:rFonts w:ascii="Calibri" w:cs="Calibri" w:eastAsia="Calibri" w:hAnsi="Calibri"/>
                <w:b w:val="false"/>
                <w:bCs w:val="false"/>
                <w:i w:val="false"/>
                <w:iCs w:val="false"/>
                <w:strike w:val="false"/>
                <w:color w:val="333333"/>
                <w:sz w:val="22"/>
                <w:szCs w:val="22"/>
              </w:rPr>
              <w:t xml:space="preserve">LLM: </w:t>
            </w:r>
            <w:r>
              <w:rPr>
                <w:rFonts w:ascii="Calibri" w:cs="Calibri" w:eastAsia="Calibri" w:hAnsi="Calibri"/>
                <w:b/>
                <w:bCs/>
                <w:i w:val="false"/>
                <w:iCs w:val="false"/>
                <w:strike w:val="false"/>
                <w:color w:val="333333"/>
                <w:sz w:val="22"/>
                <w:szCs w:val="22"/>
              </w:rPr>
              <w:t xml:space="preserve">below 3 seconds</w:t>
            </w:r>
            <w:r>
              <w:rPr>
                <w:rFonts w:ascii="Calibri" w:cs="Calibri" w:eastAsia="Calibri" w:hAnsi="Calibri"/>
                <w:b w:val="false"/>
                <w:bCs w:val="false"/>
                <w:i w:val="false"/>
                <w:iCs w:val="false"/>
                <w:strike w:val="false"/>
                <w:color w:val="333333"/>
                <w:sz w:val="22"/>
                <w:szCs w:val="22"/>
              </w:rPr>
              <w:t xml:space="preserve"> — QB-Native: </w:t>
            </w:r>
            <w:r>
              <w:rPr>
                <w:rFonts w:ascii="Calibri" w:cs="Calibri" w:eastAsia="Calibri" w:hAnsi="Calibri"/>
                <w:b/>
                <w:bCs/>
                <w:i w:val="false"/>
                <w:iCs w:val="false"/>
                <w:strike w:val="false"/>
                <w:color w:val="333333"/>
                <w:sz w:val="22"/>
                <w:szCs w:val="22"/>
              </w:rPr>
              <w:t xml:space="preserve">below 1 second</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LLM model baseline</w:t>
            </w:r>
          </w:p>
        </w:tc>
        <w:tc>
          <w:tcPr>
            <w:tcW w:type="pct" w:w="75%"/>
          </w:tcPr>
          <w:p>
            <w:r>
              <w:rPr>
                <w:rFonts w:ascii="Calibri" w:cs="Calibri" w:eastAsia="Calibri" w:hAnsi="Calibri"/>
                <w:b/>
                <w:bCs/>
                <w:i w:val="false"/>
                <w:iCs w:val="false"/>
                <w:strike w:val="false"/>
                <w:color w:val="333333"/>
                <w:sz w:val="22"/>
                <w:szCs w:val="22"/>
              </w:rPr>
              <w:t xml:space="preserve">72B parameter</w:t>
            </w:r>
            <w:r>
              <w:rPr>
                <w:rFonts w:ascii="Calibri" w:cs="Calibri" w:eastAsia="Calibri" w:hAnsi="Calibri"/>
                <w:b w:val="false"/>
                <w:bCs w:val="false"/>
                <w:i w:val="false"/>
                <w:iCs w:val="false"/>
                <w:strike w:val="false"/>
                <w:color w:val="333333"/>
                <w:sz w:val="22"/>
                <w:szCs w:val="22"/>
              </w:rPr>
              <w:t xml:space="preserve"> dense model (Llama 3.1 70B class)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QB model baseline</w:t>
            </w:r>
          </w:p>
        </w:tc>
        <w:tc>
          <w:tcPr>
            <w:tcW w:type="pct" w:w="75%"/>
          </w:tcPr>
          <w:p>
            <w:r>
              <w:rPr>
                <w:rFonts w:ascii="Calibri" w:cs="Calibri" w:eastAsia="Calibri" w:hAnsi="Calibri"/>
                <w:b/>
                <w:bCs/>
                <w:i w:val="false"/>
                <w:iCs w:val="false"/>
                <w:strike w:val="false"/>
                <w:color w:val="333333"/>
                <w:sz w:val="22"/>
                <w:szCs w:val="22"/>
              </w:rPr>
              <w:t xml:space="preserve">7B SPE</w:t>
            </w:r>
            <w:r>
              <w:rPr>
                <w:rFonts w:ascii="Calibri" w:cs="Calibri" w:eastAsia="Calibri" w:hAnsi="Calibri"/>
                <w:b w:val="false"/>
                <w:bCs w:val="false"/>
                <w:i w:val="false"/>
                <w:iCs w:val="false"/>
                <w:strike w:val="false"/>
                <w:color w:val="333333"/>
                <w:sz w:val="22"/>
                <w:szCs w:val="22"/>
              </w:rPr>
              <w:t xml:space="preserve"> + </w:t>
            </w:r>
            <w:r>
              <w:rPr>
                <w:rFonts w:ascii="Calibri" w:cs="Calibri" w:eastAsia="Calibri" w:hAnsi="Calibri"/>
                <w:b/>
                <w:bCs/>
                <w:i w:val="false"/>
                <w:iCs w:val="false"/>
                <w:strike w:val="false"/>
                <w:color w:val="333333"/>
                <w:sz w:val="22"/>
                <w:szCs w:val="22"/>
              </w:rPr>
              <w:t xml:space="preserve">13B MRE</w:t>
            </w:r>
            <w:r>
              <w:rPr>
                <w:rFonts w:ascii="Calibri" w:cs="Calibri" w:eastAsia="Calibri" w:hAnsi="Calibri"/>
                <w:b w:val="false"/>
                <w:bCs w:val="false"/>
                <w:i w:val="false"/>
                <w:iCs w:val="false"/>
                <w:strike w:val="false"/>
                <w:color w:val="333333"/>
                <w:sz w:val="22"/>
                <w:szCs w:val="22"/>
              </w:rPr>
              <w:t xml:space="preserve"> (20B total, single A100 80GB per instance)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GPU type (both systems)</w:t>
            </w:r>
          </w:p>
        </w:tc>
        <w:tc>
          <w:tcPr>
            <w:tcW w:type="pct" w:w="75%"/>
          </w:tcPr>
          <w:p>
            <w:r>
              <w:rPr>
                <w:rFonts w:ascii="Calibri" w:cs="Calibri" w:eastAsia="Calibri" w:hAnsi="Calibri"/>
                <w:b/>
                <w:bCs/>
                <w:i w:val="false"/>
                <w:iCs w:val="false"/>
                <w:strike w:val="false"/>
                <w:color w:val="333333"/>
                <w:sz w:val="22"/>
                <w:szCs w:val="22"/>
              </w:rPr>
              <w:t xml:space="preserve">NVIDIA A100 80GB SXM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Data center PUE</w:t>
            </w:r>
          </w:p>
        </w:tc>
        <w:tc>
          <w:tcPr>
            <w:tcW w:type="pct" w:w="75%"/>
          </w:tcPr>
          <w:p>
            <w:r>
              <w:rPr>
                <w:rFonts w:ascii="Calibri" w:cs="Calibri" w:eastAsia="Calibri" w:hAnsi="Calibri"/>
                <w:b/>
                <w:bCs/>
                <w:i w:val="false"/>
                <w:iCs w:val="false"/>
                <w:strike w:val="false"/>
                <w:color w:val="333333"/>
                <w:sz w:val="22"/>
                <w:szCs w:val="22"/>
              </w:rPr>
              <w:t xml:space="preserve">1.40</w:t>
            </w:r>
            <w:r>
              <w:rPr>
                <w:rFonts w:ascii="Calibri" w:cs="Calibri" w:eastAsia="Calibri" w:hAnsi="Calibri"/>
                <w:b w:val="false"/>
                <w:bCs w:val="false"/>
                <w:i w:val="false"/>
                <w:iCs w:val="false"/>
                <w:strike w:val="false"/>
                <w:color w:val="333333"/>
                <w:sz w:val="22"/>
                <w:szCs w:val="22"/>
              </w:rPr>
              <w:t xml:space="preserve"> — standard modern colocation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Water Usage Effectiveness (WUE)</w:t>
            </w:r>
          </w:p>
        </w:tc>
        <w:tc>
          <w:tcPr>
            <w:tcW w:type="pct" w:w="75%"/>
          </w:tcPr>
          <w:p>
            <w:r>
              <w:rPr>
                <w:rFonts w:ascii="Calibri" w:cs="Calibri" w:eastAsia="Calibri" w:hAnsi="Calibri"/>
                <w:b/>
                <w:bCs/>
                <w:i w:val="false"/>
                <w:iCs w:val="false"/>
                <w:strike w:val="false"/>
                <w:color w:val="333333"/>
                <w:sz w:val="22"/>
                <w:szCs w:val="22"/>
              </w:rPr>
              <w:t xml:space="preserve">0.20 L/kWh</w:t>
            </w:r>
            <w:r>
              <w:rPr>
                <w:rFonts w:ascii="Calibri" w:cs="Calibri" w:eastAsia="Calibri" w:hAnsi="Calibri"/>
                <w:b w:val="false"/>
                <w:bCs w:val="false"/>
                <w:i w:val="false"/>
                <w:iCs w:val="false"/>
                <w:strike w:val="false"/>
                <w:color w:val="333333"/>
                <w:sz w:val="22"/>
                <w:szCs w:val="22"/>
              </w:rPr>
              <w:t xml:space="preserve"> (modern liquid-cooled) and </w:t>
            </w:r>
            <w:r>
              <w:rPr>
                <w:rFonts w:ascii="Calibri" w:cs="Calibri" w:eastAsia="Calibri" w:hAnsi="Calibri"/>
                <w:b/>
                <w:bCs/>
                <w:i w:val="false"/>
                <w:iCs w:val="false"/>
                <w:strike w:val="false"/>
                <w:color w:val="333333"/>
                <w:sz w:val="22"/>
                <w:szCs w:val="22"/>
              </w:rPr>
              <w:t xml:space="preserve">0.50 L/kWh</w:t>
            </w:r>
            <w:r>
              <w:rPr>
                <w:rFonts w:ascii="Calibri" w:cs="Calibri" w:eastAsia="Calibri" w:hAnsi="Calibri"/>
                <w:b w:val="false"/>
                <w:bCs w:val="false"/>
                <w:i w:val="false"/>
                <w:iCs w:val="false"/>
                <w:strike w:val="false"/>
                <w:color w:val="333333"/>
                <w:sz w:val="22"/>
                <w:szCs w:val="22"/>
              </w:rPr>
              <w:t xml:space="preserve"> (typical US air-cooled)</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C.3 Why the Two Systems Differ Architecturally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infrastructure difference between a pure LLM and a QueryBook Native Hybrid is rooted in a single architectural fact: the LLM must generate every token of every response autoregressively on GPU, while QueryBook retrieves verified facts from the Fact Graph via CPU and NVMe-speed graph traversal and uses GPU only to parse the query (SPE, 100 tokens) and phrase the response (MRE, 150 tokens). The GPU workload per query in QueryBook is therefore approximately </w:t>
      </w:r>
      <w:r>
        <w:rPr>
          <w:rFonts w:ascii="Calibri" w:cs="Calibri" w:eastAsia="Calibri" w:hAnsi="Calibri"/>
          <w:b/>
          <w:bCs/>
          <w:i w:val="false"/>
          <w:iCs w:val="false"/>
          <w:strike w:val="false"/>
          <w:color w:val="333333"/>
          <w:sz w:val="22"/>
          <w:szCs w:val="22"/>
        </w:rPr>
        <w:t xml:space="preserve">250 tokens versus 500 tokens</w:t>
      </w:r>
      <w:r>
        <w:rPr>
          <w:rFonts w:ascii="Calibri" w:cs="Calibri" w:eastAsia="Calibri" w:hAnsi="Calibri"/>
          <w:b w:val="false"/>
          <w:bCs w:val="false"/>
          <w:i w:val="false"/>
          <w:iCs w:val="false"/>
          <w:strike w:val="false"/>
          <w:color w:val="000000"/>
          <w:sz w:val="22"/>
          <w:szCs w:val="22"/>
        </w:rPr>
        <w:t xml:space="preserve"> for LLM, against models that are </w:t>
      </w:r>
      <w:r>
        <w:rPr>
          <w:rFonts w:ascii="Calibri" w:cs="Calibri" w:eastAsia="Calibri" w:hAnsi="Calibri"/>
          <w:b/>
          <w:bCs/>
          <w:i w:val="false"/>
          <w:iCs w:val="false"/>
          <w:strike w:val="false"/>
          <w:color w:val="333333"/>
          <w:sz w:val="22"/>
          <w:szCs w:val="22"/>
        </w:rPr>
        <w:t xml:space="preserve">3.6× smaller</w:t>
      </w:r>
      <w:r>
        <w:rPr>
          <w:rFonts w:ascii="Calibri" w:cs="Calibri" w:eastAsia="Calibri" w:hAnsi="Calibri"/>
          <w:b w:val="false"/>
          <w:bCs w:val="false"/>
          <w:i w:val="false"/>
          <w:iCs w:val="false"/>
          <w:strike w:val="false"/>
          <w:color w:val="000000"/>
          <w:sz w:val="22"/>
          <w:szCs w:val="22"/>
        </w:rPr>
        <w:t xml:space="preserve"> (20B versus 72B parameters). The combined effect reduces core query GPU requirements to approximately </w:t>
      </w:r>
      <w:r>
        <w:rPr>
          <w:rFonts w:ascii="Calibri" w:cs="Calibri" w:eastAsia="Calibri" w:hAnsi="Calibri"/>
          <w:b/>
          <w:bCs/>
          <w:i w:val="false"/>
          <w:iCs w:val="false"/>
          <w:strike w:val="false"/>
          <w:color w:val="333333"/>
          <w:sz w:val="22"/>
          <w:szCs w:val="22"/>
        </w:rPr>
        <w:t xml:space="preserve">19% of a comparable LLM deployment</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efficiency advantage is compounded at scale: the Fact Graph, once loaded into graph database server RAM, does not need to grow proportionally with query volume. Adding query throughput requires scaling the SPE/MRE GPU tier, not the graph database tier. At 10× query volume (10 million queries per day), QueryBook's graph database servers require only </w:t>
      </w:r>
      <w:r>
        <w:rPr>
          <w:rFonts w:ascii="Calibri" w:cs="Calibri" w:eastAsia="Calibri" w:hAnsi="Calibri"/>
          <w:b/>
          <w:bCs/>
          <w:i w:val="false"/>
          <w:iCs w:val="false"/>
          <w:strike w:val="false"/>
          <w:color w:val="333333"/>
          <w:sz w:val="22"/>
          <w:szCs w:val="22"/>
        </w:rPr>
        <w:t xml:space="preserve">2–3× expansion</w:t>
      </w:r>
      <w:r>
        <w:rPr>
          <w:rFonts w:ascii="Calibri" w:cs="Calibri" w:eastAsia="Calibri" w:hAnsi="Calibri"/>
          <w:b w:val="false"/>
          <w:bCs w:val="false"/>
          <w:i w:val="false"/>
          <w:iCs w:val="false"/>
          <w:strike w:val="false"/>
          <w:color w:val="000000"/>
          <w:sz w:val="22"/>
          <w:szCs w:val="22"/>
        </w:rPr>
        <w:t xml:space="preserve"> while LLM requires </w:t>
      </w:r>
      <w:r>
        <w:rPr>
          <w:rFonts w:ascii="Calibri" w:cs="Calibri" w:eastAsia="Calibri" w:hAnsi="Calibri"/>
          <w:b/>
          <w:bCs/>
          <w:i w:val="false"/>
          <w:iCs w:val="false"/>
          <w:strike w:val="false"/>
          <w:color w:val="333333"/>
          <w:sz w:val="22"/>
          <w:szCs w:val="22"/>
        </w:rPr>
        <w:t xml:space="preserve">10× GPU expansion</w:t>
      </w:r>
      <w:r>
        <w:rPr>
          <w:rFonts w:ascii="Calibri" w:cs="Calibri" w:eastAsia="Calibri" w:hAnsi="Calibri"/>
          <w:b w:val="false"/>
          <w:bCs w:val="false"/>
          <w:i w:val="false"/>
          <w:iCs w:val="false"/>
          <w:strike w:val="false"/>
          <w:color w:val="000000"/>
          <w:sz w:val="22"/>
          <w:szCs w:val="22"/>
        </w:rPr>
        <w:t xml:space="preserve">. This is detailed in Section C.7.</w:t>
      </w:r>
    </w:p>
    <w:p>
      <w:pPr>
        <w:pStyle w:val="Heading2"/>
        <w:spacing w:after="90" w:before="240" w:line="288" w:lineRule="auto"/>
      </w:pPr>
      <w:r>
        <w:rPr>
          <w:rFonts w:ascii="Calibri" w:cs="Calibri" w:eastAsia="Calibri" w:hAnsi="Calibri"/>
          <w:color w:val="0D2A5E"/>
          <w:sz w:val="36"/>
          <w:szCs w:val="36"/>
        </w:rPr>
        <w:t xml:space="preserve">C.4 LLM Operation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C.4.1 GPU Inference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72B model in fp16: </w:t>
      </w:r>
      <w:r>
        <w:rPr>
          <w:rFonts w:ascii="Calibri" w:cs="Calibri" w:eastAsia="Calibri" w:hAnsi="Calibri"/>
          <w:b/>
          <w:bCs/>
          <w:i w:val="false"/>
          <w:iCs w:val="false"/>
          <w:strike w:val="false"/>
          <w:color w:val="333333"/>
          <w:sz w:val="22"/>
          <w:szCs w:val="22"/>
        </w:rPr>
        <w:t xml:space="preserve">144GB weight size</w:t>
      </w:r>
      <w:r>
        <w:rPr>
          <w:rFonts w:ascii="Calibri" w:cs="Calibri" w:eastAsia="Calibri" w:hAnsi="Calibri"/>
          <w:b w:val="false"/>
          <w:bCs w:val="false"/>
          <w:i w:val="false"/>
          <w:iCs w:val="false"/>
          <w:strike w:val="false"/>
          <w:color w:val="000000"/>
          <w:sz w:val="22"/>
          <w:szCs w:val="22"/>
        </w:rPr>
        <w:t xml:space="preserve">. Production deployment with KV cache headroom: </w:t>
      </w:r>
      <w:r>
        <w:rPr>
          <w:rFonts w:ascii="Calibri" w:cs="Calibri" w:eastAsia="Calibri" w:hAnsi="Calibri"/>
          <w:b/>
          <w:bCs/>
          <w:i w:val="false"/>
          <w:iCs w:val="false"/>
          <w:strike w:val="false"/>
          <w:color w:val="333333"/>
          <w:sz w:val="22"/>
          <w:szCs w:val="22"/>
        </w:rPr>
        <w:t xml:space="preserve">4× A100 per inference instance</w:t>
      </w:r>
      <w:r>
        <w:rPr>
          <w:rFonts w:ascii="Calibri" w:cs="Calibri" w:eastAsia="Calibri" w:hAnsi="Calibri"/>
          <w:b w:val="false"/>
          <w:bCs w:val="false"/>
          <w:i w:val="false"/>
          <w:iCs w:val="false"/>
          <w:strike w:val="false"/>
          <w:color w:val="000000"/>
          <w:sz w:val="22"/>
          <w:szCs w:val="22"/>
        </w:rPr>
        <w:t xml:space="preserve"> (tensor parallel). Per instance throughput at typical batch: 2,500–3,500 tokens/sec. Peak demand: 35 QPS × 500 output tokens = </w:t>
      </w:r>
      <w:r>
        <w:rPr>
          <w:rFonts w:ascii="Calibri" w:cs="Calibri" w:eastAsia="Calibri" w:hAnsi="Calibri"/>
          <w:b/>
          <w:bCs/>
          <w:i w:val="false"/>
          <w:iCs w:val="false"/>
          <w:strike w:val="false"/>
          <w:color w:val="333333"/>
          <w:sz w:val="22"/>
          <w:szCs w:val="22"/>
        </w:rPr>
        <w:t xml:space="preserve">17,500 tokens/sec</w:t>
      </w:r>
      <w:r>
        <w:rPr>
          <w:rFonts w:ascii="Calibri" w:cs="Calibri" w:eastAsia="Calibri" w:hAnsi="Calibri"/>
          <w:b w:val="false"/>
          <w:bCs w:val="false"/>
          <w:i w:val="false"/>
          <w:iCs w:val="false"/>
          <w:strike w:val="false"/>
          <w:color w:val="000000"/>
          <w:sz w:val="22"/>
          <w:szCs w:val="22"/>
        </w:rPr>
        <w:t xml:space="preserve">. Instances required at peak: 17,500 ÷ 3,000 = 6 minimum. With 2.5× redundancy: </w:t>
      </w:r>
      <w:r>
        <w:rPr>
          <w:rFonts w:ascii="Calibri" w:cs="Calibri" w:eastAsia="Calibri" w:hAnsi="Calibri"/>
          <w:b/>
          <w:bCs/>
          <w:i w:val="false"/>
          <w:iCs w:val="false"/>
          <w:strike w:val="false"/>
          <w:color w:val="333333"/>
          <w:sz w:val="22"/>
          <w:szCs w:val="22"/>
        </w:rPr>
        <w:t xml:space="preserve">15 instances</w:t>
      </w:r>
      <w:r>
        <w:rPr>
          <w:rFonts w:ascii="Calibri" w:cs="Calibri" w:eastAsia="Calibri" w:hAnsi="Calibri"/>
          <w:b w:val="false"/>
          <w:bCs w:val="false"/>
          <w:i w:val="false"/>
          <w:iCs w:val="false"/>
          <w:strike w:val="false"/>
          <w:color w:val="000000"/>
          <w:sz w:val="22"/>
          <w:szCs w:val="22"/>
        </w:rPr>
        <w:t xml:space="preserve">. Packaged as 2 instances per 8-GPU server: </w:t>
      </w:r>
      <w:r>
        <w:rPr>
          <w:rFonts w:ascii="Calibri" w:cs="Calibri" w:eastAsia="Calibri" w:hAnsi="Calibri"/>
          <w:b/>
          <w:bCs/>
          <w:i w:val="false"/>
          <w:iCs w:val="false"/>
          <w:strike w:val="false"/>
          <w:color w:val="333333"/>
          <w:sz w:val="22"/>
          <w:szCs w:val="22"/>
        </w:rPr>
        <w:t xml:space="preserve">8 servers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Total A100 GPUs: 64.</w:t>
      </w:r>
    </w:p>
    <w:p>
      <w:pPr>
        <w:pStyle w:val="Heading3"/>
        <w:spacing w:after="60" w:before="240" w:line="288" w:lineRule="auto"/>
      </w:pPr>
      <w:r>
        <w:rPr>
          <w:rFonts w:ascii="Calibri" w:cs="Calibri" w:eastAsia="Calibri" w:hAnsi="Calibri"/>
          <w:color w:val="1A3A6B"/>
          <w:sz w:val="30"/>
          <w:szCs w:val="30"/>
        </w:rPr>
        <w:t xml:space="preserve">C.4.2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6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GPU Inference Server</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62%"/>
          </w:tcPr>
          <w:p>
            <w:r>
              <w:rPr>
                <w:rFonts w:ascii="Calibri" w:cs="Calibri" w:eastAsia="Calibri" w:hAnsi="Calibri"/>
                <w:b w:val="false"/>
                <w:bCs w:val="false"/>
                <w:i w:val="false"/>
                <w:iCs w:val="false"/>
                <w:strike w:val="false"/>
                <w:color w:val="333333"/>
                <w:sz w:val="22"/>
                <w:szCs w:val="22"/>
              </w:rPr>
              <w:t xml:space="preserve">8× NVIDIA A100 80GB SXM, 2-socket 32-core CPU, 256GB host RAM, 2TB NVMe, dual 100GbE + InfiniBand HDR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CPU Orchestration / Load Management</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64-core AMD EPYC, 512GB RAM, 1TB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NVMe KV Cache Storage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62%"/>
          </w:tcPr>
          <w:p>
            <w:r>
              <w:rPr>
                <w:rFonts w:ascii="Calibri" w:cs="Calibri" w:eastAsia="Calibri" w:hAnsi="Calibri"/>
                <w:b w:val="false"/>
                <w:bCs w:val="false"/>
                <w:i w:val="false"/>
                <w:iCs w:val="false"/>
                <w:strike w:val="false"/>
                <w:color w:val="333333"/>
                <w:sz w:val="22"/>
                <w:szCs w:val="22"/>
              </w:rPr>
              <w:t xml:space="preserve">2-socket 32-core, 128GB RAM, 16TB NVMe all-flash array (KV cache hot tier)</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Model Weight Registry</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2-socket 16-core, 128GB RAM, 2TB NVMe</w:t>
            </w:r>
          </w:p>
        </w:tc>
      </w:tr>
      <w:tr>
        <w:trPr>
          <w:tblHeader w:val="false"/>
        </w:trPr>
        <w:tc>
          <w:tcPr>
            <w:tcW w:type="pct" w:w="2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6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2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20</w:t>
            </w:r>
          </w:p>
        </w:tc>
        <w:tc>
          <w:tcPr>
            <w:tcW w:type="pct" w:w="62%"/>
          </w:tcPr>
          <w:p>
            <w:r>
              <w:rPr>
                <w:rFonts w:ascii="Calibri" w:cs="Calibri" w:eastAsia="Calibri" w:hAnsi="Calibri"/>
                <w:b/>
                <w:bCs/>
                <w:i w:val="false"/>
                <w:iCs w:val="false"/>
                <w:strike w:val="false"/>
                <w:color w:val="333333"/>
                <w:sz w:val="22"/>
                <w:szCs w:val="22"/>
              </w:rPr>
              <w:t xml:space="preserve">5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C.4.3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inference servers (8 × 4U): 32U. CPU and storage servers (12 × 2U): 24U. Total compute: 56U = 1.3 standard 42U cabinets. Networking cabinet: 1 full. PDU/UPS/cable management: 0.5 cabinet. </w:t>
      </w:r>
      <w:r>
        <w:rPr>
          <w:rFonts w:ascii="Calibri" w:cs="Calibri" w:eastAsia="Calibri" w:hAnsi="Calibri"/>
          <w:b/>
          <w:bCs/>
          <w:i w:val="false"/>
          <w:iCs w:val="false"/>
          <w:strike w:val="false"/>
          <w:color w:val="333333"/>
          <w:sz w:val="22"/>
          <w:szCs w:val="22"/>
        </w:rPr>
        <w:t xml:space="preserve">Total: 4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C.4.4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RAM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GPU RAM (64 A100s × 80GB)</w:t>
            </w:r>
          </w:p>
        </w:tc>
        <w:tc>
          <w:tcPr>
            <w:tcW w:type="pct" w:w="31%"/>
          </w:tcPr>
          <w:p>
            <w:r>
              <w:rPr>
                <w:rFonts w:ascii="Calibri" w:cs="Calibri" w:eastAsia="Calibri" w:hAnsi="Calibri"/>
                <w:b/>
                <w:bCs/>
                <w:i w:val="false"/>
                <w:iCs w:val="false"/>
                <w:strike w:val="false"/>
                <w:color w:val="333333"/>
                <w:sz w:val="22"/>
                <w:szCs w:val="22"/>
              </w:rPr>
              <w:t xml:space="preserve">5,120 GB (5.0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orchestration (4 × 512GB)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GPU server hosts (8 × 256GB)</w:t>
            </w:r>
          </w:p>
        </w:tc>
        <w:tc>
          <w:tcPr>
            <w:tcW w:type="pct" w:w="31%"/>
          </w:tcPr>
          <w:p>
            <w:r>
              <w:rPr>
                <w:rFonts w:ascii="Calibri" w:cs="Calibri" w:eastAsia="Calibri" w:hAnsi="Calibri"/>
                <w:b/>
                <w:bCs/>
                <w:i w:val="false"/>
                <w:iCs w:val="false"/>
                <w:strike w:val="false"/>
                <w:color w:val="333333"/>
                <w:sz w:val="22"/>
                <w:szCs w:val="22"/>
              </w:rPr>
              <w:t xml:space="preserve">2,048 GB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CPU RAM — storage and management (6 × 128GB)</w:t>
            </w:r>
          </w:p>
        </w:tc>
        <w:tc>
          <w:tcPr>
            <w:tcW w:type="pct" w:w="31%"/>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RAM (all systems)</w:t>
            </w:r>
          </w:p>
        </w:tc>
        <w:tc>
          <w:tcPr>
            <w:tcW w:type="pct" w:w="31%"/>
          </w:tcPr>
          <w:p>
            <w:r>
              <w:rPr>
                <w:rFonts w:ascii="Calibri" w:cs="Calibri" w:eastAsia="Calibri" w:hAnsi="Calibri"/>
                <w:b/>
                <w:bCs/>
                <w:i w:val="false"/>
                <w:iCs w:val="false"/>
                <w:strike w:val="false"/>
                <w:color w:val="333333"/>
                <w:sz w:val="22"/>
                <w:szCs w:val="22"/>
              </w:rPr>
              <w:t xml:space="preserve">~10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C.4.5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tcPr>
          <w:p>
            <w:r>
              <w:rPr>
                <w:rFonts w:ascii="Calibri" w:cs="Calibri" w:eastAsia="Calibri" w:hAnsi="Calibri"/>
                <w:b/>
                <w:bCs/>
                <w:i w:val="false"/>
                <w:iCs w:val="false"/>
                <w:strike w:val="false"/>
                <w:color w:val="333333"/>
                <w:sz w:val="22"/>
                <w:szCs w:val="22"/>
              </w:rPr>
              <w:t xml:space="preserve">Storage Category</w:t>
            </w:r>
          </w:p>
        </w:tc>
        <w:tc>
          <w:tcPr>
            <w:tcW w:type="pct" w:w="2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Model weights, 3 replicas, NVMe</w:t>
            </w:r>
          </w:p>
        </w:tc>
        <w:tc>
          <w:tcPr>
            <w:tcW w:type="pct" w:w="21%"/>
          </w:tcPr>
          <w:p>
            <w:r>
              <w:rPr>
                <w:rFonts w:ascii="Calibri" w:cs="Calibri" w:eastAsia="Calibri" w:hAnsi="Calibri"/>
                <w:b/>
                <w:bCs/>
                <w:i w:val="false"/>
                <w:iCs w:val="false"/>
                <w:strike w:val="false"/>
                <w:color w:val="333333"/>
                <w:sz w:val="22"/>
                <w:szCs w:val="22"/>
              </w:rPr>
              <w:t xml:space="preserve">~500 GB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KV Cache hot tier, NVMe (4 × 4TB)</w:t>
            </w:r>
          </w:p>
        </w:tc>
        <w:tc>
          <w:tcPr>
            <w:tcW w:type="pct" w:w="2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OS and system volumes (20 servers)</w:t>
            </w:r>
          </w:p>
        </w:tc>
        <w:tc>
          <w:tcPr>
            <w:tcW w:type="pct" w:w="21%"/>
          </w:tcPr>
          <w:p>
            <w:r>
              <w:rPr>
                <w:rFonts w:ascii="Calibri" w:cs="Calibri" w:eastAsia="Calibri" w:hAnsi="Calibri"/>
                <w:b/>
                <w:bCs/>
                <w:i w:val="false"/>
                <w:iCs w:val="false"/>
                <w:strike w:val="false"/>
                <w:color w:val="333333"/>
                <w:sz w:val="22"/>
                <w:szCs w:val="22"/>
              </w:rPr>
              <w:t xml:space="preserve">~10 TB SSD</w:t>
            </w:r>
          </w:p>
        </w:tc>
      </w:tr>
      <w:tr>
        <w:trPr>
          <w:tblHeader w:val="false"/>
        </w:trPr>
        <w:tc>
          <w:tcPr>
            <w:tcW w:type="pct" w:w="79%"/>
          </w:tcPr>
          <w:p>
            <w:r>
              <w:rPr>
                <w:rFonts w:ascii="Calibri" w:cs="Calibri" w:eastAsia="Calibri" w:hAnsi="Calibri"/>
                <w:b w:val="false"/>
                <w:bCs w:val="false"/>
                <w:i w:val="false"/>
                <w:iCs w:val="false"/>
                <w:strike w:val="false"/>
                <w:color w:val="333333"/>
                <w:sz w:val="22"/>
                <w:szCs w:val="22"/>
              </w:rPr>
              <w:t xml:space="preserve">Query logs, audit, model archive (HDD / object storage)</w:t>
            </w:r>
          </w:p>
        </w:tc>
        <w:tc>
          <w:tcPr>
            <w:tcW w:type="pct" w:w="21%"/>
          </w:tcPr>
          <w:p>
            <w:r>
              <w:rPr>
                <w:rFonts w:ascii="Calibri" w:cs="Calibri" w:eastAsia="Calibri" w:hAnsi="Calibri"/>
                <w:b/>
                <w:bCs/>
                <w:i w:val="false"/>
                <w:iCs w:val="false"/>
                <w:strike w:val="false"/>
                <w:color w:val="333333"/>
                <w:sz w:val="22"/>
                <w:szCs w:val="22"/>
              </w:rPr>
              <w:t xml:space="preserve">~65 TB</w:t>
            </w:r>
          </w:p>
        </w:tc>
      </w:tr>
      <w:tr>
        <w:trPr>
          <w:tblHeader w:val="false"/>
        </w:trPr>
        <w:tc>
          <w:tcPr>
            <w:tcW w:type="pct" w:w="79%"/>
          </w:tcPr>
          <w:p>
            <w:r>
              <w:rPr>
                <w:rFonts w:ascii="Calibri" w:cs="Calibri" w:eastAsia="Calibri" w:hAnsi="Calibri"/>
                <w:b/>
                <w:bCs/>
                <w:i w:val="false"/>
                <w:iCs w:val="false"/>
                <w:strike w:val="false"/>
                <w:color w:val="333333"/>
                <w:sz w:val="22"/>
                <w:szCs w:val="22"/>
              </w:rPr>
              <w:t xml:space="preserve">Total Storage (all tiers)</w:t>
            </w:r>
          </w:p>
        </w:tc>
        <w:tc>
          <w:tcPr>
            <w:tcW w:type="pct" w:w="21%"/>
          </w:tcPr>
          <w:p>
            <w:r>
              <w:rPr>
                <w:rFonts w:ascii="Calibri" w:cs="Calibri" w:eastAsia="Calibri" w:hAnsi="Calibri"/>
                <w:b/>
                <w:bCs/>
                <w:i w:val="false"/>
                <w:iCs w:val="false"/>
                <w:strike w:val="false"/>
                <w:color w:val="333333"/>
                <w:sz w:val="22"/>
                <w:szCs w:val="22"/>
              </w:rPr>
              <w:t xml:space="preserve">~82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C.4.6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tcPr>
          <w:p>
            <w:r>
              <w:rPr>
                <w:rFonts w:ascii="Calibri" w:cs="Calibri" w:eastAsia="Calibri" w:hAnsi="Calibri"/>
                <w:b/>
                <w:bCs/>
                <w:i w:val="false"/>
                <w:iCs w:val="false"/>
                <w:strike w:val="false"/>
                <w:color w:val="333333"/>
                <w:sz w:val="22"/>
                <w:szCs w:val="22"/>
              </w:rPr>
              <w:t xml:space="preserve">Component</w:t>
            </w:r>
          </w:p>
        </w:tc>
        <w:tc>
          <w:tcPr>
            <w:tcW w:type="pct" w:w="22%"/>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8 GPU inference servers @ 7.2 kW each</w:t>
            </w:r>
          </w:p>
        </w:tc>
        <w:tc>
          <w:tcPr>
            <w:tcW w:type="pct" w:w="22%"/>
          </w:tcPr>
          <w:p>
            <w:r>
              <w:rPr>
                <w:rFonts w:ascii="Calibri" w:cs="Calibri" w:eastAsia="Calibri" w:hAnsi="Calibri"/>
                <w:b/>
                <w:bCs/>
                <w:i w:val="false"/>
                <w:iCs w:val="false"/>
                <w:strike w:val="false"/>
                <w:color w:val="333333"/>
                <w:sz w:val="22"/>
                <w:szCs w:val="22"/>
              </w:rPr>
              <w:t xml:space="preserve">57.6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CPU orchestration servers @ 1.0 kW each</w:t>
            </w:r>
          </w:p>
        </w:tc>
        <w:tc>
          <w:tcPr>
            <w:tcW w:type="pct" w:w="22%"/>
          </w:tcPr>
          <w:p>
            <w:r>
              <w:rPr>
                <w:rFonts w:ascii="Calibri" w:cs="Calibri" w:eastAsia="Calibri" w:hAnsi="Calibri"/>
                <w:b/>
                <w:bCs/>
                <w:i w:val="false"/>
                <w:iCs w:val="false"/>
                <w:strike w:val="false"/>
                <w:color w:val="333333"/>
                <w:sz w:val="22"/>
                <w:szCs w:val="22"/>
              </w:rPr>
              <w:t xml:space="preserve">4.0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4 NVMe storage servers @ 2.0 kW each</w:t>
            </w:r>
          </w:p>
        </w:tc>
        <w:tc>
          <w:tcPr>
            <w:tcW w:type="pct" w:w="22%"/>
          </w:tcPr>
          <w:p>
            <w:r>
              <w:rPr>
                <w:rFonts w:ascii="Calibri" w:cs="Calibri" w:eastAsia="Calibri" w:hAnsi="Calibri"/>
                <w:b/>
                <w:bCs/>
                <w:i w:val="false"/>
                <w:iCs w:val="false"/>
                <w:strike w:val="false"/>
                <w:color w:val="333333"/>
                <w:sz w:val="22"/>
                <w:szCs w:val="22"/>
              </w:rPr>
              <w:t xml:space="preserve">8.0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model registry servers @ 1.0 kW each</w:t>
            </w:r>
          </w:p>
        </w:tc>
        <w:tc>
          <w:tcPr>
            <w:tcW w:type="pct" w:w="22%"/>
          </w:tcPr>
          <w:p>
            <w:r>
              <w:rPr>
                <w:rFonts w:ascii="Calibri" w:cs="Calibri" w:eastAsia="Calibri" w:hAnsi="Calibri"/>
                <w:b/>
                <w:bCs/>
                <w:i w:val="false"/>
                <w:iCs w:val="false"/>
                <w:strike w:val="false"/>
                <w:color w:val="333333"/>
                <w:sz w:val="22"/>
                <w:szCs w:val="22"/>
              </w:rPr>
              <w:t xml:space="preserve">2.0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2 management servers @ 0.5 kW each</w:t>
            </w:r>
          </w:p>
        </w:tc>
        <w:tc>
          <w:tcPr>
            <w:tcW w:type="pct" w:w="22%"/>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78%"/>
          </w:tcPr>
          <w:p>
            <w:r>
              <w:rPr>
                <w:rFonts w:ascii="Calibri" w:cs="Calibri" w:eastAsia="Calibri" w:hAnsi="Calibri"/>
                <w:b w:val="false"/>
                <w:bCs w:val="false"/>
                <w:i w:val="false"/>
                <w:iCs w:val="false"/>
                <w:strike w:val="false"/>
                <w:color w:val="333333"/>
                <w:sz w:val="22"/>
                <w:szCs w:val="22"/>
              </w:rPr>
              <w:t xml:space="preserve">Networking (spine, leaf, management switches)</w:t>
            </w:r>
          </w:p>
        </w:tc>
        <w:tc>
          <w:tcPr>
            <w:tcW w:type="pct" w:w="22%"/>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Total IT Load</w:t>
            </w:r>
          </w:p>
        </w:tc>
        <w:tc>
          <w:tcPr>
            <w:tcW w:type="pct" w:w="22%"/>
          </w:tcPr>
          <w:p>
            <w:r>
              <w:rPr>
                <w:rFonts w:ascii="Calibri" w:cs="Calibri" w:eastAsia="Calibri" w:hAnsi="Calibri"/>
                <w:b/>
                <w:bCs/>
                <w:i w:val="false"/>
                <w:iCs w:val="false"/>
                <w:strike w:val="false"/>
                <w:color w:val="333333"/>
                <w:sz w:val="22"/>
                <w:szCs w:val="22"/>
              </w:rPr>
              <w:t xml:space="preserve">77.6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Facility Total (PUE 1.40)</w:t>
            </w:r>
          </w:p>
        </w:tc>
        <w:tc>
          <w:tcPr>
            <w:tcW w:type="pct" w:w="22%"/>
          </w:tcPr>
          <w:p>
            <w:r>
              <w:rPr>
                <w:rFonts w:ascii="Calibri" w:cs="Calibri" w:eastAsia="Calibri" w:hAnsi="Calibri"/>
                <w:b/>
                <w:bCs/>
                <w:i w:val="false"/>
                <w:iCs w:val="false"/>
                <w:strike w:val="false"/>
                <w:color w:val="333333"/>
                <w:sz w:val="22"/>
                <w:szCs w:val="22"/>
              </w:rPr>
              <w:t xml:space="preserve">108.6 kW</w:t>
            </w:r>
          </w:p>
        </w:tc>
      </w:tr>
      <w:tr>
        <w:trPr>
          <w:tblHeader w:val="false"/>
        </w:trPr>
        <w:tc>
          <w:tcPr>
            <w:tcW w:type="pct" w:w="78%"/>
          </w:tcPr>
          <w:p>
            <w:r>
              <w:rPr>
                <w:rFonts w:ascii="Calibri" w:cs="Calibri" w:eastAsia="Calibri" w:hAnsi="Calibri"/>
                <w:b/>
                <w:bCs/>
                <w:i w:val="false"/>
                <w:iCs w:val="false"/>
                <w:strike w:val="false"/>
                <w:color w:val="333333"/>
                <w:sz w:val="22"/>
                <w:szCs w:val="22"/>
              </w:rPr>
              <w:t xml:space="preserve">Daily Energy Consumption</w:t>
            </w:r>
          </w:p>
        </w:tc>
        <w:tc>
          <w:tcPr>
            <w:tcW w:type="pct" w:w="22%"/>
          </w:tcPr>
          <w:p>
            <w:r>
              <w:rPr>
                <w:rFonts w:ascii="Calibri" w:cs="Calibri" w:eastAsia="Calibri" w:hAnsi="Calibri"/>
                <w:b/>
                <w:bCs/>
                <w:i w:val="false"/>
                <w:iCs w:val="false"/>
                <w:strike w:val="false"/>
                <w:color w:val="333333"/>
                <w:sz w:val="22"/>
                <w:szCs w:val="22"/>
              </w:rPr>
              <w:t xml:space="preserve">2,607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C.4.7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521 L</w:t>
            </w:r>
          </w:p>
        </w:tc>
        <w:tc>
          <w:tcPr>
            <w:tcW w:type="pct" w:w="26%"/>
          </w:tcPr>
          <w:p>
            <w:r>
              <w:rPr>
                <w:rFonts w:ascii="Calibri" w:cs="Calibri" w:eastAsia="Calibri" w:hAnsi="Calibri"/>
                <w:b/>
                <w:bCs/>
                <w:i w:val="false"/>
                <w:iCs w:val="false"/>
                <w:strike w:val="false"/>
                <w:color w:val="333333"/>
                <w:sz w:val="22"/>
                <w:szCs w:val="22"/>
              </w:rPr>
              <w:t xml:space="preserve">138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1,304 L</w:t>
            </w:r>
          </w:p>
        </w:tc>
        <w:tc>
          <w:tcPr>
            <w:tcW w:type="pct" w:w="26%"/>
          </w:tcPr>
          <w:p>
            <w:r>
              <w:rPr>
                <w:rFonts w:ascii="Calibri" w:cs="Calibri" w:eastAsia="Calibri" w:hAnsi="Calibri"/>
                <w:b/>
                <w:bCs/>
                <w:i w:val="false"/>
                <w:iCs w:val="false"/>
                <w:strike w:val="false"/>
                <w:color w:val="333333"/>
                <w:sz w:val="22"/>
                <w:szCs w:val="22"/>
              </w:rPr>
              <w:t xml:space="preserve">344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C.4.8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2× diverse 10 Gbps fiber uplinks, separate carriers and conduit paths.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(Juniper MX240 or Cisco ASR 1006-X class),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(Arbor TMS or Radware DefensePro) with cloud scrubbing overflow.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(Palo Alto PA-5400 or Fortinet FortiGate 4400F class).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hardware ADC in HA pair (F5 BIG-IP i5800 or Citrix ADC MPX 15000), SSL/TLS termination at this tier.</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~3 Mbps inbound / ~1 Mbps outbound</w:t>
      </w:r>
      <w:r>
        <w:rPr>
          <w:rFonts w:ascii="Calibri" w:cs="Calibri" w:eastAsia="Calibri" w:hAnsi="Calibri"/>
          <w:b w:val="false"/>
          <w:bCs w:val="false"/>
          <w:i w:val="false"/>
          <w:iCs w:val="false"/>
          <w:strike w:val="false"/>
          <w:color w:val="000000"/>
          <w:sz w:val="22"/>
          <w:szCs w:val="22"/>
        </w:rPr>
        <w:t xml:space="preserve">. Peak at 35 QPS: </w:t>
      </w:r>
      <w:r>
        <w:rPr>
          <w:rFonts w:ascii="Calibri" w:cs="Calibri" w:eastAsia="Calibri" w:hAnsi="Calibri"/>
          <w:b/>
          <w:bCs/>
          <w:i w:val="false"/>
          <w:iCs w:val="false"/>
          <w:strike w:val="false"/>
          <w:color w:val="333333"/>
          <w:sz w:val="22"/>
          <w:szCs w:val="22"/>
        </w:rPr>
        <w:t xml:space="preserve">~15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2× 10 Gbps</w:t>
      </w:r>
      <w:r>
        <w:rPr>
          <w:rFonts w:ascii="Calibri" w:cs="Calibri" w:eastAsia="Calibri" w:hAnsi="Calibri"/>
          <w:b w:val="false"/>
          <w:bCs w:val="false"/>
          <w:i w:val="false"/>
          <w:iCs w:val="false"/>
          <w:strike w:val="false"/>
          <w:color w:val="000000"/>
          <w:sz w:val="22"/>
          <w:szCs w:val="22"/>
        </w:rPr>
        <w:t xml:space="preserve"> (sized for DDoS headroom). Internal cluster fabric: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000000"/>
          <w:sz w:val="22"/>
          <w:szCs w:val="22"/>
        </w:rPr>
        <w:t xml:space="preserve"> (GPU-to-GPU tensor parallel — dominant bandwidth requirement).</w:t>
      </w:r>
    </w:p>
    <w:p>
      <w:pPr>
        <w:pStyle w:val="Heading2"/>
        <w:spacing w:after="90" w:before="240" w:line="288" w:lineRule="auto"/>
      </w:pPr>
      <w:r>
        <w:rPr>
          <w:rFonts w:ascii="Calibri" w:cs="Calibri" w:eastAsia="Calibri" w:hAnsi="Calibri"/>
          <w:color w:val="0D2A5E"/>
          <w:sz w:val="36"/>
          <w:szCs w:val="36"/>
        </w:rPr>
        <w:t xml:space="preserve">C.5 QueryBook Native Hybrid — Infrastructure Specification at 1,000,000 Queries per Day</w:t>
      </w:r>
    </w:p>
    <w:p>
      <w:pPr>
        <w:pStyle w:val="Heading3"/>
        <w:spacing w:after="60" w:before="240" w:line="288" w:lineRule="auto"/>
      </w:pPr>
      <w:r>
        <w:rPr>
          <w:rFonts w:ascii="Calibri" w:cs="Calibri" w:eastAsia="Calibri" w:hAnsi="Calibri"/>
          <w:color w:val="1A3A6B"/>
          <w:sz w:val="30"/>
          <w:szCs w:val="30"/>
        </w:rPr>
        <w:t xml:space="preserve">C.5.1 GPU Inference Requirement — Core Query Processing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SPE (7B, fp16): </w:t>
      </w:r>
      <w:r>
        <w:rPr>
          <w:rFonts w:ascii="Calibri" w:cs="Calibri" w:eastAsia="Calibri" w:hAnsi="Calibri"/>
          <w:b/>
          <w:bCs/>
          <w:i w:val="false"/>
          <w:iCs w:val="false"/>
          <w:strike w:val="false"/>
          <w:color w:val="333333"/>
          <w:sz w:val="22"/>
          <w:szCs w:val="22"/>
        </w:rPr>
        <w:t xml:space="preserve">14 GB</w:t>
      </w:r>
      <w:r>
        <w:rPr>
          <w:rFonts w:ascii="Calibri" w:cs="Calibri" w:eastAsia="Calibri" w:hAnsi="Calibri"/>
          <w:b w:val="false"/>
          <w:bCs w:val="false"/>
          <w:i w:val="false"/>
          <w:iCs w:val="false"/>
          <w:strike w:val="false"/>
          <w:color w:val="000000"/>
          <w:sz w:val="22"/>
          <w:szCs w:val="22"/>
        </w:rPr>
        <w:t xml:space="preserve">. MRE (13B, fp16): </w:t>
      </w:r>
      <w:r>
        <w:rPr>
          <w:rFonts w:ascii="Calibri" w:cs="Calibri" w:eastAsia="Calibri" w:hAnsi="Calibri"/>
          <w:b/>
          <w:bCs/>
          <w:i w:val="false"/>
          <w:iCs w:val="false"/>
          <w:strike w:val="false"/>
          <w:color w:val="333333"/>
          <w:sz w:val="22"/>
          <w:szCs w:val="22"/>
        </w:rPr>
        <w:t xml:space="preserve">26 GB</w:t>
      </w:r>
      <w:r>
        <w:rPr>
          <w:rFonts w:ascii="Calibri" w:cs="Calibri" w:eastAsia="Calibri" w:hAnsi="Calibri"/>
          <w:b w:val="false"/>
          <w:bCs w:val="false"/>
          <w:i w:val="false"/>
          <w:iCs w:val="false"/>
          <w:strike w:val="false"/>
          <w:color w:val="000000"/>
          <w:sz w:val="22"/>
          <w:szCs w:val="22"/>
        </w:rPr>
        <w:t xml:space="preserve">. Combined on single A100 80GB: </w:t>
      </w:r>
      <w:r>
        <w:rPr>
          <w:rFonts w:ascii="Calibri" w:cs="Calibri" w:eastAsia="Calibri" w:hAnsi="Calibri"/>
          <w:b/>
          <w:bCs/>
          <w:i w:val="false"/>
          <w:iCs w:val="false"/>
          <w:strike w:val="false"/>
          <w:color w:val="333333"/>
          <w:sz w:val="22"/>
          <w:szCs w:val="22"/>
        </w:rPr>
        <w:t xml:space="preserve">40 GB used / 40 GB remaining</w:t>
      </w:r>
      <w:r>
        <w:rPr>
          <w:rFonts w:ascii="Calibri" w:cs="Calibri" w:eastAsia="Calibri" w:hAnsi="Calibri"/>
          <w:b w:val="false"/>
          <w:bCs w:val="false"/>
          <w:i w:val="false"/>
          <w:iCs w:val="false"/>
          <w:strike w:val="false"/>
          <w:color w:val="000000"/>
          <w:sz w:val="22"/>
          <w:szCs w:val="22"/>
        </w:rPr>
        <w:t xml:space="preserve"> for KV cache and activations — comfortable fit. Per instance throughput (250 total tokens): 2,500–3,000 tokens/sec. Peak demand: 35 QPS × 250 = </w:t>
      </w:r>
      <w:r>
        <w:rPr>
          <w:rFonts w:ascii="Calibri" w:cs="Calibri" w:eastAsia="Calibri" w:hAnsi="Calibri"/>
          <w:b/>
          <w:bCs/>
          <w:i w:val="false"/>
          <w:iCs w:val="false"/>
          <w:strike w:val="false"/>
          <w:color w:val="333333"/>
          <w:sz w:val="22"/>
          <w:szCs w:val="22"/>
        </w:rPr>
        <w:t xml:space="preserve">8,750 tokens/sec</w:t>
      </w:r>
      <w:r>
        <w:rPr>
          <w:rFonts w:ascii="Calibri" w:cs="Calibri" w:eastAsia="Calibri" w:hAnsi="Calibri"/>
          <w:b w:val="false"/>
          <w:bCs w:val="false"/>
          <w:i w:val="false"/>
          <w:iCs w:val="false"/>
          <w:strike w:val="false"/>
          <w:color w:val="000000"/>
          <w:sz w:val="22"/>
          <w:szCs w:val="22"/>
        </w:rPr>
        <w:t xml:space="preserve">. Instances required: 8,750 ÷ 2,750 = 3.2 minimum. With 2.5× redundancy: </w:t>
      </w:r>
      <w:r>
        <w:rPr>
          <w:rFonts w:ascii="Calibri" w:cs="Calibri" w:eastAsia="Calibri" w:hAnsi="Calibri"/>
          <w:b/>
          <w:bCs/>
          <w:i w:val="false"/>
          <w:iCs w:val="false"/>
          <w:strike w:val="false"/>
          <w:color w:val="333333"/>
          <w:sz w:val="22"/>
          <w:szCs w:val="22"/>
        </w:rPr>
        <w:t xml:space="preserve">8 instances on 3 servers × 4 A100s = 12 A100s</w:t>
      </w:r>
      <w:r>
        <w:rPr>
          <w:rFonts w:ascii="Calibri" w:cs="Calibri" w:eastAsia="Calibri" w:hAnsi="Calibri"/>
          <w:b w:val="false"/>
          <w:bCs w:val="false"/>
          <w:i w:val="false"/>
          <w:iCs w:val="false"/>
          <w:strike w:val="false"/>
          <w:color w:val="000000"/>
          <w:sz w:val="22"/>
          <w:szCs w:val="22"/>
        </w:rPr>
        <w:t xml:space="preserve"> for all query inference.</w:t>
      </w:r>
    </w:p>
    <w:p>
      <w:pPr>
        <w:pStyle w:val="Heading3"/>
        <w:spacing w:after="60" w:before="240" w:line="288" w:lineRule="auto"/>
      </w:pPr>
      <w:r>
        <w:rPr>
          <w:rFonts w:ascii="Calibri" w:cs="Calibri" w:eastAsia="Calibri" w:hAnsi="Calibri"/>
          <w:color w:val="1A3A6B"/>
          <w:sz w:val="30"/>
          <w:szCs w:val="30"/>
        </w:rPr>
        <w:t xml:space="preserve">C.5.2 GPU Requirement — PAGS App Generation (Separate Pool)</w:t>
      </w:r>
    </w:p>
    <w:p>
      <w:pPr>
        <w:spacing w:after="120" w:line="360" w:lineRule="auto"/>
      </w:pPr>
      <w:r>
        <w:rPr>
          <w:rFonts w:ascii="Calibri" w:cs="Calibri" w:eastAsia="Calibri" w:hAnsi="Calibri"/>
          <w:b w:val="false"/>
          <w:bCs w:val="false"/>
          <w:i w:val="false"/>
          <w:iCs w:val="false"/>
          <w:strike w:val="false"/>
          <w:color w:val="000000"/>
          <w:sz w:val="22"/>
          <w:szCs w:val="22"/>
        </w:rPr>
        <w:t xml:space="preserve">PAGS uses a </w:t>
      </w:r>
      <w:r>
        <w:rPr>
          <w:rFonts w:ascii="Calibri" w:cs="Calibri" w:eastAsia="Calibri" w:hAnsi="Calibri"/>
          <w:b/>
          <w:bCs/>
          <w:i w:val="false"/>
          <w:iCs w:val="false"/>
          <w:strike w:val="false"/>
          <w:color w:val="333333"/>
          <w:sz w:val="22"/>
          <w:szCs w:val="22"/>
        </w:rPr>
        <w:t xml:space="preserve">34B parameter model</w:t>
      </w:r>
      <w:r>
        <w:rPr>
          <w:rFonts w:ascii="Calibri" w:cs="Calibri" w:eastAsia="Calibri" w:hAnsi="Calibri"/>
          <w:b w:val="false"/>
          <w:bCs w:val="false"/>
          <w:i w:val="false"/>
          <w:iCs w:val="false"/>
          <w:strike w:val="false"/>
          <w:color w:val="000000"/>
          <w:sz w:val="22"/>
          <w:szCs w:val="22"/>
        </w:rPr>
        <w:t xml:space="preserve"> (68 GB fp16) — fits in 1× A100 80GB with 12 GB headroom. Deployed as 2-GPU instances. At 1M queries/day, PAGS-triggering events ~0.5% = </w:t>
      </w:r>
      <w:r>
        <w:rPr>
          <w:rFonts w:ascii="Calibri" w:cs="Calibri" w:eastAsia="Calibri" w:hAnsi="Calibri"/>
          <w:b/>
          <w:bCs/>
          <w:i w:val="false"/>
          <w:iCs w:val="false"/>
          <w:strike w:val="false"/>
          <w:color w:val="333333"/>
          <w:sz w:val="22"/>
          <w:szCs w:val="22"/>
        </w:rPr>
        <w:t xml:space="preserve">5,000 app generation requests/day</w:t>
      </w:r>
      <w:r>
        <w:rPr>
          <w:rFonts w:ascii="Calibri" w:cs="Calibri" w:eastAsia="Calibri" w:hAnsi="Calibri"/>
          <w:b w:val="false"/>
          <w:bCs w:val="false"/>
          <w:i w:val="false"/>
          <w:iCs w:val="false"/>
          <w:strike w:val="false"/>
          <w:color w:val="000000"/>
          <w:sz w:val="22"/>
          <w:szCs w:val="22"/>
        </w:rPr>
        <w:t xml:space="preserve">. At 45 sec avg: 225,000 GPU-seconds/day = 62.5 GPU-hours/day. 8 A100s running 24h = 192 A100-hours available — satisfied. PAGS servers: 2 servers × 4 A100 = </w:t>
      </w:r>
      <w:r>
        <w:rPr>
          <w:rFonts w:ascii="Calibri" w:cs="Calibri" w:eastAsia="Calibri" w:hAnsi="Calibri"/>
          <w:b/>
          <w:bCs/>
          <w:i w:val="false"/>
          <w:iCs w:val="false"/>
          <w:strike w:val="false"/>
          <w:color w:val="333333"/>
          <w:sz w:val="22"/>
          <w:szCs w:val="22"/>
        </w:rPr>
        <w:t xml:space="preserve">8 A100s</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bCs/>
          <w:i w:val="false"/>
          <w:iCs w:val="false"/>
          <w:strike w:val="false"/>
          <w:color w:val="333333"/>
          <w:sz w:val="22"/>
          <w:szCs w:val="22"/>
        </w:rPr>
        <w:t xml:space="preserve">Total A100 GPUs across entire QB-Native Hybrid: 20.</w:t>
      </w:r>
    </w:p>
    <w:p>
      <w:pPr>
        <w:pStyle w:val="Heading3"/>
        <w:spacing w:after="60" w:before="240" w:line="288" w:lineRule="auto"/>
      </w:pPr>
      <w:r>
        <w:rPr>
          <w:rFonts w:ascii="Calibri" w:cs="Calibri" w:eastAsia="Calibri" w:hAnsi="Calibri"/>
          <w:color w:val="1A3A6B"/>
          <w:sz w:val="30"/>
          <w:szCs w:val="30"/>
        </w:rPr>
        <w:t xml:space="preserve">C.5.3 Server Inventory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tcPr>
          <w:p>
            <w:r>
              <w:rPr>
                <w:rFonts w:ascii="Calibri" w:cs="Calibri" w:eastAsia="Calibri" w:hAnsi="Calibri"/>
                <w:b/>
                <w:bCs/>
                <w:i w:val="false"/>
                <w:iCs w:val="false"/>
                <w:strike w:val="false"/>
                <w:color w:val="333333"/>
                <w:sz w:val="22"/>
                <w:szCs w:val="22"/>
              </w:rPr>
              <w:t xml:space="preserve">Server Type</w:t>
            </w:r>
          </w:p>
        </w:tc>
        <w:tc>
          <w:tcPr>
            <w:tcW w:type="pct" w:w="11%"/>
          </w:tcPr>
          <w:p>
            <w:r>
              <w:rPr>
                <w:rFonts w:ascii="Calibri" w:cs="Calibri" w:eastAsia="Calibri" w:hAnsi="Calibri"/>
                <w:b/>
                <w:bCs/>
                <w:i w:val="false"/>
                <w:iCs w:val="false"/>
                <w:strike w:val="false"/>
                <w:color w:val="333333"/>
                <w:sz w:val="22"/>
                <w:szCs w:val="22"/>
              </w:rPr>
              <w:t xml:space="preserve">Count</w:t>
            </w:r>
          </w:p>
        </w:tc>
        <w:tc>
          <w:tcPr>
            <w:tcW w:type="pct" w:w="52%"/>
          </w:tcPr>
          <w:p>
            <w:r>
              <w:rPr>
                <w:rFonts w:ascii="Calibri" w:cs="Calibri" w:eastAsia="Calibri" w:hAnsi="Calibri"/>
                <w:b/>
                <w:bCs/>
                <w:i w:val="false"/>
                <w:iCs w:val="false"/>
                <w:strike w:val="false"/>
                <w:color w:val="333333"/>
                <w:sz w:val="22"/>
                <w:szCs w:val="22"/>
              </w:rPr>
              <w:t xml:space="preserve">Configuration</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Inference (SPE + MRE, 4× A100 per server)</w:t>
            </w:r>
          </w:p>
        </w:tc>
        <w:tc>
          <w:tcPr>
            <w:tcW w:type="pct" w:w="11%"/>
          </w:tcPr>
          <w:p>
            <w:r>
              <w:rPr>
                <w:rFonts w:ascii="Calibri" w:cs="Calibri" w:eastAsia="Calibri" w:hAnsi="Calibri"/>
                <w:b/>
                <w:bCs/>
                <w:i w:val="false"/>
                <w:iCs w:val="false"/>
                <w:strike w:val="false"/>
                <w:color w:val="333333"/>
                <w:sz w:val="22"/>
                <w:szCs w:val="22"/>
              </w:rPr>
              <w:t xml:space="preserve">3</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GPU App Generation (PAGS, 4× A100 per server)</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4× NVIDIA A100 80GB SXM, 2-socket 32-core CPU, 256GB host RAM, 1TB NVMe,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Graph Database (Fact Graph + Ontology Mesh, high-RAM/NVMe)</w:t>
            </w:r>
          </w:p>
        </w:tc>
        <w:tc>
          <w:tcPr>
            <w:tcW w:type="pct" w:w="11%"/>
          </w:tcPr>
          <w:p>
            <w:r>
              <w:rPr>
                <w:rFonts w:ascii="Calibri" w:cs="Calibri" w:eastAsia="Calibri" w:hAnsi="Calibri"/>
                <w:b/>
                <w:bCs/>
                <w:i w:val="false"/>
                <w:iCs w:val="false"/>
                <w:strike w:val="false"/>
                <w:color w:val="333333"/>
                <w:sz w:val="22"/>
                <w:szCs w:val="22"/>
              </w:rPr>
              <w:t xml:space="preserve">8</w:t>
            </w:r>
          </w:p>
        </w:tc>
        <w:tc>
          <w:tcPr>
            <w:tcW w:type="pct" w:w="52%"/>
          </w:tcPr>
          <w:p>
            <w:r>
              <w:rPr>
                <w:rFonts w:ascii="Calibri" w:cs="Calibri" w:eastAsia="Calibri" w:hAnsi="Calibri"/>
                <w:b w:val="false"/>
                <w:bCs w:val="false"/>
                <w:i w:val="false"/>
                <w:iCs w:val="false"/>
                <w:strike w:val="false"/>
                <w:color w:val="333333"/>
                <w:sz w:val="22"/>
                <w:szCs w:val="22"/>
              </w:rPr>
              <w:t xml:space="preserve">2-socket 64-core AMD EPYC 9654, 512GB ECC RAM, 2TB NVMe U.2 (12-bay),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Live Fact Buffer + CQE Streaming</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AMD EPYC, 256GB RAM, 2TB NVMe (high-throughput random write),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Commerce Layer (QBCL Web Tier)</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 dual 25GbE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NLPL Compilation Queue</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128GB RAM, 500GB SSD (SBR ontology lookups + job queuing)</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CPU Orchestration and API Gateway</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32-core, 256GB RAM, 1TB NVMe</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Object Storage Proxy and Cold Fact Store</w:t>
            </w:r>
          </w:p>
        </w:tc>
        <w:tc>
          <w:tcPr>
            <w:tcW w:type="pct" w:w="11%"/>
          </w:tcPr>
          <w:p>
            <w:r>
              <w:rPr>
                <w:rFonts w:ascii="Calibri" w:cs="Calibri" w:eastAsia="Calibri" w:hAnsi="Calibri"/>
                <w:b/>
                <w:bCs/>
                <w:i w:val="false"/>
                <w:iCs w:val="false"/>
                <w:strike w:val="false"/>
                <w:color w:val="333333"/>
                <w:sz w:val="22"/>
                <w:szCs w:val="22"/>
              </w:rPr>
              <w:t xml:space="preserve">4</w:t>
            </w:r>
          </w:p>
        </w:tc>
        <w:tc>
          <w:tcPr>
            <w:tcW w:type="pct" w:w="52%"/>
          </w:tcPr>
          <w:p>
            <w:r>
              <w:rPr>
                <w:rFonts w:ascii="Calibri" w:cs="Calibri" w:eastAsia="Calibri" w:hAnsi="Calibri"/>
                <w:b w:val="false"/>
                <w:bCs w:val="false"/>
                <w:i w:val="false"/>
                <w:iCs w:val="false"/>
                <w:strike w:val="false"/>
                <w:color w:val="333333"/>
                <w:sz w:val="22"/>
                <w:szCs w:val="22"/>
              </w:rPr>
              <w:t xml:space="preserve">2-socket 16-core, 128GB RAM, 500GB SSD (proxy/index — cold storage off-premises)</w:t>
            </w:r>
          </w:p>
        </w:tc>
      </w:tr>
      <w:tr>
        <w:trPr>
          <w:tblHeader w:val="false"/>
        </w:trPr>
        <w:tc>
          <w:tcPr>
            <w:tcW w:type="pct" w:w="37%"/>
          </w:tcPr>
          <w:p>
            <w:r>
              <w:rPr>
                <w:rFonts w:ascii="Calibri" w:cs="Calibri" w:eastAsia="Calibri" w:hAnsi="Calibri"/>
                <w:b w:val="false"/>
                <w:bCs w:val="false"/>
                <w:i w:val="false"/>
                <w:iCs w:val="false"/>
                <w:strike w:val="false"/>
                <w:color w:val="333333"/>
                <w:sz w:val="22"/>
                <w:szCs w:val="22"/>
              </w:rPr>
              <w:t xml:space="preserve">Management and Monitoring</w:t>
            </w:r>
          </w:p>
        </w:tc>
        <w:tc>
          <w:tcPr>
            <w:tcW w:type="pct" w:w="11%"/>
          </w:tcPr>
          <w:p>
            <w:r>
              <w:rPr>
                <w:rFonts w:ascii="Calibri" w:cs="Calibri" w:eastAsia="Calibri" w:hAnsi="Calibri"/>
                <w:b/>
                <w:bCs/>
                <w:i w:val="false"/>
                <w:iCs w:val="false"/>
                <w:strike w:val="false"/>
                <w:color w:val="333333"/>
                <w:sz w:val="22"/>
                <w:szCs w:val="22"/>
              </w:rPr>
              <w:t xml:space="preserve">2</w:t>
            </w:r>
          </w:p>
        </w:tc>
        <w:tc>
          <w:tcPr>
            <w:tcW w:type="pct" w:w="52%"/>
          </w:tcPr>
          <w:p>
            <w:r>
              <w:rPr>
                <w:rFonts w:ascii="Calibri" w:cs="Calibri" w:eastAsia="Calibri" w:hAnsi="Calibri"/>
                <w:b w:val="false"/>
                <w:bCs w:val="false"/>
                <w:i w:val="false"/>
                <w:iCs w:val="false"/>
                <w:strike w:val="false"/>
                <w:color w:val="333333"/>
                <w:sz w:val="22"/>
                <w:szCs w:val="22"/>
              </w:rPr>
              <w:t xml:space="preserve">Single-socket 16-core, 64GB RAM, 500GB SSD</w:t>
            </w:r>
          </w:p>
        </w:tc>
      </w:tr>
      <w:tr>
        <w:trPr>
          <w:tblHeader w:val="false"/>
        </w:trPr>
        <w:tc>
          <w:tcPr>
            <w:tcW w:type="pct" w:w="37%"/>
          </w:tcPr>
          <w:p>
            <w:r>
              <w:rPr>
                <w:rFonts w:ascii="Calibri" w:cs="Calibri" w:eastAsia="Calibri" w:hAnsi="Calibri"/>
                <w:b/>
                <w:bCs/>
                <w:i w:val="false"/>
                <w:iCs w:val="false"/>
                <w:strike w:val="false"/>
                <w:color w:val="333333"/>
                <w:sz w:val="22"/>
                <w:szCs w:val="22"/>
              </w:rPr>
              <w:t xml:space="preserve">Total Servers</w:t>
            </w:r>
          </w:p>
        </w:tc>
        <w:tc>
          <w:tcPr>
            <w:tcW w:type="pct" w:w="11%"/>
          </w:tcPr>
          <w:p>
            <w:r>
              <w:rPr>
                <w:rFonts w:ascii="Calibri" w:cs="Calibri" w:eastAsia="Calibri" w:hAnsi="Calibri"/>
                <w:b/>
                <w:bCs/>
                <w:i w:val="false"/>
                <w:iCs w:val="false"/>
                <w:strike w:val="false"/>
                <w:color w:val="333333"/>
                <w:sz w:val="22"/>
                <w:szCs w:val="22"/>
              </w:rPr>
              <w:t xml:space="preserve">33</w:t>
            </w:r>
          </w:p>
        </w:tc>
        <w:tc>
          <w:tcPr>
            <w:tcW w:type="pct" w:w="52%"/>
          </w:tcPr>
          <w:p>
            <w:r>
              <w:rPr>
                <w:rFonts w:ascii="Calibri" w:cs="Calibri" w:eastAsia="Calibri" w:hAnsi="Calibri"/>
                <w:b/>
                <w:bCs/>
                <w:i w:val="false"/>
                <w:iCs w:val="false"/>
                <w:strike w:val="false"/>
                <w:color w:val="333333"/>
                <w:sz w:val="22"/>
                <w:szCs w:val="22"/>
              </w:rPr>
              <w:t xml:space="preserve">9 distinct server types</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C.5.4 Cabinet Count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GPU servers (5 × 2U): 10U. Graph DB servers (8 × 2U): 16U. LFB/CQE servers (4 × 2U): 8U. Commerce, NLPL, orchestration (10 × 2U): 20U. Storage proxy and management (6 × 1U): 6U. Total compute: 60U = 1.4 standard 42U cabinets. Graph DB NVMe supplemental shelving: ~0.5 cabinet. Networking cabinet: 1 full. PDU/UPS/containment: 0.5 cabinet. </w:t>
      </w:r>
      <w:r>
        <w:rPr>
          <w:rFonts w:ascii="Calibri" w:cs="Calibri" w:eastAsia="Calibri" w:hAnsi="Calibri"/>
          <w:b/>
          <w:bCs/>
          <w:i w:val="false"/>
          <w:iCs w:val="false"/>
          <w:strike w:val="false"/>
          <w:color w:val="333333"/>
          <w:sz w:val="22"/>
          <w:szCs w:val="22"/>
        </w:rPr>
        <w:t xml:space="preserve">Total: 4–5 cabinets</w:t>
      </w:r>
      <w:r>
        <w:rPr>
          <w:rFonts w:ascii="Calibri" w:cs="Calibri" w:eastAsia="Calibri" w:hAnsi="Calibri"/>
          <w:b w:val="false"/>
          <w:bCs w:val="false"/>
          <w:i w:val="false"/>
          <w:iCs w:val="false"/>
          <w:strike w:val="false"/>
          <w:color w:val="000000"/>
          <w:sz w:val="22"/>
          <w:szCs w:val="22"/>
        </w:rPr>
        <w:t xml:space="preserve"> (standard 42U, 208V/30A or 400V/32A three-phase).</w:t>
      </w:r>
    </w:p>
    <w:p>
      <w:pPr>
        <w:pStyle w:val="Heading3"/>
        <w:spacing w:after="60" w:before="240" w:line="288" w:lineRule="auto"/>
      </w:pPr>
      <w:r>
        <w:rPr>
          <w:rFonts w:ascii="Calibri" w:cs="Calibri" w:eastAsia="Calibri" w:hAnsi="Calibri"/>
          <w:color w:val="1A3A6B"/>
          <w:sz w:val="30"/>
          <w:szCs w:val="30"/>
        </w:rPr>
        <w:t xml:space="preserve">C.5.5 RAM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tcPr>
          <w:p>
            <w:r>
              <w:rPr>
                <w:rFonts w:ascii="Calibri" w:cs="Calibri" w:eastAsia="Calibri" w:hAnsi="Calibri"/>
                <w:b/>
                <w:bCs/>
                <w:i w:val="false"/>
                <w:iCs w:val="false"/>
                <w:strike w:val="false"/>
                <w:color w:val="333333"/>
                <w:sz w:val="22"/>
                <w:szCs w:val="22"/>
              </w:rPr>
              <w:t xml:space="preserve">RAM Category</w:t>
            </w:r>
          </w:p>
        </w:tc>
        <w:tc>
          <w:tcPr>
            <w:tcW w:type="pct" w:w="29%"/>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GPU RAM (20 A100s × 80GB)</w:t>
            </w:r>
          </w:p>
        </w:tc>
        <w:tc>
          <w:tcPr>
            <w:tcW w:type="pct" w:w="29%"/>
          </w:tcPr>
          <w:p>
            <w:r>
              <w:rPr>
                <w:rFonts w:ascii="Calibri" w:cs="Calibri" w:eastAsia="Calibri" w:hAnsi="Calibri"/>
                <w:b/>
                <w:bCs/>
                <w:i w:val="false"/>
                <w:iCs w:val="false"/>
                <w:strike w:val="false"/>
                <w:color w:val="333333"/>
                <w:sz w:val="22"/>
                <w:szCs w:val="22"/>
              </w:rPr>
              <w:t xml:space="preserve">1,600 GB (1.6 TB)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graph database servers (8 × 512GB)</w:t>
            </w:r>
          </w:p>
        </w:tc>
        <w:tc>
          <w:tcPr>
            <w:tcW w:type="pct" w:w="29%"/>
          </w:tcPr>
          <w:p>
            <w:r>
              <w:rPr>
                <w:rFonts w:ascii="Calibri" w:cs="Calibri" w:eastAsia="Calibri" w:hAnsi="Calibri"/>
                <w:b/>
                <w:bCs/>
                <w:i w:val="false"/>
                <w:iCs w:val="false"/>
                <w:strike w:val="false"/>
                <w:color w:val="333333"/>
                <w:sz w:val="22"/>
                <w:szCs w:val="22"/>
              </w:rPr>
              <w:t xml:space="preserve">4,096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LFB/CQE streaming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commerce servers (4 × 64GB)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NLPL queue servers (2 × 128GB)</w:t>
            </w:r>
          </w:p>
        </w:tc>
        <w:tc>
          <w:tcPr>
            <w:tcW w:type="pct" w:w="29%"/>
          </w:tcPr>
          <w:p>
            <w:r>
              <w:rPr>
                <w:rFonts w:ascii="Calibri" w:cs="Calibri" w:eastAsia="Calibri" w:hAnsi="Calibri"/>
                <w:b/>
                <w:bCs/>
                <w:i w:val="false"/>
                <w:iCs w:val="false"/>
                <w:strike w:val="false"/>
                <w:color w:val="333333"/>
                <w:sz w:val="22"/>
                <w:szCs w:val="22"/>
              </w:rPr>
              <w:t xml:space="preserve">256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orchestration servers (4 × 256GB)</w:t>
            </w:r>
          </w:p>
        </w:tc>
        <w:tc>
          <w:tcPr>
            <w:tcW w:type="pct" w:w="29%"/>
          </w:tcPr>
          <w:p>
            <w:r>
              <w:rPr>
                <w:rFonts w:ascii="Calibri" w:cs="Calibri" w:eastAsia="Calibri" w:hAnsi="Calibri"/>
                <w:b/>
                <w:bCs/>
                <w:i w:val="false"/>
                <w:iCs w:val="false"/>
                <w:strike w:val="false"/>
                <w:color w:val="333333"/>
                <w:sz w:val="22"/>
                <w:szCs w:val="22"/>
              </w:rPr>
              <w:t xml:space="preserve">1,024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storage proxy and management (6 × 128GB)</w:t>
            </w:r>
          </w:p>
        </w:tc>
        <w:tc>
          <w:tcPr>
            <w:tcW w:type="pct" w:w="29%"/>
          </w:tcPr>
          <w:p>
            <w:r>
              <w:rPr>
                <w:rFonts w:ascii="Calibri" w:cs="Calibri" w:eastAsia="Calibri" w:hAnsi="Calibri"/>
                <w:b/>
                <w:bCs/>
                <w:i w:val="false"/>
                <w:iCs w:val="false"/>
                <w:strike w:val="false"/>
                <w:color w:val="333333"/>
                <w:sz w:val="22"/>
                <w:szCs w:val="22"/>
              </w:rPr>
              <w:t xml:space="preserve">768 GB</w:t>
            </w:r>
          </w:p>
        </w:tc>
      </w:tr>
      <w:tr>
        <w:trPr>
          <w:tblHeader w:val="false"/>
        </w:trPr>
        <w:tc>
          <w:tcPr>
            <w:tcW w:type="pct" w:w="71%"/>
          </w:tcPr>
          <w:p>
            <w:r>
              <w:rPr>
                <w:rFonts w:ascii="Calibri" w:cs="Calibri" w:eastAsia="Calibri" w:hAnsi="Calibri"/>
                <w:b w:val="false"/>
                <w:bCs w:val="false"/>
                <w:i w:val="false"/>
                <w:iCs w:val="false"/>
                <w:strike w:val="false"/>
                <w:color w:val="333333"/>
                <w:sz w:val="22"/>
                <w:szCs w:val="22"/>
              </w:rPr>
              <w:t xml:space="preserve">CPU RAM — GPU server hosts (5 × 256GB)</w:t>
            </w:r>
          </w:p>
        </w:tc>
        <w:tc>
          <w:tcPr>
            <w:tcW w:type="pct" w:w="29%"/>
          </w:tcPr>
          <w:p>
            <w:r>
              <w:rPr>
                <w:rFonts w:ascii="Calibri" w:cs="Calibri" w:eastAsia="Calibri" w:hAnsi="Calibri"/>
                <w:b/>
                <w:bCs/>
                <w:i w:val="false"/>
                <w:iCs w:val="false"/>
                <w:strike w:val="false"/>
                <w:color w:val="333333"/>
                <w:sz w:val="22"/>
                <w:szCs w:val="22"/>
              </w:rPr>
              <w:t xml:space="preserve">1,280 GB</w:t>
            </w:r>
          </w:p>
        </w:tc>
      </w:tr>
      <w:tr>
        <w:trPr>
          <w:tblHeader w:val="false"/>
        </w:trPr>
        <w:tc>
          <w:tcPr>
            <w:tcW w:type="pct" w:w="71%"/>
          </w:tcPr>
          <w:p>
            <w:r>
              <w:rPr>
                <w:rFonts w:ascii="Calibri" w:cs="Calibri" w:eastAsia="Calibri" w:hAnsi="Calibri"/>
                <w:b/>
                <w:bCs/>
                <w:i w:val="false"/>
                <w:iCs w:val="false"/>
                <w:strike w:val="false"/>
                <w:color w:val="333333"/>
                <w:sz w:val="22"/>
                <w:szCs w:val="22"/>
              </w:rPr>
              <w:t xml:space="preserve">Total RAM (all systems)</w:t>
            </w:r>
          </w:p>
        </w:tc>
        <w:tc>
          <w:tcPr>
            <w:tcW w:type="pct" w:w="29%"/>
          </w:tcPr>
          <w:p>
            <w:r>
              <w:rPr>
                <w:rFonts w:ascii="Calibri" w:cs="Calibri" w:eastAsia="Calibri" w:hAnsi="Calibri"/>
                <w:b/>
                <w:bCs/>
                <w:i w:val="false"/>
                <w:iCs w:val="false"/>
                <w:strike w:val="false"/>
                <w:color w:val="333333"/>
                <w:sz w:val="22"/>
                <w:szCs w:val="22"/>
              </w:rPr>
              <w:t xml:space="preserve">~10.3 TB</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C.5.6 Storage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libri" w:cs="Calibri" w:eastAsia="Calibri" w:hAnsi="Calibri"/>
                <w:b/>
                <w:bCs/>
                <w:i w:val="false"/>
                <w:iCs w:val="false"/>
                <w:strike w:val="false"/>
                <w:color w:val="333333"/>
                <w:sz w:val="22"/>
                <w:szCs w:val="22"/>
              </w:rPr>
              <w:t xml:space="preserve">Storage Category</w:t>
            </w:r>
          </w:p>
        </w:tc>
        <w:tc>
          <w:tcPr>
            <w:tcW w:type="pct" w:w="31%"/>
          </w:tcPr>
          <w:p>
            <w:r>
              <w:rPr>
                <w:rFonts w:ascii="Calibri" w:cs="Calibri" w:eastAsia="Calibri" w:hAnsi="Calibri"/>
                <w:b/>
                <w:bCs/>
                <w:i w:val="false"/>
                <w:iCs w:val="false"/>
                <w:strike w:val="false"/>
                <w:color w:val="333333"/>
                <w:sz w:val="22"/>
                <w:szCs w:val="22"/>
              </w:rPr>
              <w:t xml:space="preserve">Capacity</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Fact Graph hot storage — NVMe (8 × 2TB)</w:t>
            </w:r>
          </w:p>
        </w:tc>
        <w:tc>
          <w:tcPr>
            <w:tcW w:type="pct" w:w="31%"/>
          </w:tcPr>
          <w:p>
            <w:r>
              <w:rPr>
                <w:rFonts w:ascii="Calibri" w:cs="Calibri" w:eastAsia="Calibri" w:hAnsi="Calibri"/>
                <w:b/>
                <w:bCs/>
                <w:i w:val="false"/>
                <w:iCs w:val="false"/>
                <w:strike w:val="false"/>
                <w:color w:val="333333"/>
                <w:sz w:val="22"/>
                <w:szCs w:val="22"/>
              </w:rPr>
              <w:t xml:space="preserve">16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Live Fact Buffer NVMe — LFB/CQE servers (4 × 2TB)</w:t>
            </w:r>
          </w:p>
        </w:tc>
        <w:tc>
          <w:tcPr>
            <w:tcW w:type="pct" w:w="31%"/>
          </w:tcPr>
          <w:p>
            <w:r>
              <w:rPr>
                <w:rFonts w:ascii="Calibri" w:cs="Calibri" w:eastAsia="Calibri" w:hAnsi="Calibri"/>
                <w:b/>
                <w:bCs/>
                <w:i w:val="false"/>
                <w:iCs w:val="false"/>
                <w:strike w:val="false"/>
                <w:color w:val="333333"/>
                <w:sz w:val="22"/>
                <w:szCs w:val="22"/>
              </w:rPr>
              <w:t xml:space="preserve">8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SPE + MRE model weights, NVMe</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PAGS model weights (34B, 2 replicas), NVMe</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Commerce DBs (QBPC, OMS, PPL transaction logs) — SSD</w:t>
            </w:r>
          </w:p>
        </w:tc>
        <w:tc>
          <w:tcPr>
            <w:tcW w:type="pct" w:w="31%"/>
          </w:tcPr>
          <w:p>
            <w:r>
              <w:rPr>
                <w:rFonts w:ascii="Calibri" w:cs="Calibri" w:eastAsia="Calibri" w:hAnsi="Calibri"/>
                <w:b/>
                <w:bCs/>
                <w:i w:val="false"/>
                <w:iCs w:val="false"/>
                <w:strike w:val="false"/>
                <w:color w:val="333333"/>
                <w:sz w:val="22"/>
                <w:szCs w:val="22"/>
              </w:rPr>
              <w:t xml:space="preserve">2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NLPL Program Record store — SSD</w:t>
            </w:r>
          </w:p>
        </w:tc>
        <w:tc>
          <w:tcPr>
            <w:tcW w:type="pct" w:w="31%"/>
          </w:tcPr>
          <w:p>
            <w:r>
              <w:rPr>
                <w:rFonts w:ascii="Calibri" w:cs="Calibri" w:eastAsia="Calibri" w:hAnsi="Calibri"/>
                <w:b/>
                <w:bCs/>
                <w:i w:val="false"/>
                <w:iCs w:val="false"/>
                <w:strike w:val="false"/>
                <w:color w:val="333333"/>
                <w:sz w:val="22"/>
                <w:szCs w:val="22"/>
              </w:rPr>
              <w:t xml:space="preserve">1 TB</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OS and system volumes (33 servers × 200GB)</w:t>
            </w:r>
          </w:p>
        </w:tc>
        <w:tc>
          <w:tcPr>
            <w:tcW w:type="pct" w:w="31%"/>
          </w:tcPr>
          <w:p>
            <w:r>
              <w:rPr>
                <w:rFonts w:ascii="Calibri" w:cs="Calibri" w:eastAsia="Calibri" w:hAnsi="Calibri"/>
                <w:b/>
                <w:bCs/>
                <w:i w:val="false"/>
                <w:iCs w:val="false"/>
                <w:strike w:val="false"/>
                <w:color w:val="333333"/>
                <w:sz w:val="22"/>
                <w:szCs w:val="22"/>
              </w:rPr>
              <w:t xml:space="preserve">6.6 TB SSD</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Cold Fact Store, Audit Log, Provenance Ledger, QBCL compliance — object storage</w:t>
            </w:r>
          </w:p>
        </w:tc>
        <w:tc>
          <w:tcPr>
            <w:tcW w:type="pct" w:w="31%"/>
          </w:tcPr>
          <w:p>
            <w:r>
              <w:rPr>
                <w:rFonts w:ascii="Calibri" w:cs="Calibri" w:eastAsia="Calibri" w:hAnsi="Calibri"/>
                <w:b/>
                <w:bCs/>
                <w:i w:val="false"/>
                <w:iCs w:val="false"/>
                <w:strike w:val="false"/>
                <w:color w:val="333333"/>
                <w:sz w:val="22"/>
                <w:szCs w:val="22"/>
              </w:rPr>
              <w:t xml:space="preserve">150–500 TB</w:t>
            </w:r>
            <w:r>
              <w:rPr>
                <w:rFonts w:ascii="Calibri" w:cs="Calibri" w:eastAsia="Calibri" w:hAnsi="Calibri"/>
                <w:b w:val="false"/>
                <w:bCs w:val="false"/>
                <w:i w:val="false"/>
                <w:iCs w:val="false"/>
                <w:strike w:val="false"/>
                <w:color w:val="333333"/>
                <w:sz w:val="22"/>
                <w:szCs w:val="22"/>
              </w:rPr>
              <w:t xml:space="preserve"> (corpus-dependent)</w:t>
            </w:r>
          </w:p>
        </w:tc>
      </w:tr>
      <w:tr>
        <w:trPr>
          <w:tblHeader w:val="false"/>
        </w:trPr>
        <w:tc>
          <w:tcPr>
            <w:tcW w:type="pct" w:w="69%"/>
          </w:tcPr>
          <w:p>
            <w:r>
              <w:rPr>
                <w:rFonts w:ascii="Calibri" w:cs="Calibri" w:eastAsia="Calibri" w:hAnsi="Calibri"/>
                <w:b w:val="false"/>
                <w:bCs w:val="false"/>
                <w:i w:val="false"/>
                <w:iCs w:val="false"/>
                <w:strike w:val="false"/>
                <w:color w:val="333333"/>
                <w:sz w:val="22"/>
                <w:szCs w:val="22"/>
              </w:rPr>
              <w:t xml:space="preserve">Backup and disaster recovery</w:t>
            </w:r>
          </w:p>
        </w:tc>
        <w:tc>
          <w:tcPr>
            <w:tcW w:type="pct" w:w="31%"/>
          </w:tcPr>
          <w:p>
            <w:r>
              <w:rPr>
                <w:rFonts w:ascii="Calibri" w:cs="Calibri" w:eastAsia="Calibri" w:hAnsi="Calibri"/>
                <w:b/>
                <w:bCs/>
                <w:i w:val="false"/>
                <w:iCs w:val="false"/>
                <w:strike w:val="false"/>
                <w:color w:val="333333"/>
                <w:sz w:val="22"/>
                <w:szCs w:val="22"/>
              </w:rPr>
              <w:t xml:space="preserve">60–100 TB</w:t>
            </w:r>
            <w:r>
              <w:rPr>
                <w:rFonts w:ascii="Calibri" w:cs="Calibri" w:eastAsia="Calibri" w:hAnsi="Calibri"/>
                <w:b w:val="false"/>
                <w:bCs w:val="false"/>
                <w:i w:val="false"/>
                <w:iCs w:val="false"/>
                <w:strike w:val="false"/>
                <w:color w:val="333333"/>
                <w:sz w:val="22"/>
                <w:szCs w:val="22"/>
              </w:rPr>
              <w:t xml:space="preserve"> object storage</w:t>
            </w:r>
          </w:p>
        </w:tc>
      </w:tr>
      <w:tr>
        <w:trPr>
          <w:tblHeader w:val="false"/>
        </w:trPr>
        <w:tc>
          <w:tcPr>
            <w:tcW w:type="pct" w:w="69%"/>
          </w:tcPr>
          <w:p>
            <w:r>
              <w:rPr>
                <w:rFonts w:ascii="Calibri" w:cs="Calibri" w:eastAsia="Calibri" w:hAnsi="Calibri"/>
                <w:b/>
                <w:bCs/>
                <w:i w:val="false"/>
                <w:iCs w:val="false"/>
                <w:strike w:val="false"/>
                <w:color w:val="333333"/>
                <w:sz w:val="22"/>
                <w:szCs w:val="22"/>
              </w:rPr>
              <w:t xml:space="preserve">Total Storage (all tiers)</w:t>
            </w:r>
          </w:p>
        </w:tc>
        <w:tc>
          <w:tcPr>
            <w:tcW w:type="pct" w:w="31%"/>
          </w:tcPr>
          <w:p>
            <w:r>
              <w:rPr>
                <w:rFonts w:ascii="Calibri" w:cs="Calibri" w:eastAsia="Calibri" w:hAnsi="Calibri"/>
                <w:b/>
                <w:bCs/>
                <w:i w:val="false"/>
                <w:iCs w:val="false"/>
                <w:strike w:val="false"/>
                <w:color w:val="333333"/>
                <w:sz w:val="22"/>
                <w:szCs w:val="22"/>
              </w:rPr>
              <w:t xml:space="preserve">~250–640 TB (corpus-dependent)</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C.5.7 Power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tcPr>
          <w:p>
            <w:r>
              <w:rPr>
                <w:rFonts w:ascii="Calibri" w:cs="Calibri" w:eastAsia="Calibri" w:hAnsi="Calibri"/>
                <w:b/>
                <w:bCs/>
                <w:i w:val="false"/>
                <w:iCs w:val="false"/>
                <w:strike w:val="false"/>
                <w:color w:val="333333"/>
                <w:sz w:val="22"/>
                <w:szCs w:val="22"/>
              </w:rPr>
              <w:t xml:space="preserve">Component</w:t>
            </w:r>
          </w:p>
        </w:tc>
        <w:tc>
          <w:tcPr>
            <w:tcW w:type="pct" w:w="20%"/>
          </w:tcPr>
          <w:p>
            <w:r>
              <w:rPr>
                <w:rFonts w:ascii="Calibri" w:cs="Calibri" w:eastAsia="Calibri" w:hAnsi="Calibri"/>
                <w:b/>
                <w:bCs/>
                <w:i w:val="false"/>
                <w:iCs w:val="false"/>
                <w:strike w:val="false"/>
                <w:color w:val="333333"/>
                <w:sz w:val="22"/>
                <w:szCs w:val="22"/>
              </w:rPr>
              <w:t xml:space="preserve">Load</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3 SPE/MRE GPU servers @ 3.5 kW each</w:t>
            </w:r>
          </w:p>
        </w:tc>
        <w:tc>
          <w:tcPr>
            <w:tcW w:type="pct" w:w="20%"/>
          </w:tcPr>
          <w:p>
            <w:r>
              <w:rPr>
                <w:rFonts w:ascii="Calibri" w:cs="Calibri" w:eastAsia="Calibri" w:hAnsi="Calibri"/>
                <w:b/>
                <w:bCs/>
                <w:i w:val="false"/>
                <w:iCs w:val="false"/>
                <w:strike w:val="false"/>
                <w:color w:val="333333"/>
                <w:sz w:val="22"/>
                <w:szCs w:val="22"/>
              </w:rPr>
              <w:t xml:space="preserve">10.5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PAGS GPU servers @ 3.5 kW each</w:t>
            </w:r>
          </w:p>
        </w:tc>
        <w:tc>
          <w:tcPr>
            <w:tcW w:type="pct" w:w="20%"/>
          </w:tcPr>
          <w:p>
            <w:r>
              <w:rPr>
                <w:rFonts w:ascii="Calibri" w:cs="Calibri" w:eastAsia="Calibri" w:hAnsi="Calibri"/>
                <w:b/>
                <w:bCs/>
                <w:i w:val="false"/>
                <w:iCs w:val="false"/>
                <w:strike w:val="false"/>
                <w:color w:val="333333"/>
                <w:sz w:val="22"/>
                <w:szCs w:val="22"/>
              </w:rPr>
              <w:t xml:space="preserve">7.0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8 graph database servers @ 2.5 kW each</w:t>
            </w:r>
          </w:p>
        </w:tc>
        <w:tc>
          <w:tcPr>
            <w:tcW w:type="pct" w:w="20%"/>
          </w:tcPr>
          <w:p>
            <w:r>
              <w:rPr>
                <w:rFonts w:ascii="Calibri" w:cs="Calibri" w:eastAsia="Calibri" w:hAnsi="Calibri"/>
                <w:b/>
                <w:bCs/>
                <w:i w:val="false"/>
                <w:iCs w:val="false"/>
                <w:strike w:val="false"/>
                <w:color w:val="333333"/>
                <w:sz w:val="22"/>
                <w:szCs w:val="22"/>
              </w:rPr>
              <w:t xml:space="preserve">20.0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LFB/CQE streaming servers @ 1.5 kW each</w:t>
            </w:r>
          </w:p>
        </w:tc>
        <w:tc>
          <w:tcPr>
            <w:tcW w:type="pct" w:w="20%"/>
          </w:tcPr>
          <w:p>
            <w:r>
              <w:rPr>
                <w:rFonts w:ascii="Calibri" w:cs="Calibri" w:eastAsia="Calibri" w:hAnsi="Calibri"/>
                <w:b/>
                <w:bCs/>
                <w:i w:val="false"/>
                <w:iCs w:val="false"/>
                <w:strike w:val="false"/>
                <w:color w:val="333333"/>
                <w:sz w:val="22"/>
                <w:szCs w:val="22"/>
              </w:rPr>
              <w:t xml:space="preserve">6.0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commerce servers @ 0.4 kW each</w:t>
            </w:r>
          </w:p>
        </w:tc>
        <w:tc>
          <w:tcPr>
            <w:tcW w:type="pct" w:w="20%"/>
          </w:tcPr>
          <w:p>
            <w:r>
              <w:rPr>
                <w:rFonts w:ascii="Calibri" w:cs="Calibri" w:eastAsia="Calibri" w:hAnsi="Calibri"/>
                <w:b/>
                <w:bCs/>
                <w:i w:val="false"/>
                <w:iCs w:val="false"/>
                <w:strike w:val="false"/>
                <w:color w:val="333333"/>
                <w:sz w:val="22"/>
                <w:szCs w:val="22"/>
              </w:rPr>
              <w:t xml:space="preserve">1.6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NLPL queue servers @ 0.5 kW each</w:t>
            </w:r>
          </w:p>
        </w:tc>
        <w:tc>
          <w:tcPr>
            <w:tcW w:type="pct" w:w="20%"/>
          </w:tcPr>
          <w:p>
            <w:r>
              <w:rPr>
                <w:rFonts w:ascii="Calibri" w:cs="Calibri" w:eastAsia="Calibri" w:hAnsi="Calibri"/>
                <w:b/>
                <w:bCs/>
                <w:i w:val="false"/>
                <w:iCs w:val="false"/>
                <w:strike w:val="false"/>
                <w:color w:val="333333"/>
                <w:sz w:val="22"/>
                <w:szCs w:val="22"/>
              </w:rPr>
              <w:t xml:space="preserve">1.0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orchestration servers @ 0.8 kW each</w:t>
            </w:r>
          </w:p>
        </w:tc>
        <w:tc>
          <w:tcPr>
            <w:tcW w:type="pct" w:w="20%"/>
          </w:tcPr>
          <w:p>
            <w:r>
              <w:rPr>
                <w:rFonts w:ascii="Calibri" w:cs="Calibri" w:eastAsia="Calibri" w:hAnsi="Calibri"/>
                <w:b/>
                <w:bCs/>
                <w:i w:val="false"/>
                <w:iCs w:val="false"/>
                <w:strike w:val="false"/>
                <w:color w:val="333333"/>
                <w:sz w:val="22"/>
                <w:szCs w:val="22"/>
              </w:rPr>
              <w:t xml:space="preserve">3.2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4 storage proxy servers @ 1.2 kW each</w:t>
            </w:r>
          </w:p>
        </w:tc>
        <w:tc>
          <w:tcPr>
            <w:tcW w:type="pct" w:w="20%"/>
          </w:tcPr>
          <w:p>
            <w:r>
              <w:rPr>
                <w:rFonts w:ascii="Calibri" w:cs="Calibri" w:eastAsia="Calibri" w:hAnsi="Calibri"/>
                <w:b/>
                <w:bCs/>
                <w:i w:val="false"/>
                <w:iCs w:val="false"/>
                <w:strike w:val="false"/>
                <w:color w:val="333333"/>
                <w:sz w:val="22"/>
                <w:szCs w:val="22"/>
              </w:rPr>
              <w:t xml:space="preserve">4.8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2 management servers @ 0.4 kW each</w:t>
            </w:r>
          </w:p>
        </w:tc>
        <w:tc>
          <w:tcPr>
            <w:tcW w:type="pct" w:w="20%"/>
          </w:tcPr>
          <w:p>
            <w:r>
              <w:rPr>
                <w:rFonts w:ascii="Calibri" w:cs="Calibri" w:eastAsia="Calibri" w:hAnsi="Calibri"/>
                <w:b/>
                <w:bCs/>
                <w:i w:val="false"/>
                <w:iCs w:val="false"/>
                <w:strike w:val="false"/>
                <w:color w:val="333333"/>
                <w:sz w:val="22"/>
                <w:szCs w:val="22"/>
              </w:rPr>
              <w:t xml:space="preserve">0.8 kW</w:t>
            </w:r>
          </w:p>
        </w:tc>
      </w:tr>
      <w:tr>
        <w:trPr>
          <w:tblHeader w:val="false"/>
        </w:trPr>
        <w:tc>
          <w:tcPr>
            <w:tcW w:type="pct" w:w="80%"/>
          </w:tcPr>
          <w:p>
            <w:r>
              <w:rPr>
                <w:rFonts w:ascii="Calibri" w:cs="Calibri" w:eastAsia="Calibri" w:hAnsi="Calibri"/>
                <w:b w:val="false"/>
                <w:bCs w:val="false"/>
                <w:i w:val="false"/>
                <w:iCs w:val="false"/>
                <w:strike w:val="false"/>
                <w:color w:val="333333"/>
                <w:sz w:val="22"/>
                <w:szCs w:val="22"/>
              </w:rPr>
              <w:t xml:space="preserve">Networking (25GbE switches, routers, load balancers)</w:t>
            </w:r>
          </w:p>
        </w:tc>
        <w:tc>
          <w:tcPr>
            <w:tcW w:type="pct" w:w="20%"/>
          </w:tcPr>
          <w:p>
            <w:r>
              <w:rPr>
                <w:rFonts w:ascii="Calibri" w:cs="Calibri" w:eastAsia="Calibri" w:hAnsi="Calibri"/>
                <w:b/>
                <w:bCs/>
                <w:i w:val="false"/>
                <w:iCs w:val="false"/>
                <w:strike w:val="false"/>
                <w:color w:val="333333"/>
                <w:sz w:val="22"/>
                <w:szCs w:val="22"/>
              </w:rPr>
              <w:t xml:space="preserve">5.0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Total IT Load</w:t>
            </w:r>
          </w:p>
        </w:tc>
        <w:tc>
          <w:tcPr>
            <w:tcW w:type="pct" w:w="20%"/>
          </w:tcPr>
          <w:p>
            <w:r>
              <w:rPr>
                <w:rFonts w:ascii="Calibri" w:cs="Calibri" w:eastAsia="Calibri" w:hAnsi="Calibri"/>
                <w:b/>
                <w:bCs/>
                <w:i w:val="false"/>
                <w:iCs w:val="false"/>
                <w:strike w:val="false"/>
                <w:color w:val="333333"/>
                <w:sz w:val="22"/>
                <w:szCs w:val="22"/>
              </w:rPr>
              <w:t xml:space="preserve">59.9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Facility Total (PUE 1.40)</w:t>
            </w:r>
          </w:p>
        </w:tc>
        <w:tc>
          <w:tcPr>
            <w:tcW w:type="pct" w:w="20%"/>
          </w:tcPr>
          <w:p>
            <w:r>
              <w:rPr>
                <w:rFonts w:ascii="Calibri" w:cs="Calibri" w:eastAsia="Calibri" w:hAnsi="Calibri"/>
                <w:b/>
                <w:bCs/>
                <w:i w:val="false"/>
                <w:iCs w:val="false"/>
                <w:strike w:val="false"/>
                <w:color w:val="333333"/>
                <w:sz w:val="22"/>
                <w:szCs w:val="22"/>
              </w:rPr>
              <w:t xml:space="preserve">83.9 kW</w:t>
            </w:r>
          </w:p>
        </w:tc>
      </w:tr>
      <w:tr>
        <w:trPr>
          <w:tblHeader w:val="false"/>
        </w:trPr>
        <w:tc>
          <w:tcPr>
            <w:tcW w:type="pct" w:w="80%"/>
          </w:tcPr>
          <w:p>
            <w:r>
              <w:rPr>
                <w:rFonts w:ascii="Calibri" w:cs="Calibri" w:eastAsia="Calibri" w:hAnsi="Calibri"/>
                <w:b/>
                <w:bCs/>
                <w:i w:val="false"/>
                <w:iCs w:val="false"/>
                <w:strike w:val="false"/>
                <w:color w:val="333333"/>
                <w:sz w:val="22"/>
                <w:szCs w:val="22"/>
              </w:rPr>
              <w:t xml:space="preserve">Daily Energy Consumption</w:t>
            </w:r>
          </w:p>
        </w:tc>
        <w:tc>
          <w:tcPr>
            <w:tcW w:type="pct" w:w="20%"/>
          </w:tcPr>
          <w:p>
            <w:r>
              <w:rPr>
                <w:rFonts w:ascii="Calibri" w:cs="Calibri" w:eastAsia="Calibri" w:hAnsi="Calibri"/>
                <w:b/>
                <w:bCs/>
                <w:i w:val="false"/>
                <w:iCs w:val="false"/>
                <w:strike w:val="false"/>
                <w:color w:val="333333"/>
                <w:sz w:val="22"/>
                <w:szCs w:val="22"/>
              </w:rPr>
              <w:t xml:space="preserve">2,013 kWh</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C.5.8 Water Consumption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tcPr>
          <w:p>
            <w:r>
              <w:rPr>
                <w:rFonts w:ascii="Calibri" w:cs="Calibri" w:eastAsia="Calibri" w:hAnsi="Calibri"/>
                <w:b/>
                <w:bCs/>
                <w:i w:val="false"/>
                <w:iCs w:val="false"/>
                <w:strike w:val="false"/>
                <w:color w:val="333333"/>
                <w:sz w:val="22"/>
                <w:szCs w:val="22"/>
              </w:rPr>
              <w:t xml:space="preserve">Scenario</w:t>
            </w:r>
          </w:p>
        </w:tc>
        <w:tc>
          <w:tcPr>
            <w:tcW w:type="pct" w:w="22%"/>
          </w:tcPr>
          <w:p>
            <w:r>
              <w:rPr>
                <w:rFonts w:ascii="Calibri" w:cs="Calibri" w:eastAsia="Calibri" w:hAnsi="Calibri"/>
                <w:b/>
                <w:bCs/>
                <w:i w:val="false"/>
                <w:iCs w:val="false"/>
                <w:strike w:val="false"/>
                <w:color w:val="333333"/>
                <w:sz w:val="22"/>
                <w:szCs w:val="22"/>
              </w:rPr>
              <w:t xml:space="preserve">Liters / Day</w:t>
            </w:r>
          </w:p>
        </w:tc>
        <w:tc>
          <w:tcPr>
            <w:tcW w:type="pct" w:w="26%"/>
          </w:tcPr>
          <w:p>
            <w:r>
              <w:rPr>
                <w:rFonts w:ascii="Calibri" w:cs="Calibri" w:eastAsia="Calibri" w:hAnsi="Calibri"/>
                <w:b/>
                <w:bCs/>
                <w:i w:val="false"/>
                <w:iCs w:val="false"/>
                <w:strike w:val="false"/>
                <w:color w:val="333333"/>
                <w:sz w:val="22"/>
                <w:szCs w:val="22"/>
              </w:rPr>
              <w:t xml:space="preserve">US Gallons / Day</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0.20 L/kWh (modern liquid-cooled)</w:t>
            </w:r>
          </w:p>
        </w:tc>
        <w:tc>
          <w:tcPr>
            <w:tcW w:type="pct" w:w="22%"/>
          </w:tcPr>
          <w:p>
            <w:r>
              <w:rPr>
                <w:rFonts w:ascii="Calibri" w:cs="Calibri" w:eastAsia="Calibri" w:hAnsi="Calibri"/>
                <w:b/>
                <w:bCs/>
                <w:i w:val="false"/>
                <w:iCs w:val="false"/>
                <w:strike w:val="false"/>
                <w:color w:val="333333"/>
                <w:sz w:val="22"/>
                <w:szCs w:val="22"/>
              </w:rPr>
              <w:t xml:space="preserve">403 L</w:t>
            </w:r>
          </w:p>
        </w:tc>
        <w:tc>
          <w:tcPr>
            <w:tcW w:type="pct" w:w="26%"/>
          </w:tcPr>
          <w:p>
            <w:r>
              <w:rPr>
                <w:rFonts w:ascii="Calibri" w:cs="Calibri" w:eastAsia="Calibri" w:hAnsi="Calibri"/>
                <w:b/>
                <w:bCs/>
                <w:i w:val="false"/>
                <w:iCs w:val="false"/>
                <w:strike w:val="false"/>
                <w:color w:val="333333"/>
                <w:sz w:val="22"/>
                <w:szCs w:val="22"/>
              </w:rPr>
              <w:t xml:space="preserve">106 gal</w:t>
            </w:r>
          </w:p>
        </w:tc>
      </w:tr>
      <w:tr>
        <w:trPr>
          <w:tblHeader w:val="false"/>
        </w:trPr>
        <w:tc>
          <w:tcPr>
            <w:tcW w:type="pct" w:w="52%"/>
          </w:tcPr>
          <w:p>
            <w:r>
              <w:rPr>
                <w:rFonts w:ascii="Calibri" w:cs="Calibri" w:eastAsia="Calibri" w:hAnsi="Calibri"/>
                <w:b w:val="false"/>
                <w:bCs w:val="false"/>
                <w:i w:val="false"/>
                <w:iCs w:val="false"/>
                <w:strike w:val="false"/>
                <w:color w:val="333333"/>
                <w:sz w:val="22"/>
                <w:szCs w:val="22"/>
              </w:rPr>
              <w:t xml:space="preserve">WUE 0.50 L/kWh (typical US air-cooled)</w:t>
            </w:r>
          </w:p>
        </w:tc>
        <w:tc>
          <w:tcPr>
            <w:tcW w:type="pct" w:w="22%"/>
          </w:tcPr>
          <w:p>
            <w:r>
              <w:rPr>
                <w:rFonts w:ascii="Calibri" w:cs="Calibri" w:eastAsia="Calibri" w:hAnsi="Calibri"/>
                <w:b/>
                <w:bCs/>
                <w:i w:val="false"/>
                <w:iCs w:val="false"/>
                <w:strike w:val="false"/>
                <w:color w:val="333333"/>
                <w:sz w:val="22"/>
                <w:szCs w:val="22"/>
              </w:rPr>
              <w:t xml:space="preserve">1,007 L</w:t>
            </w:r>
          </w:p>
        </w:tc>
        <w:tc>
          <w:tcPr>
            <w:tcW w:type="pct" w:w="26%"/>
          </w:tcPr>
          <w:p>
            <w:r>
              <w:rPr>
                <w:rFonts w:ascii="Calibri" w:cs="Calibri" w:eastAsia="Calibri" w:hAnsi="Calibri"/>
                <w:b/>
                <w:bCs/>
                <w:i w:val="false"/>
                <w:iCs w:val="false"/>
                <w:strike w:val="false"/>
                <w:color w:val="333333"/>
                <w:sz w:val="22"/>
                <w:szCs w:val="22"/>
              </w:rPr>
              <w:t xml:space="preserve">266 gal</w:t>
            </w:r>
          </w:p>
        </w:tc>
      </w:tr>
    </w:tbl>
    <w:p>
      <w:pPr>
        <w:spacing w:after="200" w:before="0"/>
      </w:pPr>
    </w:p>
    <w:p>
      <w:pPr>
        <w:pStyle w:val="Heading3"/>
        <w:spacing w:after="60" w:before="240" w:line="288" w:lineRule="auto"/>
      </w:pPr>
      <w:r>
        <w:rPr>
          <w:rFonts w:ascii="Calibri" w:cs="Calibri" w:eastAsia="Calibri" w:hAnsi="Calibri"/>
          <w:color w:val="1A3A6B"/>
          <w:sz w:val="30"/>
          <w:szCs w:val="30"/>
        </w:rPr>
        <w:t xml:space="preserve">C.5.9 Internet Termination and Bandwidth</w:t>
      </w:r>
    </w:p>
    <w:p>
      <w:pPr>
        <w:spacing w:after="120" w:line="360" w:lineRule="auto"/>
      </w:pPr>
      <w:r>
        <w:rPr>
          <w:rFonts w:ascii="Calibri" w:cs="Calibri" w:eastAsia="Calibri" w:hAnsi="Calibri"/>
          <w:b/>
          <w:bCs/>
          <w:i w:val="false"/>
          <w:iCs w:val="false"/>
          <w:strike w:val="false"/>
          <w:color w:val="333333"/>
          <w:sz w:val="22"/>
          <w:szCs w:val="22"/>
        </w:rPr>
        <w:t xml:space="preserve">Physical termination:</w:t>
      </w:r>
      <w:r>
        <w:rPr>
          <w:rFonts w:ascii="Calibri" w:cs="Calibri" w:eastAsia="Calibri" w:hAnsi="Calibri"/>
          <w:b w:val="false"/>
          <w:bCs w:val="false"/>
          <w:i w:val="false"/>
          <w:iCs w:val="false"/>
          <w:strike w:val="false"/>
          <w:color w:val="000000"/>
          <w:sz w:val="22"/>
          <w:szCs w:val="22"/>
        </w:rPr>
        <w:t xml:space="preserve"> 3× 10 Gbps fiber uplinks — 2 for query ingress/egress (diverse carriers), 1 dedicated for LFB streaming inbound sources (EVENT_HOOK, API_PULL, SENSOR). </w:t>
      </w:r>
      <w:r>
        <w:rPr>
          <w:rFonts w:ascii="Calibri" w:cs="Calibri" w:eastAsia="Calibri" w:hAnsi="Calibri"/>
          <w:b/>
          <w:bCs/>
          <w:i w:val="false"/>
          <w:iCs w:val="false"/>
          <w:strike w:val="false"/>
          <w:color w:val="333333"/>
          <w:sz w:val="22"/>
          <w:szCs w:val="22"/>
        </w:rPr>
        <w:t xml:space="preserve">Border routing:</w:t>
      </w:r>
      <w:r>
        <w:rPr>
          <w:rFonts w:ascii="Calibri" w:cs="Calibri" w:eastAsia="Calibri" w:hAnsi="Calibri"/>
          <w:b w:val="false"/>
          <w:bCs w:val="false"/>
          <w:i w:val="false"/>
          <w:iCs w:val="false"/>
          <w:strike w:val="false"/>
          <w:color w:val="000000"/>
          <w:sz w:val="22"/>
          <w:szCs w:val="22"/>
        </w:rPr>
        <w:t xml:space="preserve"> 2× enterprise border routers, BGP with minimum 2 upstream ISPs. </w:t>
      </w:r>
      <w:r>
        <w:rPr>
          <w:rFonts w:ascii="Calibri" w:cs="Calibri" w:eastAsia="Calibri" w:hAnsi="Calibri"/>
          <w:b/>
          <w:bCs/>
          <w:i w:val="false"/>
          <w:iCs w:val="false"/>
          <w:strike w:val="false"/>
          <w:color w:val="333333"/>
          <w:sz w:val="22"/>
          <w:szCs w:val="22"/>
        </w:rPr>
        <w:t xml:space="preserve">DDoS mitigation:</w:t>
      </w:r>
      <w:r>
        <w:rPr>
          <w:rFonts w:ascii="Calibri" w:cs="Calibri" w:eastAsia="Calibri" w:hAnsi="Calibri"/>
          <w:b w:val="false"/>
          <w:bCs w:val="false"/>
          <w:i w:val="false"/>
          <w:iCs w:val="false"/>
          <w:strike w:val="false"/>
          <w:color w:val="000000"/>
          <w:sz w:val="22"/>
          <w:szCs w:val="22"/>
        </w:rPr>
        <w:t xml:space="preserve"> Inline hardware scrubbing with cloud scrubbing overflow (same class as LLM; streaming inbound adds a DDoS surface requiring source validation at the UIA layer). </w:t>
      </w:r>
      <w:r>
        <w:rPr>
          <w:rFonts w:ascii="Calibri" w:cs="Calibri" w:eastAsia="Calibri" w:hAnsi="Calibri"/>
          <w:b/>
          <w:bCs/>
          <w:i w:val="false"/>
          <w:iCs w:val="false"/>
          <w:strike w:val="false"/>
          <w:color w:val="333333"/>
          <w:sz w:val="22"/>
          <w:szCs w:val="22"/>
        </w:rPr>
        <w:t xml:space="preserve">Firewall:</w:t>
      </w:r>
      <w:r>
        <w:rPr>
          <w:rFonts w:ascii="Calibri" w:cs="Calibri" w:eastAsia="Calibri" w:hAnsi="Calibri"/>
          <w:b w:val="false"/>
          <w:bCs w:val="false"/>
          <w:i w:val="false"/>
          <w:iCs w:val="false"/>
          <w:strike w:val="false"/>
          <w:color w:val="000000"/>
          <w:sz w:val="22"/>
          <w:szCs w:val="22"/>
        </w:rPr>
        <w:t xml:space="preserve"> 2× NGFW in HA pair. </w:t>
      </w:r>
      <w:r>
        <w:rPr>
          <w:rFonts w:ascii="Calibri" w:cs="Calibri" w:eastAsia="Calibri" w:hAnsi="Calibri"/>
          <w:b/>
          <w:bCs/>
          <w:i w:val="false"/>
          <w:iCs w:val="false"/>
          <w:strike w:val="false"/>
          <w:color w:val="333333"/>
          <w:sz w:val="22"/>
          <w:szCs w:val="22"/>
        </w:rPr>
        <w:t xml:space="preserve">Load balancer:</w:t>
      </w:r>
      <w:r>
        <w:rPr>
          <w:rFonts w:ascii="Calibri" w:cs="Calibri" w:eastAsia="Calibri" w:hAnsi="Calibri"/>
          <w:b w:val="false"/>
          <w:bCs w:val="false"/>
          <w:i w:val="false"/>
          <w:iCs w:val="false"/>
          <w:strike w:val="false"/>
          <w:color w:val="000000"/>
          <w:sz w:val="22"/>
          <w:szCs w:val="22"/>
        </w:rPr>
        <w:t xml:space="preserve"> 2× </w:t>
      </w:r>
      <w:r>
        <w:rPr>
          <w:rFonts w:ascii="Calibri" w:cs="Calibri" w:eastAsia="Calibri" w:hAnsi="Calibri"/>
          <w:b w:val="false"/>
          <w:bCs w:val="false"/>
          <w:i/>
          <w:iCs/>
          <w:strike w:val="false"/>
          <w:color w:val="333333"/>
          <w:sz w:val="22"/>
          <w:szCs w:val="22"/>
        </w:rPr>
        <w:t xml:space="preserve">stateful</w:t>
      </w:r>
      <w:r>
        <w:rPr>
          <w:rFonts w:ascii="Calibri" w:cs="Calibri" w:eastAsia="Calibri" w:hAnsi="Calibri"/>
          <w:b w:val="false"/>
          <w:bCs w:val="false"/>
          <w:i w:val="false"/>
          <w:iCs w:val="false"/>
          <w:strike w:val="false"/>
          <w:color w:val="000000"/>
          <w:sz w:val="22"/>
          <w:szCs w:val="22"/>
        </w:rPr>
        <w:t xml:space="preserve"> ADC in HA pair — stateful load balancing is required because WATCH programs maintain persistent WebSocket connections to subscribers for real-time alert delivery. These connections must be pinned to the same LB instance (F5 BIG-IP with OneConnect persistence or equivalent).</w:t>
      </w:r>
    </w:p>
    <w:p>
      <w:pPr>
        <w:spacing w:after="120" w:line="360" w:lineRule="auto"/>
      </w:pPr>
      <w:r>
        <w:rPr>
          <w:rFonts w:ascii="Calibri" w:cs="Calibri" w:eastAsia="Calibri" w:hAnsi="Calibri"/>
          <w:b w:val="false"/>
          <w:bCs w:val="false"/>
          <w:i w:val="false"/>
          <w:iCs w:val="false"/>
          <w:strike w:val="false"/>
          <w:color w:val="000000"/>
          <w:sz w:val="22"/>
          <w:szCs w:val="22"/>
        </w:rPr>
        <w:t xml:space="preserve">Sustained external bandwidth at 11.6 QPS: </w:t>
      </w:r>
      <w:r>
        <w:rPr>
          <w:rFonts w:ascii="Calibri" w:cs="Calibri" w:eastAsia="Calibri" w:hAnsi="Calibri"/>
          <w:b/>
          <w:bCs/>
          <w:i w:val="false"/>
          <w:iCs w:val="false"/>
          <w:strike w:val="false"/>
          <w:color w:val="333333"/>
          <w:sz w:val="22"/>
          <w:szCs w:val="22"/>
        </w:rPr>
        <w:t xml:space="preserve">~5 Mbps total</w:t>
      </w:r>
      <w:r>
        <w:rPr>
          <w:rFonts w:ascii="Calibri" w:cs="Calibri" w:eastAsia="Calibri" w:hAnsi="Calibri"/>
          <w:b w:val="false"/>
          <w:bCs w:val="false"/>
          <w:i w:val="false"/>
          <w:iCs w:val="false"/>
          <w:strike w:val="false"/>
          <w:color w:val="000000"/>
          <w:sz w:val="22"/>
          <w:szCs w:val="22"/>
        </w:rPr>
        <w:t xml:space="preserve"> (query text, streaming feeds, WebSocket keep-alives, HTTPS overhead). Peak at 35 QPS plus active streaming: </w:t>
      </w:r>
      <w:r>
        <w:rPr>
          <w:rFonts w:ascii="Calibri" w:cs="Calibri" w:eastAsia="Calibri" w:hAnsi="Calibri"/>
          <w:b/>
          <w:bCs/>
          <w:i w:val="false"/>
          <w:iCs w:val="false"/>
          <w:strike w:val="false"/>
          <w:color w:val="333333"/>
          <w:sz w:val="22"/>
          <w:szCs w:val="22"/>
        </w:rPr>
        <w:t xml:space="preserve">~25 Mbps total</w:t>
      </w:r>
      <w:r>
        <w:rPr>
          <w:rFonts w:ascii="Calibri" w:cs="Calibri" w:eastAsia="Calibri" w:hAnsi="Calibri"/>
          <w:b w:val="false"/>
          <w:bCs w:val="false"/>
          <w:i w:val="false"/>
          <w:iCs w:val="false"/>
          <w:strike w:val="false"/>
          <w:color w:val="000000"/>
          <w:sz w:val="22"/>
          <w:szCs w:val="22"/>
        </w:rPr>
        <w:t xml:space="preserve">. Recommended provisioned uplink: </w:t>
      </w:r>
      <w:r>
        <w:rPr>
          <w:rFonts w:ascii="Calibri" w:cs="Calibri" w:eastAsia="Calibri" w:hAnsi="Calibri"/>
          <w:b/>
          <w:bCs/>
          <w:i w:val="false"/>
          <w:iCs w:val="false"/>
          <w:strike w:val="false"/>
          <w:color w:val="333333"/>
          <w:sz w:val="22"/>
          <w:szCs w:val="22"/>
        </w:rPr>
        <w:t xml:space="preserve">3× 10 Gbps</w:t>
      </w:r>
      <w:r>
        <w:rPr>
          <w:rFonts w:ascii="Calibri" w:cs="Calibri" w:eastAsia="Calibri" w:hAnsi="Calibri"/>
          <w:b w:val="false"/>
          <w:bCs w:val="false"/>
          <w:i w:val="false"/>
          <w:iCs w:val="false"/>
          <w:strike w:val="false"/>
          <w:color w:val="000000"/>
          <w:sz w:val="22"/>
          <w:szCs w:val="22"/>
        </w:rPr>
        <w:t xml:space="preserve"> (30 Gbps total available). Internal cluster fabric: </w:t>
      </w:r>
      <w:r>
        <w:rPr>
          <w:rFonts w:ascii="Calibri" w:cs="Calibri" w:eastAsia="Calibri" w:hAnsi="Calibri"/>
          <w:b/>
          <w:bCs/>
          <w:i w:val="false"/>
          <w:iCs w:val="false"/>
          <w:strike w:val="false"/>
          <w:color w:val="333333"/>
          <w:sz w:val="22"/>
          <w:szCs w:val="22"/>
        </w:rPr>
        <w:t xml:space="preserve">25 Gbps Ethernet</w:t>
      </w:r>
      <w:r>
        <w:rPr>
          <w:rFonts w:ascii="Calibri" w:cs="Calibri" w:eastAsia="Calibri" w:hAnsi="Calibri"/>
          <w:b w:val="false"/>
          <w:bCs w:val="false"/>
          <w:i w:val="false"/>
          <w:iCs w:val="false"/>
          <w:strike w:val="false"/>
          <w:color w:val="000000"/>
          <w:sz w:val="22"/>
          <w:szCs w:val="22"/>
        </w:rPr>
        <w:t xml:space="preserve"> — graph traversal is CPU-plus-NVMe bound, not GPU-to-GPU. Standard Ethernet is sufficient for all inter-server communication. This is a significant CapEx reduction versus LLM's 400 Gbps InfiniBand requirement.</w:t>
      </w:r>
    </w:p>
    <w:p>
      <w:pPr>
        <w:pStyle w:val="Heading2"/>
        <w:spacing w:after="90" w:before="240" w:line="288" w:lineRule="auto"/>
      </w:pPr>
      <w:r>
        <w:rPr>
          <w:rFonts w:ascii="Calibri" w:cs="Calibri" w:eastAsia="Calibri" w:hAnsi="Calibri"/>
          <w:color w:val="0D2A5E"/>
          <w:sz w:val="36"/>
          <w:szCs w:val="36"/>
        </w:rPr>
        <w:t xml:space="preserve">C.6 Side-by-Side Comparison — 1,000,000 Queries per Day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w:t>
            </w:r>
          </w:p>
        </w:tc>
        <w:tc>
          <w:tcPr>
            <w:tcW w:type="pct" w:w="19%"/>
          </w:tcPr>
          <w:p>
            <w:r>
              <w:rPr>
                <w:rFonts w:ascii="Calibri" w:cs="Calibri" w:eastAsia="Calibri" w:hAnsi="Calibri"/>
                <w:b/>
                <w:bCs/>
                <w:i w:val="false"/>
                <w:iCs w:val="false"/>
                <w:strike w:val="false"/>
                <w:color w:val="FFFFFF"/>
                <w:sz w:val="22"/>
                <w:szCs w:val="22"/>
              </w:rPr>
              <w:t xml:space="preserve">LLM Operation</w:t>
            </w:r>
          </w:p>
        </w:tc>
        <w:tc>
          <w:tcPr>
            <w:tcW w:type="pct" w:w="19%"/>
          </w:tcPr>
          <w:p>
            <w:r>
              <w:rPr>
                <w:rFonts w:ascii="Calibri" w:cs="Calibri" w:eastAsia="Calibri" w:hAnsi="Calibri"/>
                <w:b/>
                <w:bCs/>
                <w:i w:val="false"/>
                <w:iCs w:val="false"/>
                <w:strike w:val="false"/>
                <w:color w:val="FFFFFF"/>
                <w:sz w:val="22"/>
                <w:szCs w:val="22"/>
              </w:rPr>
              <w:t xml:space="preserve">QB-Native Hybrid</w:t>
            </w:r>
          </w:p>
        </w:tc>
        <w:tc>
          <w:tcPr>
            <w:tcW w:type="pct" w:w="39%"/>
          </w:tcPr>
          <w:p>
            <w:r>
              <w:rPr>
                <w:rFonts w:ascii="Calibri" w:cs="Calibri" w:eastAsia="Calibri" w:hAnsi="Calibri"/>
                <w:b/>
                <w:bCs/>
                <w:i w:val="false"/>
                <w:iCs w:val="false"/>
                <w:strike w:val="false"/>
                <w:color w:val="FFFFFF"/>
                <w:sz w:val="22"/>
                <w:szCs w:val="22"/>
              </w:rPr>
              <w:t xml:space="preserve">Delta / Notes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Servers</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19%"/>
          </w:tcPr>
          <w:p>
            <w:r>
              <w:rPr>
                <w:rFonts w:ascii="Calibri" w:cs="Calibri" w:eastAsia="Calibri" w:hAnsi="Calibri"/>
                <w:b/>
                <w:bCs/>
                <w:i w:val="false"/>
                <w:iCs w:val="false"/>
                <w:strike w:val="false"/>
                <w:color w:val="333333"/>
                <w:sz w:val="22"/>
                <w:szCs w:val="22"/>
              </w:rPr>
              <w:t xml:space="preserve">33</w:t>
            </w:r>
          </w:p>
        </w:tc>
        <w:tc>
          <w:tcPr>
            <w:tcW w:type="pct" w:w="39%"/>
          </w:tcPr>
          <w:p>
            <w:r>
              <w:rPr>
                <w:rFonts w:ascii="Calibri" w:cs="Calibri" w:eastAsia="Calibri" w:hAnsi="Calibri"/>
                <w:b w:val="false"/>
                <w:bCs w:val="false"/>
                <w:i w:val="false"/>
                <w:iCs w:val="false"/>
                <w:strike w:val="false"/>
                <w:color w:val="333333"/>
                <w:sz w:val="22"/>
                <w:szCs w:val="22"/>
              </w:rPr>
              <w:t xml:space="preserve">+65% more servers in QB; lower GPU density per server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Distinct Server Types</w:t>
            </w:r>
          </w:p>
        </w:tc>
        <w:tc>
          <w:tcPr>
            <w:tcW w:type="pct" w:w="19%"/>
          </w:tcPr>
          <w:p>
            <w:r>
              <w:rPr>
                <w:rFonts w:ascii="Calibri" w:cs="Calibri" w:eastAsia="Calibri" w:hAnsi="Calibri"/>
                <w:b/>
                <w:bCs/>
                <w:i w:val="false"/>
                <w:iCs w:val="false"/>
                <w:strike w:val="false"/>
                <w:color w:val="333333"/>
                <w:sz w:val="22"/>
                <w:szCs w:val="22"/>
              </w:rPr>
              <w:t xml:space="preserve">5</w:t>
            </w:r>
          </w:p>
        </w:tc>
        <w:tc>
          <w:tcPr>
            <w:tcW w:type="pct" w:w="19%"/>
          </w:tcPr>
          <w:p>
            <w:r>
              <w:rPr>
                <w:rFonts w:ascii="Calibri" w:cs="Calibri" w:eastAsia="Calibri" w:hAnsi="Calibri"/>
                <w:b/>
                <w:bCs/>
                <w:i w:val="false"/>
                <w:iCs w:val="false"/>
                <w:strike w:val="false"/>
                <w:color w:val="333333"/>
                <w:sz w:val="22"/>
                <w:szCs w:val="22"/>
              </w:rPr>
              <w:t xml:space="preserve">9</w:t>
            </w:r>
          </w:p>
        </w:tc>
        <w:tc>
          <w:tcPr>
            <w:tcW w:type="pct" w:w="39%"/>
          </w:tcPr>
          <w:p>
            <w:r>
              <w:rPr>
                <w:rFonts w:ascii="Calibri" w:cs="Calibri" w:eastAsia="Calibri" w:hAnsi="Calibri"/>
                <w:b w:val="false"/>
                <w:bCs w:val="false"/>
                <w:i w:val="false"/>
                <w:iCs w:val="false"/>
                <w:strike w:val="false"/>
                <w:color w:val="333333"/>
                <w:sz w:val="22"/>
                <w:szCs w:val="22"/>
              </w:rPr>
              <w:t xml:space="preserve">QB requires 4 additional specialized server types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Cabinets</w:t>
            </w:r>
          </w:p>
        </w:tc>
        <w:tc>
          <w:tcPr>
            <w:tcW w:type="pct" w:w="19%"/>
          </w:tcPr>
          <w:p>
            <w:r>
              <w:rPr>
                <w:rFonts w:ascii="Calibri" w:cs="Calibri" w:eastAsia="Calibri" w:hAnsi="Calibri"/>
                <w:b/>
                <w:bCs/>
                <w:i w:val="false"/>
                <w:iCs w:val="false"/>
                <w:strike w:val="false"/>
                <w:color w:val="333333"/>
                <w:sz w:val="22"/>
                <w:szCs w:val="22"/>
              </w:rPr>
              <w:t xml:space="preserve">4</w:t>
            </w:r>
          </w:p>
        </w:tc>
        <w:tc>
          <w:tcPr>
            <w:tcW w:type="pct" w:w="19%"/>
          </w:tcPr>
          <w:p>
            <w:r>
              <w:rPr>
                <w:rFonts w:ascii="Calibri" w:cs="Calibri" w:eastAsia="Calibri" w:hAnsi="Calibri"/>
                <w:b/>
                <w:bCs/>
                <w:i w:val="false"/>
                <w:iCs w:val="false"/>
                <w:strike w:val="false"/>
                <w:color w:val="333333"/>
                <w:sz w:val="22"/>
                <w:szCs w:val="22"/>
              </w:rPr>
              <w:t xml:space="preserve">4–5</w:t>
            </w:r>
          </w:p>
        </w:tc>
        <w:tc>
          <w:tcPr>
            <w:tcW w:type="pct" w:w="39%"/>
          </w:tcPr>
          <w:p>
            <w:r>
              <w:rPr>
                <w:rFonts w:ascii="Calibri" w:cs="Calibri" w:eastAsia="Calibri" w:hAnsi="Calibri"/>
                <w:b w:val="false"/>
                <w:bCs w:val="false"/>
                <w:i w:val="false"/>
                <w:iCs w:val="false"/>
                <w:strike w:val="false"/>
                <w:color w:val="333333"/>
                <w:sz w:val="22"/>
                <w:szCs w:val="22"/>
              </w:rPr>
              <w:t xml:space="preserve">Identical physical footprint; different content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A100 GPUs Total</w:t>
            </w:r>
          </w:p>
        </w:tc>
        <w:tc>
          <w:tcPr>
            <w:tcW w:type="pct" w:w="19%"/>
          </w:tcPr>
          <w:p>
            <w:r>
              <w:rPr>
                <w:rFonts w:ascii="Calibri" w:cs="Calibri" w:eastAsia="Calibri" w:hAnsi="Calibri"/>
                <w:b/>
                <w:bCs/>
                <w:i w:val="false"/>
                <w:iCs w:val="false"/>
                <w:strike w:val="false"/>
                <w:color w:val="333333"/>
                <w:sz w:val="22"/>
                <w:szCs w:val="22"/>
              </w:rPr>
              <w:t xml:space="preserve">64</w:t>
            </w:r>
          </w:p>
        </w:tc>
        <w:tc>
          <w:tcPr>
            <w:tcW w:type="pct" w:w="19%"/>
          </w:tcPr>
          <w:p>
            <w:r>
              <w:rPr>
                <w:rFonts w:ascii="Calibri" w:cs="Calibri" w:eastAsia="Calibri" w:hAnsi="Calibri"/>
                <w:b/>
                <w:bCs/>
                <w:i w:val="false"/>
                <w:iCs w:val="false"/>
                <w:strike w:val="false"/>
                <w:color w:val="333333"/>
                <w:sz w:val="22"/>
                <w:szCs w:val="22"/>
              </w:rPr>
              <w:t xml:space="preserve">20</w:t>
            </w:r>
          </w:p>
        </w:tc>
        <w:tc>
          <w:tcPr>
            <w:tcW w:type="pct" w:w="39%"/>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GPU RAM</w:t>
            </w:r>
          </w:p>
        </w:tc>
        <w:tc>
          <w:tcPr>
            <w:tcW w:type="pct" w:w="19%"/>
          </w:tcPr>
          <w:p>
            <w:r>
              <w:rPr>
                <w:rFonts w:ascii="Calibri" w:cs="Calibri" w:eastAsia="Calibri" w:hAnsi="Calibri"/>
                <w:b/>
                <w:bCs/>
                <w:i w:val="false"/>
                <w:iCs w:val="false"/>
                <w:strike w:val="false"/>
                <w:color w:val="333333"/>
                <w:sz w:val="22"/>
                <w:szCs w:val="22"/>
              </w:rPr>
              <w:t xml:space="preserve">5.0 TB</w:t>
            </w:r>
          </w:p>
        </w:tc>
        <w:tc>
          <w:tcPr>
            <w:tcW w:type="pct" w:w="19%"/>
          </w:tcPr>
          <w:p>
            <w:r>
              <w:rPr>
                <w:rFonts w:ascii="Calibri" w:cs="Calibri" w:eastAsia="Calibri" w:hAnsi="Calibri"/>
                <w:b/>
                <w:bCs/>
                <w:i w:val="false"/>
                <w:iCs w:val="false"/>
                <w:strike w:val="false"/>
                <w:color w:val="333333"/>
                <w:sz w:val="22"/>
                <w:szCs w:val="22"/>
              </w:rPr>
              <w:t xml:space="preserve">1.6 TB</w:t>
            </w:r>
          </w:p>
        </w:tc>
        <w:tc>
          <w:tcPr>
            <w:tcW w:type="pct" w:w="39%"/>
          </w:tcPr>
          <w:p>
            <w:r>
              <w:rPr>
                <w:rFonts w:ascii="Calibri" w:cs="Calibri" w:eastAsia="Calibri" w:hAnsi="Calibri"/>
                <w:b/>
                <w:bCs/>
                <w:i w:val="false"/>
                <w:iCs w:val="false"/>
                <w:strike w:val="false"/>
                <w:color w:val="2A6B2A"/>
                <w:sz w:val="22"/>
                <w:szCs w:val="22"/>
              </w:rPr>
              <w:t xml:space="preserve">QB uses 68% less GPU RAM</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CPU RAM</w:t>
            </w:r>
          </w:p>
        </w:tc>
        <w:tc>
          <w:tcPr>
            <w:tcW w:type="pct" w:w="19%"/>
          </w:tcPr>
          <w:p>
            <w:r>
              <w:rPr>
                <w:rFonts w:ascii="Calibri" w:cs="Calibri" w:eastAsia="Calibri" w:hAnsi="Calibri"/>
                <w:b/>
                <w:bCs/>
                <w:i w:val="false"/>
                <w:iCs w:val="false"/>
                <w:strike w:val="false"/>
                <w:color w:val="333333"/>
                <w:sz w:val="22"/>
                <w:szCs w:val="22"/>
              </w:rPr>
              <w:t xml:space="preserve">4.8 TB</w:t>
            </w:r>
          </w:p>
        </w:tc>
        <w:tc>
          <w:tcPr>
            <w:tcW w:type="pct" w:w="19%"/>
          </w:tcPr>
          <w:p>
            <w:r>
              <w:rPr>
                <w:rFonts w:ascii="Calibri" w:cs="Calibri" w:eastAsia="Calibri" w:hAnsi="Calibri"/>
                <w:b/>
                <w:bCs/>
                <w:i w:val="false"/>
                <w:iCs w:val="false"/>
                <w:strike w:val="false"/>
                <w:color w:val="333333"/>
                <w:sz w:val="22"/>
                <w:szCs w:val="22"/>
              </w:rPr>
              <w:t xml:space="preserve">8.7 TB</w:t>
            </w:r>
          </w:p>
        </w:tc>
        <w:tc>
          <w:tcPr>
            <w:tcW w:type="pct" w:w="39%"/>
          </w:tcPr>
          <w:p>
            <w:r>
              <w:rPr>
                <w:rFonts w:ascii="Calibri" w:cs="Calibri" w:eastAsia="Calibri" w:hAnsi="Calibri"/>
                <w:b w:val="false"/>
                <w:bCs w:val="false"/>
                <w:i w:val="false"/>
                <w:iCs w:val="false"/>
                <w:strike w:val="false"/>
                <w:color w:val="333333"/>
                <w:sz w:val="22"/>
                <w:szCs w:val="22"/>
              </w:rPr>
              <w:t xml:space="preserve">QB uses 81% more CPU RAM (Fact Graph in-memory working set)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RAM — All Systems</w:t>
            </w:r>
          </w:p>
        </w:tc>
        <w:tc>
          <w:tcPr>
            <w:tcW w:type="pct" w:w="19%"/>
          </w:tcPr>
          <w:p>
            <w:r>
              <w:rPr>
                <w:rFonts w:ascii="Calibri" w:cs="Calibri" w:eastAsia="Calibri" w:hAnsi="Calibri"/>
                <w:b/>
                <w:bCs/>
                <w:i w:val="false"/>
                <w:iCs w:val="false"/>
                <w:strike w:val="false"/>
                <w:color w:val="333333"/>
                <w:sz w:val="22"/>
                <w:szCs w:val="22"/>
              </w:rPr>
              <w:t xml:space="preserve">~10 TB</w:t>
            </w:r>
          </w:p>
        </w:tc>
        <w:tc>
          <w:tcPr>
            <w:tcW w:type="pct" w:w="19%"/>
          </w:tcPr>
          <w:p>
            <w:r>
              <w:rPr>
                <w:rFonts w:ascii="Calibri" w:cs="Calibri" w:eastAsia="Calibri" w:hAnsi="Calibri"/>
                <w:b/>
                <w:bCs/>
                <w:i w:val="false"/>
                <w:iCs w:val="false"/>
                <w:strike w:val="false"/>
                <w:color w:val="333333"/>
                <w:sz w:val="22"/>
                <w:szCs w:val="22"/>
              </w:rPr>
              <w:t xml:space="preserve">~10.3 TB</w:t>
            </w:r>
          </w:p>
        </w:tc>
        <w:tc>
          <w:tcPr>
            <w:tcW w:type="pct" w:w="39%"/>
          </w:tcPr>
          <w:p>
            <w:r>
              <w:rPr>
                <w:rFonts w:ascii="Calibri" w:cs="Calibri" w:eastAsia="Calibri" w:hAnsi="Calibri"/>
                <w:b w:val="false"/>
                <w:bCs w:val="false"/>
                <w:i w:val="false"/>
                <w:iCs w:val="false"/>
                <w:strike w:val="false"/>
                <w:color w:val="333333"/>
                <w:sz w:val="22"/>
                <w:szCs w:val="22"/>
              </w:rPr>
              <w:t xml:space="preserve">Essentially identical total; radically different allocation (GPU vs. CPU)</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NVMe Hot Storage</w:t>
            </w:r>
          </w:p>
        </w:tc>
        <w:tc>
          <w:tcPr>
            <w:tcW w:type="pct" w:w="19%"/>
          </w:tcPr>
          <w:p>
            <w:r>
              <w:rPr>
                <w:rFonts w:ascii="Calibri" w:cs="Calibri" w:eastAsia="Calibri" w:hAnsi="Calibri"/>
                <w:b/>
                <w:bCs/>
                <w:i w:val="false"/>
                <w:iCs w:val="false"/>
                <w:strike w:val="false"/>
                <w:color w:val="333333"/>
                <w:sz w:val="22"/>
                <w:szCs w:val="22"/>
              </w:rPr>
              <w:t xml:space="preserve">17 TB</w:t>
            </w:r>
          </w:p>
        </w:tc>
        <w:tc>
          <w:tcPr>
            <w:tcW w:type="pct" w:w="19%"/>
          </w:tcPr>
          <w:p>
            <w:r>
              <w:rPr>
                <w:rFonts w:ascii="Calibri" w:cs="Calibri" w:eastAsia="Calibri" w:hAnsi="Calibri"/>
                <w:b/>
                <w:bCs/>
                <w:i w:val="false"/>
                <w:iCs w:val="false"/>
                <w:strike w:val="false"/>
                <w:color w:val="333333"/>
                <w:sz w:val="22"/>
                <w:szCs w:val="22"/>
              </w:rPr>
              <w:t xml:space="preserve">37 TB</w:t>
            </w:r>
          </w:p>
        </w:tc>
        <w:tc>
          <w:tcPr>
            <w:tcW w:type="pct" w:w="39%"/>
          </w:tcPr>
          <w:p>
            <w:r>
              <w:rPr>
                <w:rFonts w:ascii="Calibri" w:cs="Calibri" w:eastAsia="Calibri" w:hAnsi="Calibri"/>
                <w:b w:val="false"/>
                <w:bCs w:val="false"/>
                <w:i w:val="false"/>
                <w:iCs w:val="false"/>
                <w:strike w:val="false"/>
                <w:color w:val="333333"/>
                <w:sz w:val="22"/>
                <w:szCs w:val="22"/>
              </w:rPr>
              <w:t xml:space="preserve">QB requires 118% more NVMe (Fact Graph, LFB, PAGS)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Object Storage</w:t>
            </w:r>
          </w:p>
        </w:tc>
        <w:tc>
          <w:tcPr>
            <w:tcW w:type="pct" w:w="19%"/>
          </w:tcPr>
          <w:p>
            <w:r>
              <w:rPr>
                <w:rFonts w:ascii="Calibri" w:cs="Calibri" w:eastAsia="Calibri" w:hAnsi="Calibri"/>
                <w:b/>
                <w:bCs/>
                <w:i w:val="false"/>
                <w:iCs w:val="false"/>
                <w:strike w:val="false"/>
                <w:color w:val="333333"/>
                <w:sz w:val="22"/>
                <w:szCs w:val="22"/>
              </w:rPr>
              <w:t xml:space="preserve">65 TB</w:t>
            </w:r>
          </w:p>
        </w:tc>
        <w:tc>
          <w:tcPr>
            <w:tcW w:type="pct" w:w="19%"/>
          </w:tcPr>
          <w:p>
            <w:r>
              <w:rPr>
                <w:rFonts w:ascii="Calibri" w:cs="Calibri" w:eastAsia="Calibri" w:hAnsi="Calibri"/>
                <w:b/>
                <w:bCs/>
                <w:i w:val="false"/>
                <w:iCs w:val="false"/>
                <w:strike w:val="false"/>
                <w:color w:val="333333"/>
                <w:sz w:val="22"/>
                <w:szCs w:val="22"/>
              </w:rPr>
              <w:t xml:space="preserve">250–640 TB</w:t>
            </w:r>
          </w:p>
        </w:tc>
        <w:tc>
          <w:tcPr>
            <w:tcW w:type="pct" w:w="39%"/>
          </w:tcPr>
          <w:p>
            <w:r>
              <w:rPr>
                <w:rFonts w:ascii="Calibri" w:cs="Calibri" w:eastAsia="Calibri" w:hAnsi="Calibri"/>
                <w:b w:val="false"/>
                <w:bCs w:val="false"/>
                <w:i w:val="false"/>
                <w:iCs w:val="false"/>
                <w:strike w:val="false"/>
                <w:color w:val="333333"/>
                <w:sz w:val="22"/>
                <w:szCs w:val="22"/>
              </w:rPr>
              <w:t xml:space="preserve">QB requires 4–10× more (Cold Fact Store, Audit Log, Provenance Ledger)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IT Power Load</w:t>
            </w:r>
          </w:p>
        </w:tc>
        <w:tc>
          <w:tcPr>
            <w:tcW w:type="pct" w:w="19%"/>
          </w:tcPr>
          <w:p>
            <w:r>
              <w:rPr>
                <w:rFonts w:ascii="Calibri" w:cs="Calibri" w:eastAsia="Calibri" w:hAnsi="Calibri"/>
                <w:b/>
                <w:bCs/>
                <w:i w:val="false"/>
                <w:iCs w:val="false"/>
                <w:strike w:val="false"/>
                <w:color w:val="333333"/>
                <w:sz w:val="22"/>
                <w:szCs w:val="22"/>
              </w:rPr>
              <w:t xml:space="preserve">77.6 kW</w:t>
            </w:r>
          </w:p>
        </w:tc>
        <w:tc>
          <w:tcPr>
            <w:tcW w:type="pct" w:w="19%"/>
          </w:tcPr>
          <w:p>
            <w:r>
              <w:rPr>
                <w:rFonts w:ascii="Calibri" w:cs="Calibri" w:eastAsia="Calibri" w:hAnsi="Calibri"/>
                <w:b/>
                <w:bCs/>
                <w:i w:val="false"/>
                <w:iCs w:val="false"/>
                <w:strike w:val="false"/>
                <w:color w:val="333333"/>
                <w:sz w:val="22"/>
                <w:szCs w:val="22"/>
              </w:rPr>
              <w:t xml:space="preserve">59.9 kW</w:t>
            </w:r>
          </w:p>
        </w:tc>
        <w:tc>
          <w:tcPr>
            <w:tcW w:type="pct" w:w="39%"/>
          </w:tcPr>
          <w:p>
            <w:r>
              <w:rPr>
                <w:rFonts w:ascii="Calibri" w:cs="Calibri" w:eastAsia="Calibri" w:hAnsi="Calibri"/>
                <w:b/>
                <w:bCs/>
                <w:i w:val="false"/>
                <w:iCs w:val="false"/>
                <w:strike w:val="false"/>
                <w:color w:val="2A6B2A"/>
                <w:sz w:val="22"/>
                <w:szCs w:val="22"/>
              </w:rPr>
              <w:t xml:space="preserve">QB uses 23% less IT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 (PUE 1.40)</w:t>
            </w:r>
          </w:p>
        </w:tc>
        <w:tc>
          <w:tcPr>
            <w:tcW w:type="pct" w:w="19%"/>
          </w:tcPr>
          <w:p>
            <w:r>
              <w:rPr>
                <w:rFonts w:ascii="Calibri" w:cs="Calibri" w:eastAsia="Calibri" w:hAnsi="Calibri"/>
                <w:b/>
                <w:bCs/>
                <w:i w:val="false"/>
                <w:iCs w:val="false"/>
                <w:strike w:val="false"/>
                <w:color w:val="333333"/>
                <w:sz w:val="22"/>
                <w:szCs w:val="22"/>
              </w:rPr>
              <w:t xml:space="preserve">108.6 kW</w:t>
            </w:r>
          </w:p>
        </w:tc>
        <w:tc>
          <w:tcPr>
            <w:tcW w:type="pct" w:w="19%"/>
          </w:tcPr>
          <w:p>
            <w:r>
              <w:rPr>
                <w:rFonts w:ascii="Calibri" w:cs="Calibri" w:eastAsia="Calibri" w:hAnsi="Calibri"/>
                <w:b/>
                <w:bCs/>
                <w:i w:val="false"/>
                <w:iCs w:val="false"/>
                <w:strike w:val="false"/>
                <w:color w:val="333333"/>
                <w:sz w:val="22"/>
                <w:szCs w:val="22"/>
              </w:rPr>
              <w:t xml:space="preserve">83.9 kW</w:t>
            </w:r>
          </w:p>
        </w:tc>
        <w:tc>
          <w:tcPr>
            <w:tcW w:type="pct" w:w="39%"/>
          </w:tcPr>
          <w:p>
            <w:r>
              <w:rPr>
                <w:rFonts w:ascii="Calibri" w:cs="Calibri" w:eastAsia="Calibri" w:hAnsi="Calibri"/>
                <w:b/>
                <w:bCs/>
                <w:i w:val="false"/>
                <w:iCs w:val="false"/>
                <w:strike w:val="false"/>
                <w:color w:val="2A6B2A"/>
                <w:sz w:val="22"/>
                <w:szCs w:val="22"/>
              </w:rPr>
              <w:t xml:space="preserve">QB uses 23% less total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9%"/>
          </w:tcPr>
          <w:p>
            <w:r>
              <w:rPr>
                <w:rFonts w:ascii="Calibri" w:cs="Calibri" w:eastAsia="Calibri" w:hAnsi="Calibri"/>
                <w:b/>
                <w:bCs/>
                <w:i w:val="false"/>
                <w:iCs w:val="false"/>
                <w:strike w:val="false"/>
                <w:color w:val="333333"/>
                <w:sz w:val="22"/>
                <w:szCs w:val="22"/>
              </w:rPr>
              <w:t xml:space="preserve">2,607 kWh</w:t>
            </w:r>
          </w:p>
        </w:tc>
        <w:tc>
          <w:tcPr>
            <w:tcW w:type="pct" w:w="19%"/>
          </w:tcPr>
          <w:p>
            <w:r>
              <w:rPr>
                <w:rFonts w:ascii="Calibri" w:cs="Calibri" w:eastAsia="Calibri" w:hAnsi="Calibri"/>
                <w:b/>
                <w:bCs/>
                <w:i w:val="false"/>
                <w:iCs w:val="false"/>
                <w:strike w:val="false"/>
                <w:color w:val="333333"/>
                <w:sz w:val="22"/>
                <w:szCs w:val="22"/>
              </w:rPr>
              <w:t xml:space="preserve">2,013 kWh</w:t>
            </w:r>
          </w:p>
        </w:tc>
        <w:tc>
          <w:tcPr>
            <w:tcW w:type="pct" w:w="39%"/>
          </w:tcPr>
          <w:p>
            <w:r>
              <w:rPr>
                <w:rFonts w:ascii="Calibri" w:cs="Calibri" w:eastAsia="Calibri" w:hAnsi="Calibri"/>
                <w:b/>
                <w:bCs/>
                <w:i w:val="false"/>
                <w:iCs w:val="false"/>
                <w:strike w:val="false"/>
                <w:color w:val="2A6B2A"/>
                <w:sz w:val="22"/>
                <w:szCs w:val="22"/>
              </w:rPr>
              <w:t xml:space="preserve">594 kWh less/day — 228 fewer metric tons CO₂/year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0.20)</w:t>
            </w:r>
          </w:p>
        </w:tc>
        <w:tc>
          <w:tcPr>
            <w:tcW w:type="pct" w:w="19%"/>
          </w:tcPr>
          <w:p>
            <w:r>
              <w:rPr>
                <w:rFonts w:ascii="Calibri" w:cs="Calibri" w:eastAsia="Calibri" w:hAnsi="Calibri"/>
                <w:b/>
                <w:bCs/>
                <w:i w:val="false"/>
                <w:iCs w:val="false"/>
                <w:strike w:val="false"/>
                <w:color w:val="333333"/>
                <w:sz w:val="22"/>
                <w:szCs w:val="22"/>
              </w:rPr>
              <w:t xml:space="preserve">521 L (138 gal)</w:t>
            </w:r>
          </w:p>
        </w:tc>
        <w:tc>
          <w:tcPr>
            <w:tcW w:type="pct" w:w="19%"/>
          </w:tcPr>
          <w:p>
            <w:r>
              <w:rPr>
                <w:rFonts w:ascii="Calibri" w:cs="Calibri" w:eastAsia="Calibri" w:hAnsi="Calibri"/>
                <w:b/>
                <w:bCs/>
                <w:i w:val="false"/>
                <w:iCs w:val="false"/>
                <w:strike w:val="false"/>
                <w:color w:val="333333"/>
                <w:sz w:val="22"/>
                <w:szCs w:val="22"/>
              </w:rPr>
              <w:t xml:space="preserve">403 L (106 gal)</w:t>
            </w:r>
          </w:p>
        </w:tc>
        <w:tc>
          <w:tcPr>
            <w:tcW w:type="pct" w:w="39%"/>
          </w:tcPr>
          <w:p>
            <w:r>
              <w:rPr>
                <w:rFonts w:ascii="Calibri" w:cs="Calibri" w:eastAsia="Calibri" w:hAnsi="Calibri"/>
                <w:b/>
                <w:bCs/>
                <w:i w:val="false"/>
                <w:iCs w:val="false"/>
                <w:strike w:val="false"/>
                <w:color w:val="2A6B2A"/>
                <w:sz w:val="22"/>
                <w:szCs w:val="22"/>
              </w:rPr>
              <w:t xml:space="preserve">QB uses 118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Water/Day (WUE 0.50)</w:t>
            </w:r>
          </w:p>
        </w:tc>
        <w:tc>
          <w:tcPr>
            <w:tcW w:type="pct" w:w="19%"/>
          </w:tcPr>
          <w:p>
            <w:r>
              <w:rPr>
                <w:rFonts w:ascii="Calibri" w:cs="Calibri" w:eastAsia="Calibri" w:hAnsi="Calibri"/>
                <w:b/>
                <w:bCs/>
                <w:i w:val="false"/>
                <w:iCs w:val="false"/>
                <w:strike w:val="false"/>
                <w:color w:val="333333"/>
                <w:sz w:val="22"/>
                <w:szCs w:val="22"/>
              </w:rPr>
              <w:t xml:space="preserve">1,304 L (344 gal)</w:t>
            </w:r>
          </w:p>
        </w:tc>
        <w:tc>
          <w:tcPr>
            <w:tcW w:type="pct" w:w="19%"/>
          </w:tcPr>
          <w:p>
            <w:r>
              <w:rPr>
                <w:rFonts w:ascii="Calibri" w:cs="Calibri" w:eastAsia="Calibri" w:hAnsi="Calibri"/>
                <w:b/>
                <w:bCs/>
                <w:i w:val="false"/>
                <w:iCs w:val="false"/>
                <w:strike w:val="false"/>
                <w:color w:val="333333"/>
                <w:sz w:val="22"/>
                <w:szCs w:val="22"/>
              </w:rPr>
              <w:t xml:space="preserve">1,007 L (266 gal)</w:t>
            </w:r>
          </w:p>
        </w:tc>
        <w:tc>
          <w:tcPr>
            <w:tcW w:type="pct" w:w="39%"/>
          </w:tcPr>
          <w:p>
            <w:r>
              <w:rPr>
                <w:rFonts w:ascii="Calibri" w:cs="Calibri" w:eastAsia="Calibri" w:hAnsi="Calibri"/>
                <w:b/>
                <w:bCs/>
                <w:i w:val="false"/>
                <w:iCs w:val="false"/>
                <w:strike w:val="false"/>
                <w:color w:val="2A6B2A"/>
                <w:sz w:val="22"/>
                <w:szCs w:val="22"/>
              </w:rPr>
              <w:t xml:space="preserve">QB uses 297 L less per day</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Internet Uplinks</w:t>
            </w:r>
          </w:p>
        </w:tc>
        <w:tc>
          <w:tcPr>
            <w:tcW w:type="pct" w:w="19%"/>
          </w:tcPr>
          <w:p>
            <w:r>
              <w:rPr>
                <w:rFonts w:ascii="Calibri" w:cs="Calibri" w:eastAsia="Calibri" w:hAnsi="Calibri"/>
                <w:b/>
                <w:bCs/>
                <w:i w:val="false"/>
                <w:iCs w:val="false"/>
                <w:strike w:val="false"/>
                <w:color w:val="333333"/>
                <w:sz w:val="22"/>
                <w:szCs w:val="22"/>
              </w:rPr>
              <w:t xml:space="preserve">2× 10 Gbps</w:t>
            </w:r>
          </w:p>
        </w:tc>
        <w:tc>
          <w:tcPr>
            <w:tcW w:type="pct" w:w="19%"/>
          </w:tcPr>
          <w:p>
            <w:r>
              <w:rPr>
                <w:rFonts w:ascii="Calibri" w:cs="Calibri" w:eastAsia="Calibri" w:hAnsi="Calibri"/>
                <w:b/>
                <w:bCs/>
                <w:i w:val="false"/>
                <w:iCs w:val="false"/>
                <w:strike w:val="false"/>
                <w:color w:val="333333"/>
                <w:sz w:val="22"/>
                <w:szCs w:val="22"/>
              </w:rPr>
              <w:t xml:space="preserve">3× 10 Gbps</w:t>
            </w:r>
          </w:p>
        </w:tc>
        <w:tc>
          <w:tcPr>
            <w:tcW w:type="pct" w:w="39%"/>
          </w:tcPr>
          <w:p>
            <w:r>
              <w:rPr>
                <w:rFonts w:ascii="Calibri" w:cs="Calibri" w:eastAsia="Calibri" w:hAnsi="Calibri"/>
                <w:b w:val="false"/>
                <w:bCs w:val="false"/>
                <w:i w:val="false"/>
                <w:iCs w:val="false"/>
                <w:strike w:val="false"/>
                <w:color w:val="333333"/>
                <w:sz w:val="22"/>
                <w:szCs w:val="22"/>
              </w:rPr>
              <w:t xml:space="preserve">QB needs 1 additional uplink for streaming LFB ingest</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Internal Cluster Fabric</w:t>
            </w:r>
          </w:p>
        </w:tc>
        <w:tc>
          <w:tcPr>
            <w:tcW w:type="pct" w:w="19%"/>
          </w:tcPr>
          <w:p>
            <w:r>
              <w:rPr>
                <w:rFonts w:ascii="Calibri" w:cs="Calibri" w:eastAsia="Calibri" w:hAnsi="Calibri"/>
                <w:b/>
                <w:bCs/>
                <w:i w:val="false"/>
                <w:iCs w:val="false"/>
                <w:strike w:val="false"/>
                <w:color w:val="333333"/>
                <w:sz w:val="22"/>
                <w:szCs w:val="22"/>
              </w:rPr>
              <w:t xml:space="preserve">400 Gbps InfiniBand HDR</w:t>
            </w:r>
          </w:p>
        </w:tc>
        <w:tc>
          <w:tcPr>
            <w:tcW w:type="pct" w:w="19%"/>
          </w:tcPr>
          <w:p>
            <w:r>
              <w:rPr>
                <w:rFonts w:ascii="Calibri" w:cs="Calibri" w:eastAsia="Calibri" w:hAnsi="Calibri"/>
                <w:b/>
                <w:bCs/>
                <w:i w:val="false"/>
                <w:iCs w:val="false"/>
                <w:strike w:val="false"/>
                <w:color w:val="333333"/>
                <w:sz w:val="22"/>
                <w:szCs w:val="22"/>
              </w:rPr>
              <w:t xml:space="preserve">25 Gbps Ethernet</w:t>
            </w:r>
          </w:p>
        </w:tc>
        <w:tc>
          <w:tcPr>
            <w:tcW w:type="pct" w:w="39%"/>
          </w:tcPr>
          <w:p>
            <w:r>
              <w:rPr>
                <w:rFonts w:ascii="Calibri" w:cs="Calibri" w:eastAsia="Calibri" w:hAnsi="Calibri"/>
                <w:b/>
                <w:bCs/>
                <w:i w:val="false"/>
                <w:iCs w:val="false"/>
                <w:strike w:val="false"/>
                <w:color w:val="2A6B2A"/>
                <w:sz w:val="22"/>
                <w:szCs w:val="22"/>
              </w:rPr>
              <w:t xml:space="preserve">~60% networking CapEx reduction; no InfiniBand required</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Load Balancer Requirement</w:t>
            </w:r>
          </w:p>
        </w:tc>
        <w:tc>
          <w:tcPr>
            <w:tcW w:type="pct" w:w="19%"/>
          </w:tcPr>
          <w:p>
            <w:r>
              <w:rPr>
                <w:rFonts w:ascii="Calibri" w:cs="Calibri" w:eastAsia="Calibri" w:hAnsi="Calibri"/>
                <w:b w:val="false"/>
                <w:bCs w:val="false"/>
                <w:i w:val="false"/>
                <w:iCs w:val="false"/>
                <w:strike w:val="false"/>
                <w:color w:val="333333"/>
                <w:sz w:val="22"/>
                <w:szCs w:val="22"/>
              </w:rPr>
              <w:t xml:space="preserve">Stateless HTTP sufficient</w:t>
            </w:r>
          </w:p>
        </w:tc>
        <w:tc>
          <w:tcPr>
            <w:tcW w:type="pct" w:w="19%"/>
          </w:tcPr>
          <w:p>
            <w:r>
              <w:rPr>
                <w:rFonts w:ascii="Calibri" w:cs="Calibri" w:eastAsia="Calibri" w:hAnsi="Calibri"/>
                <w:b/>
                <w:bCs/>
                <w:i w:val="false"/>
                <w:iCs w:val="false"/>
                <w:strike w:val="false"/>
                <w:color w:val="333333"/>
                <w:sz w:val="22"/>
                <w:szCs w:val="22"/>
              </w:rPr>
              <w:t xml:space="preserve">Stateful WebSocket required</w:t>
            </w:r>
          </w:p>
        </w:tc>
        <w:tc>
          <w:tcPr>
            <w:tcW w:type="pct" w:w="39%"/>
          </w:tcPr>
          <w:p>
            <w:r>
              <w:rPr>
                <w:rFonts w:ascii="Calibri" w:cs="Calibri" w:eastAsia="Calibri" w:hAnsi="Calibri"/>
                <w:b w:val="false"/>
                <w:bCs w:val="false"/>
                <w:i w:val="false"/>
                <w:iCs w:val="false"/>
                <w:strike w:val="false"/>
                <w:color w:val="333333"/>
                <w:sz w:val="22"/>
                <w:szCs w:val="22"/>
              </w:rPr>
              <w:t xml:space="preserve">Additional LB config for WATCH program persistent connections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GPU CapEx (A100 @ $15K each)</w:t>
            </w:r>
          </w:p>
        </w:tc>
        <w:tc>
          <w:tcPr>
            <w:tcW w:type="pct" w:w="19%"/>
          </w:tcPr>
          <w:p>
            <w:r>
              <w:rPr>
                <w:rFonts w:ascii="Calibri" w:cs="Calibri" w:eastAsia="Calibri" w:hAnsi="Calibri"/>
                <w:b/>
                <w:bCs/>
                <w:i w:val="false"/>
                <w:iCs w:val="false"/>
                <w:strike w:val="false"/>
                <w:color w:val="333333"/>
                <w:sz w:val="22"/>
                <w:szCs w:val="22"/>
              </w:rPr>
              <w:t xml:space="preserve">$960,000</w:t>
            </w:r>
          </w:p>
        </w:tc>
        <w:tc>
          <w:tcPr>
            <w:tcW w:type="pct" w:w="19%"/>
          </w:tcPr>
          <w:p>
            <w:r>
              <w:rPr>
                <w:rFonts w:ascii="Calibri" w:cs="Calibri" w:eastAsia="Calibri" w:hAnsi="Calibri"/>
                <w:b/>
                <w:bCs/>
                <w:i w:val="false"/>
                <w:iCs w:val="false"/>
                <w:strike w:val="false"/>
                <w:color w:val="333333"/>
                <w:sz w:val="22"/>
                <w:szCs w:val="22"/>
              </w:rPr>
              <w:t xml:space="preserve">$300,000</w:t>
            </w:r>
          </w:p>
        </w:tc>
        <w:tc>
          <w:tcPr>
            <w:tcW w:type="pct" w:w="39%"/>
          </w:tcPr>
          <w:p>
            <w:r>
              <w:rPr>
                <w:rFonts w:ascii="Calibri" w:cs="Calibri" w:eastAsia="Calibri" w:hAnsi="Calibri"/>
                <w:b/>
                <w:bCs/>
                <w:i w:val="false"/>
                <w:iCs w:val="false"/>
                <w:strike w:val="false"/>
                <w:color w:val="2A6B2A"/>
                <w:sz w:val="22"/>
                <w:szCs w:val="22"/>
              </w:rPr>
              <w:t xml:space="preserve">QB saves $660,000 in GPU CapEx</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Annual Energy Cost (@ $0.10/kWh)</w:t>
            </w:r>
          </w:p>
        </w:tc>
        <w:tc>
          <w:tcPr>
            <w:tcW w:type="pct" w:w="19%"/>
          </w:tcPr>
          <w:p>
            <w:r>
              <w:rPr>
                <w:rFonts w:ascii="Calibri" w:cs="Calibri" w:eastAsia="Calibri" w:hAnsi="Calibri"/>
                <w:b/>
                <w:bCs/>
                <w:i w:val="false"/>
                <w:iCs w:val="false"/>
                <w:strike w:val="false"/>
                <w:color w:val="333333"/>
                <w:sz w:val="22"/>
                <w:szCs w:val="22"/>
              </w:rPr>
              <w:t xml:space="preserve">$260,700</w:t>
            </w:r>
          </w:p>
        </w:tc>
        <w:tc>
          <w:tcPr>
            <w:tcW w:type="pct" w:w="19%"/>
          </w:tcPr>
          <w:p>
            <w:r>
              <w:rPr>
                <w:rFonts w:ascii="Calibri" w:cs="Calibri" w:eastAsia="Calibri" w:hAnsi="Calibri"/>
                <w:b/>
                <w:bCs/>
                <w:i w:val="false"/>
                <w:iCs w:val="false"/>
                <w:strike w:val="false"/>
                <w:color w:val="333333"/>
                <w:sz w:val="22"/>
                <w:szCs w:val="22"/>
              </w:rPr>
              <w:t xml:space="preserve">$201,300</w:t>
            </w:r>
          </w:p>
        </w:tc>
        <w:tc>
          <w:tcPr>
            <w:tcW w:type="pct" w:w="39%"/>
          </w:tcPr>
          <w:p>
            <w:r>
              <w:rPr>
                <w:rFonts w:ascii="Calibri" w:cs="Calibri" w:eastAsia="Calibri" w:hAnsi="Calibri"/>
                <w:b/>
                <w:bCs/>
                <w:i w:val="false"/>
                <w:iCs w:val="false"/>
                <w:strike w:val="false"/>
                <w:color w:val="2A6B2A"/>
                <w:sz w:val="22"/>
                <w:szCs w:val="22"/>
              </w:rPr>
              <w:t xml:space="preserve">QB saves $59,400 per year in energy</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C.7 Scale Economics — The 10× Query Volume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10,000,000 queries per day</w:t>
      </w:r>
      <w:r>
        <w:rPr>
          <w:rFonts w:ascii="Calibri" w:cs="Calibri" w:eastAsia="Calibri" w:hAnsi="Calibri"/>
          <w:b w:val="false"/>
          <w:bCs w:val="false"/>
          <w:i w:val="false"/>
          <w:iCs w:val="false"/>
          <w:strike w:val="false"/>
          <w:color w:val="000000"/>
          <w:sz w:val="22"/>
          <w:szCs w:val="22"/>
        </w:rPr>
        <w:t xml:space="preserve"> (10× baseline), the two systems diverge significantly due to a fundamental scaling asymmetry: LLM GPU requirements scale linearly with query volume, while QueryBook's Fact Graph tier scales sublinearly.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tcPr>
          <w:p>
            <w:r>
              <w:rPr>
                <w:rFonts w:ascii="Calibri" w:cs="Calibri" w:eastAsia="Calibri" w:hAnsi="Calibri"/>
                <w:b/>
                <w:bCs/>
                <w:i w:val="false"/>
                <w:iCs w:val="false"/>
                <w:strike w:val="false"/>
                <w:color w:val="FFFFFF"/>
                <w:sz w:val="22"/>
                <w:szCs w:val="22"/>
              </w:rPr>
              <w:t xml:space="preserve">Dimension at 10M Queries/Day</w:t>
            </w:r>
          </w:p>
        </w:tc>
        <w:tc>
          <w:tcPr>
            <w:tcW w:type="pct" w:w="18%"/>
          </w:tcPr>
          <w:p>
            <w:r>
              <w:rPr>
                <w:rFonts w:ascii="Calibri" w:cs="Calibri" w:eastAsia="Calibri" w:hAnsi="Calibri"/>
                <w:b/>
                <w:bCs/>
                <w:i w:val="false"/>
                <w:iCs w:val="false"/>
                <w:strike w:val="false"/>
                <w:color w:val="FFFFFF"/>
                <w:sz w:val="22"/>
                <w:szCs w:val="22"/>
              </w:rPr>
              <w:t xml:space="preserve">LLM Operation</w:t>
            </w:r>
          </w:p>
        </w:tc>
        <w:tc>
          <w:tcPr>
            <w:tcW w:type="pct" w:w="22%"/>
          </w:tcPr>
          <w:p>
            <w:r>
              <w:rPr>
                <w:rFonts w:ascii="Calibri" w:cs="Calibri" w:eastAsia="Calibri" w:hAnsi="Calibri"/>
                <w:b/>
                <w:bCs/>
                <w:i w:val="false"/>
                <w:iCs w:val="false"/>
                <w:strike w:val="false"/>
                <w:color w:val="FFFFFF"/>
                <w:sz w:val="22"/>
                <w:szCs w:val="22"/>
              </w:rPr>
              <w:t xml:space="preserve">QB-Native Hybrid</w:t>
            </w:r>
          </w:p>
        </w:tc>
        <w:tc>
          <w:tcPr>
            <w:tcW w:type="pct" w:w="37%"/>
          </w:tcPr>
          <w:p>
            <w:r>
              <w:rPr>
                <w:rFonts w:ascii="Calibri" w:cs="Calibri" w:eastAsia="Calibri" w:hAnsi="Calibri"/>
                <w:b/>
                <w:bCs/>
                <w:i w:val="false"/>
                <w:iCs w:val="false"/>
                <w:strike w:val="false"/>
                <w:color w:val="FFFFFF"/>
                <w:sz w:val="22"/>
                <w:szCs w:val="22"/>
              </w:rPr>
              <w:t xml:space="preserve">Scaling Factor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Total A100 GPUs</w:t>
            </w:r>
          </w:p>
        </w:tc>
        <w:tc>
          <w:tcPr>
            <w:tcW w:type="pct" w:w="18%"/>
          </w:tcPr>
          <w:p>
            <w:r>
              <w:rPr>
                <w:rFonts w:ascii="Calibri" w:cs="Calibri" w:eastAsia="Calibri" w:hAnsi="Calibri"/>
                <w:b/>
                <w:bCs/>
                <w:i w:val="false"/>
                <w:iCs w:val="false"/>
                <w:strike w:val="false"/>
                <w:color w:val="333333"/>
                <w:sz w:val="22"/>
                <w:szCs w:val="22"/>
              </w:rPr>
              <w:t xml:space="preserve">640</w:t>
            </w:r>
          </w:p>
        </w:tc>
        <w:tc>
          <w:tcPr>
            <w:tcW w:type="pct" w:w="22%"/>
          </w:tcPr>
          <w:p>
            <w:r>
              <w:rPr>
                <w:rFonts w:ascii="Calibri" w:cs="Calibri" w:eastAsia="Calibri" w:hAnsi="Calibri"/>
                <w:b/>
                <w:bCs/>
                <w:i w:val="false"/>
                <w:iCs w:val="false"/>
                <w:strike w:val="false"/>
                <w:color w:val="333333"/>
                <w:sz w:val="22"/>
                <w:szCs w:val="22"/>
              </w:rPr>
              <w:t xml:space="preserve">200</w:t>
            </w:r>
          </w:p>
        </w:tc>
        <w:tc>
          <w:tcPr>
            <w:tcW w:type="pct" w:w="37%"/>
          </w:tcPr>
          <w:p>
            <w:r>
              <w:rPr>
                <w:rFonts w:ascii="Calibri" w:cs="Calibri" w:eastAsia="Calibri" w:hAnsi="Calibri"/>
                <w:b/>
                <w:bCs/>
                <w:i w:val="false"/>
                <w:iCs w:val="false"/>
                <w:strike w:val="false"/>
                <w:color w:val="2A6B2A"/>
                <w:sz w:val="22"/>
                <w:szCs w:val="22"/>
              </w:rPr>
              <w:t xml:space="preserve">QB uses 69% fewer A100s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SPE/MRE GPU servers</w:t>
            </w:r>
          </w:p>
        </w:tc>
        <w:tc>
          <w:tcPr>
            <w:tcW w:type="pct" w:w="18%"/>
          </w:tcPr>
          <w:p>
            <w:r>
              <w:rPr>
                <w:rFonts w:ascii="Calibri" w:cs="Calibri" w:eastAsia="Calibri" w:hAnsi="Calibri"/>
                <w:b w:val="false"/>
                <w:bCs w:val="false"/>
                <w:i w:val="false"/>
                <w:iCs w:val="false"/>
                <w:strike w:val="false"/>
                <w:color w:val="333333"/>
                <w:sz w:val="22"/>
                <w:szCs w:val="22"/>
              </w:rPr>
              <w:t xml:space="preserve">10× linear scale</w:t>
            </w:r>
          </w:p>
        </w:tc>
        <w:tc>
          <w:tcPr>
            <w:tcW w:type="pct" w:w="22%"/>
          </w:tcPr>
          <w:p>
            <w:r>
              <w:rPr>
                <w:rFonts w:ascii="Calibri" w:cs="Calibri" w:eastAsia="Calibri" w:hAnsi="Calibri"/>
                <w:b/>
                <w:bCs/>
                <w:i w:val="false"/>
                <w:iCs w:val="false"/>
                <w:strike w:val="false"/>
                <w:color w:val="333333"/>
                <w:sz w:val="22"/>
                <w:szCs w:val="22"/>
              </w:rPr>
              <w:t xml:space="preserve">30 servers (10× linear)</w:t>
            </w:r>
          </w:p>
        </w:tc>
        <w:tc>
          <w:tcPr>
            <w:tcW w:type="pct" w:w="37%"/>
          </w:tcPr>
          <w:p>
            <w:r>
              <w:rPr>
                <w:rFonts w:ascii="Calibri" w:cs="Calibri" w:eastAsia="Calibri" w:hAnsi="Calibri"/>
                <w:b w:val="false"/>
                <w:bCs w:val="false"/>
                <w:i w:val="false"/>
                <w:iCs w:val="false"/>
                <w:strike w:val="false"/>
                <w:color w:val="333333"/>
                <w:sz w:val="22"/>
                <w:szCs w:val="22"/>
              </w:rPr>
              <w:t xml:space="preserve">GPU tier scales linearly in both systems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Graph DB servers</w:t>
            </w:r>
          </w:p>
        </w:tc>
        <w:tc>
          <w:tcPr>
            <w:tcW w:type="pct" w:w="18%"/>
          </w:tcPr>
          <w:p>
            <w:r>
              <w:rPr>
                <w:rFonts w:ascii="Calibri" w:cs="Calibri" w:eastAsia="Calibri" w:hAnsi="Calibri"/>
                <w:b w:val="false"/>
                <w:bCs w:val="false"/>
                <w:i w:val="false"/>
                <w:iCs w:val="false"/>
                <w:strike w:val="false"/>
                <w:color w:val="333333"/>
                <w:sz w:val="22"/>
                <w:szCs w:val="22"/>
              </w:rPr>
              <w:t xml:space="preserve">N/A — no graph tier</w:t>
            </w:r>
          </w:p>
        </w:tc>
        <w:tc>
          <w:tcPr>
            <w:tcW w:type="pct" w:w="22%"/>
          </w:tcPr>
          <w:p>
            <w:r>
              <w:rPr>
                <w:rFonts w:ascii="Calibri" w:cs="Calibri" w:eastAsia="Calibri" w:hAnsi="Calibri"/>
                <w:b/>
                <w:bCs/>
                <w:i w:val="false"/>
                <w:iCs w:val="false"/>
                <w:strike w:val="false"/>
                <w:color w:val="333333"/>
                <w:sz w:val="22"/>
                <w:szCs w:val="22"/>
              </w:rPr>
              <w:t xml:space="preserve">20–24 servers (2–3× only)</w:t>
            </w:r>
          </w:p>
        </w:tc>
        <w:tc>
          <w:tcPr>
            <w:tcW w:type="pct" w:w="37%"/>
          </w:tcPr>
          <w:p>
            <w:r>
              <w:rPr>
                <w:rFonts w:ascii="Calibri" w:cs="Calibri" w:eastAsia="Calibri" w:hAnsi="Calibri"/>
                <w:b/>
                <w:bCs/>
                <w:i w:val="false"/>
                <w:iCs w:val="false"/>
                <w:strike w:val="false"/>
                <w:color w:val="2A6B2A"/>
                <w:sz w:val="22"/>
                <w:szCs w:val="22"/>
              </w:rPr>
              <w:t xml:space="preserve">Fact Graph scales sublinearly — shared read replicas</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Facility Power</w:t>
            </w:r>
          </w:p>
        </w:tc>
        <w:tc>
          <w:tcPr>
            <w:tcW w:type="pct" w:w="18%"/>
          </w:tcPr>
          <w:p>
            <w:r>
              <w:rPr>
                <w:rFonts w:ascii="Calibri" w:cs="Calibri" w:eastAsia="Calibri" w:hAnsi="Calibri"/>
                <w:b/>
                <w:bCs/>
                <w:i w:val="false"/>
                <w:iCs w:val="false"/>
                <w:strike w:val="false"/>
                <w:color w:val="333333"/>
                <w:sz w:val="22"/>
                <w:szCs w:val="22"/>
              </w:rPr>
              <w:t xml:space="preserve">~1,035 kW</w:t>
            </w:r>
          </w:p>
        </w:tc>
        <w:tc>
          <w:tcPr>
            <w:tcW w:type="pct" w:w="22%"/>
          </w:tcPr>
          <w:p>
            <w:r>
              <w:rPr>
                <w:rFonts w:ascii="Calibri" w:cs="Calibri" w:eastAsia="Calibri" w:hAnsi="Calibri"/>
                <w:b/>
                <w:bCs/>
                <w:i w:val="false"/>
                <w:iCs w:val="false"/>
                <w:strike w:val="false"/>
                <w:color w:val="333333"/>
                <w:sz w:val="22"/>
                <w:szCs w:val="22"/>
              </w:rPr>
              <w:t xml:space="preserve">~340 kW</w:t>
            </w:r>
          </w:p>
        </w:tc>
        <w:tc>
          <w:tcPr>
            <w:tcW w:type="pct" w:w="37%"/>
          </w:tcPr>
          <w:p>
            <w:r>
              <w:rPr>
                <w:rFonts w:ascii="Calibri" w:cs="Calibri" w:eastAsia="Calibri" w:hAnsi="Calibri"/>
                <w:b/>
                <w:bCs/>
                <w:i w:val="false"/>
                <w:iCs w:val="false"/>
                <w:strike w:val="false"/>
                <w:color w:val="2A6B2A"/>
                <w:sz w:val="22"/>
                <w:szCs w:val="22"/>
              </w:rPr>
              <w:t xml:space="preserve">QB uses 67% less facility power</w:t>
            </w:r>
          </w:p>
        </w:tc>
      </w:tr>
      <w:tr>
        <w:trPr>
          <w:tblHeader w:val="false"/>
        </w:trPr>
        <w:tc>
          <w:tcPr>
            <w:tcW w:type="pct" w:w="23%"/>
          </w:tcPr>
          <w:p>
            <w:r>
              <w:rPr>
                <w:rFonts w:ascii="Calibri" w:cs="Calibri" w:eastAsia="Calibri" w:hAnsi="Calibri"/>
                <w:b w:val="false"/>
                <w:bCs w:val="false"/>
                <w:i w:val="false"/>
                <w:iCs w:val="false"/>
                <w:strike w:val="false"/>
                <w:color w:val="333333"/>
                <w:sz w:val="22"/>
                <w:szCs w:val="22"/>
              </w:rPr>
              <w:t xml:space="preserve">Daily Energy</w:t>
            </w:r>
          </w:p>
        </w:tc>
        <w:tc>
          <w:tcPr>
            <w:tcW w:type="pct" w:w="18%"/>
          </w:tcPr>
          <w:p>
            <w:r>
              <w:rPr>
                <w:rFonts w:ascii="Calibri" w:cs="Calibri" w:eastAsia="Calibri" w:hAnsi="Calibri"/>
                <w:b/>
                <w:bCs/>
                <w:i w:val="false"/>
                <w:iCs w:val="false"/>
                <w:strike w:val="false"/>
                <w:color w:val="333333"/>
                <w:sz w:val="22"/>
                <w:szCs w:val="22"/>
              </w:rPr>
              <w:t xml:space="preserve">~24,840 kWh</w:t>
            </w:r>
          </w:p>
        </w:tc>
        <w:tc>
          <w:tcPr>
            <w:tcW w:type="pct" w:w="22%"/>
          </w:tcPr>
          <w:p>
            <w:r>
              <w:rPr>
                <w:rFonts w:ascii="Calibri" w:cs="Calibri" w:eastAsia="Calibri" w:hAnsi="Calibri"/>
                <w:b/>
                <w:bCs/>
                <w:i w:val="false"/>
                <w:iCs w:val="false"/>
                <w:strike w:val="false"/>
                <w:color w:val="333333"/>
                <w:sz w:val="22"/>
                <w:szCs w:val="22"/>
              </w:rPr>
              <w:t xml:space="preserve">~8,160 kWh</w:t>
            </w:r>
          </w:p>
        </w:tc>
        <w:tc>
          <w:tcPr>
            <w:tcW w:type="pct" w:w="37%"/>
          </w:tcPr>
          <w:p>
            <w:r>
              <w:rPr>
                <w:rFonts w:ascii="Calibri" w:cs="Calibri" w:eastAsia="Calibri" w:hAnsi="Calibri"/>
                <w:b/>
                <w:bCs/>
                <w:i w:val="false"/>
                <w:iCs w:val="false"/>
                <w:strike w:val="false"/>
                <w:color w:val="2A6B2A"/>
                <w:sz w:val="22"/>
                <w:szCs w:val="22"/>
              </w:rPr>
              <w:t xml:space="preserve">QB uses 16,680 kWh less per day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efficiency advantage </w:t>
      </w:r>
      <w:r>
        <w:rPr>
          <w:rFonts w:ascii="Calibri" w:cs="Calibri" w:eastAsia="Calibri" w:hAnsi="Calibri"/>
          <w:b/>
          <w:bCs/>
          <w:i w:val="false"/>
          <w:iCs w:val="false"/>
          <w:strike w:val="false"/>
          <w:color w:val="333333"/>
          <w:sz w:val="22"/>
          <w:szCs w:val="22"/>
        </w:rPr>
        <w:t xml:space="preserve">grows with scale</w:t>
      </w:r>
      <w:r>
        <w:rPr>
          <w:rFonts w:ascii="Calibri" w:cs="Calibri" w:eastAsia="Calibri" w:hAnsi="Calibri"/>
          <w:b w:val="false"/>
          <w:bCs w:val="false"/>
          <w:i w:val="false"/>
          <w:iCs w:val="false"/>
          <w:strike w:val="false"/>
          <w:color w:val="000000"/>
          <w:sz w:val="22"/>
          <w:szCs w:val="22"/>
        </w:rPr>
        <w:t xml:space="preserve"> because the Fact Graph is a fixed-cost knowledge asset that amortizes across increasing query volumes, while LLM compute cost is strictly proportional to query volume.</w:t>
      </w:r>
    </w:p>
    <w:p>
      <w:pPr>
        <w:pStyle w:val="Heading2"/>
        <w:spacing w:after="90" w:before="240" w:line="288" w:lineRule="auto"/>
      </w:pPr>
      <w:r>
        <w:rPr>
          <w:rFonts w:ascii="Calibri" w:cs="Calibri" w:eastAsia="Calibri" w:hAnsi="Calibri"/>
          <w:color w:val="0D2A5E"/>
          <w:sz w:val="36"/>
          <w:szCs w:val="36"/>
        </w:rPr>
        <w:t xml:space="preserve">C.8 The Five Architectural Efficiency Factors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tcPr>
          <w:p>
            <w:r>
              <w:rPr>
                <w:rFonts w:ascii="Calibri" w:cs="Calibri" w:eastAsia="Calibri" w:hAnsi="Calibri"/>
                <w:b/>
                <w:bCs/>
                <w:i w:val="false"/>
                <w:iCs w:val="false"/>
                <w:strike w:val="false"/>
                <w:color w:val="333333"/>
                <w:sz w:val="22"/>
                <w:szCs w:val="22"/>
              </w:rPr>
              <w:t xml:space="preserve">Factor</w:t>
            </w:r>
          </w:p>
        </w:tc>
        <w:tc>
          <w:tcPr>
            <w:tcW w:type="pct" w:w="83%"/>
          </w:tcPr>
          <w:p>
            <w:r>
              <w:rPr>
                <w:rFonts w:ascii="Calibri" w:cs="Calibri" w:eastAsia="Calibri" w:hAnsi="Calibri"/>
                <w:b/>
                <w:bCs/>
                <w:i w:val="false"/>
                <w:iCs w:val="false"/>
                <w:strike w:val="false"/>
                <w:color w:val="333333"/>
                <w:sz w:val="22"/>
                <w:szCs w:val="22"/>
              </w:rPr>
              <w:t xml:space="preserve">Explanation</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1. Token Generation Reduction</w:t>
            </w:r>
          </w:p>
        </w:tc>
        <w:tc>
          <w:tcPr>
            <w:tcW w:type="pct" w:w="83%"/>
          </w:tcPr>
          <w:p>
            <w:r>
              <w:rPr>
                <w:rFonts w:ascii="Calibri" w:cs="Calibri" w:eastAsia="Calibri" w:hAnsi="Calibri"/>
                <w:b w:val="false"/>
                <w:bCs w:val="false"/>
                <w:i w:val="false"/>
                <w:iCs w:val="false"/>
                <w:strike w:val="false"/>
                <w:color w:val="333333"/>
                <w:sz w:val="22"/>
                <w:szCs w:val="22"/>
              </w:rPr>
              <w:t xml:space="preserve">QB generates </w:t>
            </w:r>
            <w:r>
              <w:rPr>
                <w:rFonts w:ascii="Calibri" w:cs="Calibri" w:eastAsia="Calibri" w:hAnsi="Calibri"/>
                <w:b/>
                <w:bCs/>
                <w:i w:val="false"/>
                <w:iCs w:val="false"/>
                <w:strike w:val="false"/>
                <w:color w:val="333333"/>
                <w:sz w:val="22"/>
                <w:szCs w:val="22"/>
              </w:rPr>
              <w:t xml:space="preserve">250 tokens</w:t>
            </w:r>
            <w:r>
              <w:rPr>
                <w:rFonts w:ascii="Calibri" w:cs="Calibri" w:eastAsia="Calibri" w:hAnsi="Calibri"/>
                <w:b w:val="false"/>
                <w:bCs w:val="false"/>
                <w:i w:val="false"/>
                <w:iCs w:val="false"/>
                <w:strike w:val="false"/>
                <w:color w:val="333333"/>
                <w:sz w:val="22"/>
                <w:szCs w:val="22"/>
              </w:rPr>
              <w:t xml:space="preserve"> per query vs. </w:t>
            </w:r>
            <w:r>
              <w:rPr>
                <w:rFonts w:ascii="Calibri" w:cs="Calibri" w:eastAsia="Calibri" w:hAnsi="Calibri"/>
                <w:b/>
                <w:bCs/>
                <w:i w:val="false"/>
                <w:iCs w:val="false"/>
                <w:strike w:val="false"/>
                <w:color w:val="333333"/>
                <w:sz w:val="22"/>
                <w:szCs w:val="22"/>
              </w:rPr>
              <w:t xml:space="preserve">500 for LLM</w:t>
            </w:r>
            <w:r>
              <w:rPr>
                <w:rFonts w:ascii="Calibri" w:cs="Calibri" w:eastAsia="Calibri" w:hAnsi="Calibri"/>
                <w:b w:val="false"/>
                <w:bCs w:val="false"/>
                <w:i w:val="false"/>
                <w:iCs w:val="false"/>
                <w:strike w:val="false"/>
                <w:color w:val="333333"/>
                <w:sz w:val="22"/>
                <w:szCs w:val="22"/>
              </w:rPr>
              <w:t xml:space="preserve">. The Fact Graph supplies the content; the MRE supplies only the phrasing. This halves GPU output workload before model size is considered.</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2. Model Size Reduction</w:t>
            </w:r>
          </w:p>
        </w:tc>
        <w:tc>
          <w:tcPr>
            <w:tcW w:type="pct" w:w="83%"/>
          </w:tcPr>
          <w:p>
            <w:r>
              <w:rPr>
                <w:rFonts w:ascii="Calibri" w:cs="Calibri" w:eastAsia="Calibri" w:hAnsi="Calibri"/>
                <w:b w:val="false"/>
                <w:bCs w:val="false"/>
                <w:i w:val="false"/>
                <w:iCs w:val="false"/>
                <w:strike w:val="false"/>
                <w:color w:val="333333"/>
                <w:sz w:val="22"/>
                <w:szCs w:val="22"/>
              </w:rPr>
              <w:t xml:space="preserve">QB uses </w:t>
            </w:r>
            <w:r>
              <w:rPr>
                <w:rFonts w:ascii="Calibri" w:cs="Calibri" w:eastAsia="Calibri" w:hAnsi="Calibri"/>
                <w:b/>
                <w:bCs/>
                <w:i w:val="false"/>
                <w:iCs w:val="false"/>
                <w:strike w:val="false"/>
                <w:color w:val="333333"/>
                <w:sz w:val="22"/>
                <w:szCs w:val="22"/>
              </w:rPr>
              <w:t xml:space="preserve">20B total active parameters</w:t>
            </w:r>
            <w:r>
              <w:rPr>
                <w:rFonts w:ascii="Calibri" w:cs="Calibri" w:eastAsia="Calibri" w:hAnsi="Calibri"/>
                <w:b w:val="false"/>
                <w:bCs w:val="false"/>
                <w:i w:val="false"/>
                <w:iCs w:val="false"/>
                <w:strike w:val="false"/>
                <w:color w:val="333333"/>
                <w:sz w:val="22"/>
                <w:szCs w:val="22"/>
              </w:rPr>
              <w:t xml:space="preserve"> vs. </w:t>
            </w:r>
            <w:r>
              <w:rPr>
                <w:rFonts w:ascii="Calibri" w:cs="Calibri" w:eastAsia="Calibri" w:hAnsi="Calibri"/>
                <w:b/>
                <w:bCs/>
                <w:i w:val="false"/>
                <w:iCs w:val="false"/>
                <w:strike w:val="false"/>
                <w:color w:val="333333"/>
                <w:sz w:val="22"/>
                <w:szCs w:val="22"/>
              </w:rPr>
              <w:t xml:space="preserve">72B for LLM</w:t>
            </w:r>
            <w:r>
              <w:rPr>
                <w:rFonts w:ascii="Calibri" w:cs="Calibri" w:eastAsia="Calibri" w:hAnsi="Calibri"/>
                <w:b w:val="false"/>
                <w:bCs w:val="false"/>
                <w:i w:val="false"/>
                <w:iCs w:val="false"/>
                <w:strike w:val="false"/>
                <w:color w:val="333333"/>
                <w:sz w:val="22"/>
                <w:szCs w:val="22"/>
              </w:rPr>
              <w:t xml:space="preserve"> — a </w:t>
            </w:r>
            <w:r>
              <w:rPr>
                <w:rFonts w:ascii="Calibri" w:cs="Calibri" w:eastAsia="Calibri" w:hAnsi="Calibri"/>
                <w:b/>
                <w:bCs/>
                <w:i w:val="false"/>
                <w:iCs w:val="false"/>
                <w:strike w:val="false"/>
                <w:color w:val="333333"/>
                <w:sz w:val="22"/>
                <w:szCs w:val="22"/>
              </w:rPr>
              <w:t xml:space="preserve">3.6× reduction</w:t>
            </w:r>
            <w:r>
              <w:rPr>
                <w:rFonts w:ascii="Calibri" w:cs="Calibri" w:eastAsia="Calibri" w:hAnsi="Calibri"/>
                <w:b w:val="false"/>
                <w:bCs w:val="false"/>
                <w:i w:val="false"/>
                <w:iCs w:val="false"/>
                <w:strike w:val="false"/>
                <w:color w:val="333333"/>
                <w:sz w:val="22"/>
                <w:szCs w:val="22"/>
              </w:rPr>
              <w:t xml:space="preserve"> directly reducing GPU memory, inference latency, and compute intensity.</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3. Graph Traversal Offloads GPU</w:t>
            </w:r>
          </w:p>
        </w:tc>
        <w:tc>
          <w:tcPr>
            <w:tcW w:type="pct" w:w="83%"/>
          </w:tcPr>
          <w:p>
            <w:r>
              <w:rPr>
                <w:rFonts w:ascii="Calibri" w:cs="Calibri" w:eastAsia="Calibri" w:hAnsi="Calibri"/>
                <w:b w:val="false"/>
                <w:bCs w:val="false"/>
                <w:i w:val="false"/>
                <w:iCs w:val="false"/>
                <w:strike w:val="false"/>
                <w:color w:val="333333"/>
                <w:sz w:val="22"/>
                <w:szCs w:val="22"/>
              </w:rPr>
              <w:t xml:space="preserve">Multi-hop Fact Graph traversal executes entirely on </w:t>
            </w:r>
            <w:r>
              <w:rPr>
                <w:rFonts w:ascii="Calibri" w:cs="Calibri" w:eastAsia="Calibri" w:hAnsi="Calibri"/>
                <w:b/>
                <w:bCs/>
                <w:i w:val="false"/>
                <w:iCs w:val="false"/>
                <w:strike w:val="false"/>
                <w:color w:val="333333"/>
                <w:sz w:val="22"/>
                <w:szCs w:val="22"/>
              </w:rPr>
              <w:t xml:space="preserve">CPU and NVMe</w:t>
            </w:r>
            <w:r>
              <w:rPr>
                <w:rFonts w:ascii="Calibri" w:cs="Calibri" w:eastAsia="Calibri" w:hAnsi="Calibri"/>
                <w:b w:val="false"/>
                <w:bCs w:val="false"/>
                <w:i w:val="false"/>
                <w:iCs w:val="false"/>
                <w:strike w:val="false"/>
                <w:color w:val="333333"/>
                <w:sz w:val="22"/>
                <w:szCs w:val="22"/>
              </w:rPr>
              <w:t xml:space="preserve"> with no GPU involvement. For queries requiring complex reasoning, QB offloads that computation to deterministic graph traversal. </w:t>
            </w:r>
            <w:r>
              <w:rPr>
                <w:rFonts w:ascii="Calibri" w:cs="Calibri" w:eastAsia="Calibri" w:hAnsi="Calibri"/>
                <w:b/>
                <w:bCs/>
                <w:i w:val="false"/>
                <w:iCs w:val="false"/>
                <w:strike w:val="false"/>
                <w:color w:val="333333"/>
                <w:sz w:val="22"/>
                <w:szCs w:val="22"/>
              </w:rPr>
              <w:t xml:space="preserve">Largest single efficiency driver.</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4. Sublinear Graph Scaling</w:t>
            </w:r>
          </w:p>
        </w:tc>
        <w:tc>
          <w:tcPr>
            <w:tcW w:type="pct" w:w="83%"/>
          </w:tcPr>
          <w:p>
            <w:r>
              <w:rPr>
                <w:rFonts w:ascii="Calibri" w:cs="Calibri" w:eastAsia="Calibri" w:hAnsi="Calibri"/>
                <w:b w:val="false"/>
                <w:bCs w:val="false"/>
                <w:i w:val="false"/>
                <w:iCs w:val="false"/>
                <w:strike w:val="false"/>
                <w:color w:val="333333"/>
                <w:sz w:val="22"/>
                <w:szCs w:val="22"/>
              </w:rPr>
              <w:t xml:space="preserve">The Fact Graph loaded into graph DB server RAM does not need to be reloaded per additional concurrent user. Additional throughput requires scaling the SPE/MRE GPU tier only — not the graph. At scale, the Fact Graph is a </w:t>
            </w:r>
            <w:r>
              <w:rPr>
                <w:rFonts w:ascii="Calibri" w:cs="Calibri" w:eastAsia="Calibri" w:hAnsi="Calibri"/>
                <w:b/>
                <w:bCs/>
                <w:i w:val="false"/>
                <w:iCs w:val="false"/>
                <w:strike w:val="false"/>
                <w:color w:val="333333"/>
                <w:sz w:val="22"/>
                <w:szCs w:val="22"/>
              </w:rPr>
              <w:t xml:space="preserve">shared, amortized infrastructure asset</w:t>
            </w:r>
            <w:r>
              <w:rPr>
                <w:rFonts w:ascii="Calibri" w:cs="Calibri" w:eastAsia="Calibri" w:hAnsi="Calibri"/>
                <w:b w:val="false"/>
                <w:bCs w:val="false"/>
                <w:i w:val="false"/>
                <w:iCs w:val="false"/>
                <w:strike w:val="false"/>
                <w:color w:val="333333"/>
                <w:sz w:val="22"/>
                <w:szCs w:val="22"/>
              </w:rPr>
              <w:t xml:space="preserve">.</w:t>
            </w:r>
          </w:p>
        </w:tc>
      </w:tr>
      <w:tr>
        <w:trPr>
          <w:tblHeader w:val="false"/>
        </w:trPr>
        <w:tc>
          <w:tcPr>
            <w:tcW w:type="pct" w:w="17%"/>
          </w:tcPr>
          <w:p>
            <w:r>
              <w:rPr>
                <w:rFonts w:ascii="Calibri" w:cs="Calibri" w:eastAsia="Calibri" w:hAnsi="Calibri"/>
                <w:b/>
                <w:bCs/>
                <w:i w:val="false"/>
                <w:iCs w:val="false"/>
                <w:strike w:val="false"/>
                <w:color w:val="333333"/>
                <w:sz w:val="22"/>
                <w:szCs w:val="22"/>
              </w:rPr>
              <w:t xml:space="preserve">5. No InfiniBand Required</w:t>
            </w:r>
          </w:p>
        </w:tc>
        <w:tc>
          <w:tcPr>
            <w:tcW w:type="pct" w:w="83%"/>
          </w:tcPr>
          <w:p>
            <w:r>
              <w:rPr>
                <w:rFonts w:ascii="Calibri" w:cs="Calibri" w:eastAsia="Calibri" w:hAnsi="Calibri"/>
                <w:b w:val="false"/>
                <w:bCs w:val="false"/>
                <w:i w:val="false"/>
                <w:iCs w:val="false"/>
                <w:strike w:val="false"/>
                <w:color w:val="333333"/>
                <w:sz w:val="22"/>
                <w:szCs w:val="22"/>
              </w:rPr>
              <w:t xml:space="preserve">LLM tensor parallel inference requires </w:t>
            </w:r>
            <w:r>
              <w:rPr>
                <w:rFonts w:ascii="Calibri" w:cs="Calibri" w:eastAsia="Calibri" w:hAnsi="Calibri"/>
                <w:b/>
                <w:bCs/>
                <w:i w:val="false"/>
                <w:iCs w:val="false"/>
                <w:strike w:val="false"/>
                <w:color w:val="333333"/>
                <w:sz w:val="22"/>
                <w:szCs w:val="22"/>
              </w:rPr>
              <w:t xml:space="preserve">400 Gbps InfiniBand HDR</w:t>
            </w:r>
            <w:r>
              <w:rPr>
                <w:rFonts w:ascii="Calibri" w:cs="Calibri" w:eastAsia="Calibri" w:hAnsi="Calibri"/>
                <w:b w:val="false"/>
                <w:bCs w:val="false"/>
                <w:i w:val="false"/>
                <w:iCs w:val="false"/>
                <w:strike w:val="false"/>
                <w:color w:val="333333"/>
                <w:sz w:val="22"/>
                <w:szCs w:val="22"/>
              </w:rPr>
              <w:t xml:space="preserve">. QB does not use tensor parallelism (models fit single GPU). Internal fabric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333333"/>
                <w:sz w:val="22"/>
                <w:szCs w:val="22"/>
              </w:rPr>
              <w:t xml:space="preserve"> — approximately </w:t>
            </w:r>
            <w:r>
              <w:rPr>
                <w:rFonts w:ascii="Calibri" w:cs="Calibri" w:eastAsia="Calibri" w:hAnsi="Calibri"/>
                <w:b/>
                <w:bCs/>
                <w:i w:val="false"/>
                <w:iCs w:val="false"/>
                <w:strike w:val="false"/>
                <w:color w:val="333333"/>
                <w:sz w:val="22"/>
                <w:szCs w:val="22"/>
              </w:rPr>
              <w:t xml:space="preserve">60% networking CapEx reduction</w:t>
            </w:r>
            <w:r>
              <w:rPr>
                <w:rFonts w:ascii="Calibri" w:cs="Calibri" w:eastAsia="Calibri" w:hAnsi="Calibri"/>
                <w:b w:val="false"/>
                <w:bCs w:val="false"/>
                <w:i w:val="false"/>
                <w:iCs w:val="false"/>
                <w:strike w:val="false"/>
                <w:color w:val="333333"/>
                <w:sz w:val="22"/>
                <w:szCs w:val="22"/>
              </w:rPr>
              <w:t xml:space="preserve"> vs. InfiniBand of equivalent port count.</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C.9 Client and Subscriber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tcPr>
          <w:p>
            <w:r>
              <w:rPr>
                <w:rFonts w:ascii="Calibri" w:cs="Calibri" w:eastAsia="Calibri" w:hAnsi="Calibri"/>
                <w:b/>
                <w:bCs/>
                <w:i w:val="false"/>
                <w:iCs w:val="false"/>
                <w:strike w:val="false"/>
                <w:color w:val="333333"/>
                <w:sz w:val="22"/>
                <w:szCs w:val="22"/>
              </w:rPr>
              <w:t xml:space="preserve">Requirement</w:t>
            </w:r>
          </w:p>
        </w:tc>
        <w:tc>
          <w:tcPr>
            <w:tcW w:type="pct" w:w="74%"/>
          </w:tcPr>
          <w:p>
            <w:r>
              <w:rPr>
                <w:rFonts w:ascii="Calibri" w:cs="Calibri" w:eastAsia="Calibri" w:hAnsi="Calibri"/>
                <w:b/>
                <w:bCs/>
                <w:i w:val="false"/>
                <w:iCs w:val="false"/>
                <w:strike w:val="false"/>
                <w:color w:val="333333"/>
                <w:sz w:val="22"/>
                <w:szCs w:val="22"/>
              </w:rPr>
              <w:t xml:space="preserve">Specification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Browser</w:t>
            </w:r>
          </w:p>
        </w:tc>
        <w:tc>
          <w:tcPr>
            <w:tcW w:type="pct" w:w="74%"/>
          </w:tcPr>
          <w:p>
            <w:r>
              <w:rPr>
                <w:rFonts w:ascii="Calibri" w:cs="Calibri" w:eastAsia="Calibri" w:hAnsi="Calibri"/>
                <w:b w:val="false"/>
                <w:bCs w:val="false"/>
                <w:i w:val="false"/>
                <w:iCs w:val="false"/>
                <w:strike w:val="false"/>
                <w:color w:val="333333"/>
                <w:sz w:val="22"/>
                <w:szCs w:val="22"/>
              </w:rPr>
              <w:t xml:space="preserve">Chrome 90+, Firefox 88+, Safari 14+, Edge 90+. Latest stable version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JavaScript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QueryBook UI is a single-page application.</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WebSocket support</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WATCH program real-time alert delivery and CQE streaming output.</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Cookies and local storage</w:t>
            </w:r>
          </w:p>
        </w:tc>
        <w:tc>
          <w:tcPr>
            <w:tcW w:type="pct" w:w="74%"/>
          </w:tcPr>
          <w:p>
            <w:r>
              <w:rPr>
                <w:rFonts w:ascii="Calibri" w:cs="Calibri" w:eastAsia="Calibri" w:hAnsi="Calibri"/>
                <w:b/>
                <w:bCs/>
                <w:i w:val="false"/>
                <w:iCs w:val="false"/>
                <w:strike w:val="false"/>
                <w:color w:val="333333"/>
                <w:sz w:val="22"/>
                <w:szCs w:val="22"/>
              </w:rPr>
              <w:t xml:space="preserve">Required</w:t>
            </w:r>
            <w:r>
              <w:rPr>
                <w:rFonts w:ascii="Calibri" w:cs="Calibri" w:eastAsia="Calibri" w:hAnsi="Calibri"/>
                <w:b w:val="false"/>
                <w:bCs w:val="false"/>
                <w:i w:val="false"/>
                <w:iCs w:val="false"/>
                <w:strike w:val="false"/>
                <w:color w:val="333333"/>
                <w:sz w:val="22"/>
                <w:szCs w:val="22"/>
              </w:rPr>
              <w:t xml:space="preserve"> for session management, UCCP preferences, and NLPL Program Record access.</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RAM</w:t>
            </w:r>
          </w:p>
        </w:tc>
        <w:tc>
          <w:tcPr>
            <w:tcW w:type="pct" w:w="74%"/>
          </w:tcPr>
          <w:p>
            <w:r>
              <w:rPr>
                <w:rFonts w:ascii="Calibri" w:cs="Calibri" w:eastAsia="Calibri" w:hAnsi="Calibri"/>
                <w:b/>
                <w:bCs/>
                <w:i w:val="false"/>
                <w:iCs w:val="false"/>
                <w:strike w:val="false"/>
                <w:color w:val="333333"/>
                <w:sz w:val="22"/>
                <w:szCs w:val="22"/>
              </w:rPr>
              <w:t xml:space="preserve">4 GB minimum; 8 GB recommended; 16 GB recommended</w:t>
            </w:r>
            <w:r>
              <w:rPr>
                <w:rFonts w:ascii="Calibri" w:cs="Calibri" w:eastAsia="Calibri" w:hAnsi="Calibri"/>
                <w:b w:val="false"/>
                <w:bCs w:val="false"/>
                <w:i w:val="false"/>
                <w:iCs w:val="false"/>
                <w:strike w:val="false"/>
                <w:color w:val="333333"/>
                <w:sz w:val="22"/>
                <w:szCs w:val="22"/>
              </w:rPr>
              <w:t xml:space="preserve"> for PAGS and intensive NLPL usage.</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Client CPU</w:t>
            </w:r>
          </w:p>
        </w:tc>
        <w:tc>
          <w:tcPr>
            <w:tcW w:type="pct" w:w="74%"/>
          </w:tcPr>
          <w:p>
            <w:r>
              <w:rPr>
                <w:rFonts w:ascii="Calibri" w:cs="Calibri" w:eastAsia="Calibri" w:hAnsi="Calibri"/>
                <w:b/>
                <w:bCs/>
                <w:i w:val="false"/>
                <w:iCs w:val="false"/>
                <w:strike w:val="false"/>
                <w:color w:val="333333"/>
                <w:sz w:val="22"/>
                <w:szCs w:val="22"/>
              </w:rPr>
              <w:t xml:space="preserve">2-core minimum; 4-core or above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standard queries</w:t>
            </w:r>
          </w:p>
        </w:tc>
        <w:tc>
          <w:tcPr>
            <w:tcW w:type="pct" w:w="74%"/>
          </w:tcPr>
          <w:p>
            <w:r>
              <w:rPr>
                <w:rFonts w:ascii="Calibri" w:cs="Calibri" w:eastAsia="Calibri" w:hAnsi="Calibri"/>
                <w:b/>
                <w:bCs/>
                <w:i w:val="false"/>
                <w:iCs w:val="false"/>
                <w:strike w:val="false"/>
                <w:color w:val="333333"/>
                <w:sz w:val="22"/>
                <w:szCs w:val="22"/>
              </w:rPr>
              <w:t xml:space="preserve">5 Mbps download minimum; 25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PAGS app generation</w:t>
            </w:r>
          </w:p>
        </w:tc>
        <w:tc>
          <w:tcPr>
            <w:tcW w:type="pct" w:w="74%"/>
          </w:tcPr>
          <w:p>
            <w:r>
              <w:rPr>
                <w:rFonts w:ascii="Calibri" w:cs="Calibri" w:eastAsia="Calibri" w:hAnsi="Calibri"/>
                <w:b/>
                <w:bCs/>
                <w:i w:val="false"/>
                <w:iCs w:val="false"/>
                <w:strike w:val="false"/>
                <w:color w:val="333333"/>
                <w:sz w:val="22"/>
                <w:szCs w:val="22"/>
              </w:rPr>
              <w:t xml:space="preserve">10 Mbps download minimum; 50 Mbps recommended.</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Internet — WATCH program streams</w:t>
            </w:r>
          </w:p>
        </w:tc>
        <w:tc>
          <w:tcPr>
            <w:tcW w:type="pct" w:w="74%"/>
          </w:tcPr>
          <w:p>
            <w:r>
              <w:rPr>
                <w:rFonts w:ascii="Calibri" w:cs="Calibri" w:eastAsia="Calibri" w:hAnsi="Calibri"/>
                <w:b/>
                <w:bCs/>
                <w:i w:val="false"/>
                <w:iCs w:val="false"/>
                <w:strike w:val="false"/>
                <w:color w:val="333333"/>
                <w:sz w:val="22"/>
                <w:szCs w:val="22"/>
              </w:rPr>
              <w:t xml:space="preserve">10 Mbps download with reliable latency below 150 ms</w:t>
            </w:r>
            <w:r>
              <w:rPr>
                <w:rFonts w:ascii="Calibri" w:cs="Calibri" w:eastAsia="Calibri" w:hAnsi="Calibri"/>
                <w:b w:val="false"/>
                <w:bCs w:val="false"/>
                <w:i w:val="false"/>
                <w:iCs w:val="false"/>
                <w:strike w:val="false"/>
                <w:color w:val="333333"/>
                <w:sz w:val="22"/>
                <w:szCs w:val="22"/>
              </w:rPr>
              <w:t xml:space="preserve"> recommended for real-time alert fidelity.</w:t>
            </w:r>
          </w:p>
        </w:tc>
      </w:tr>
      <w:tr>
        <w:trPr>
          <w:tblHeader w:val="false"/>
        </w:trPr>
        <w:tc>
          <w:tcPr>
            <w:tcW w:type="pct" w:w="26%"/>
          </w:tcPr>
          <w:p>
            <w:r>
              <w:rPr>
                <w:rFonts w:ascii="Calibri" w:cs="Calibri" w:eastAsia="Calibri" w:hAnsi="Calibri"/>
                <w:b w:val="false"/>
                <w:bCs w:val="false"/>
                <w:i w:val="false"/>
                <w:iCs w:val="false"/>
                <w:strike w:val="false"/>
                <w:color w:val="333333"/>
                <w:sz w:val="22"/>
                <w:szCs w:val="22"/>
              </w:rPr>
              <w:t xml:space="preserve">Screen resolution</w:t>
            </w:r>
          </w:p>
        </w:tc>
        <w:tc>
          <w:tcPr>
            <w:tcW w:type="pct" w:w="74%"/>
          </w:tcPr>
          <w:p>
            <w:r>
              <w:rPr>
                <w:rFonts w:ascii="Calibri" w:cs="Calibri" w:eastAsia="Calibri" w:hAnsi="Calibri"/>
                <w:b/>
                <w:bCs/>
                <w:i w:val="false"/>
                <w:iCs w:val="false"/>
                <w:strike w:val="false"/>
                <w:color w:val="333333"/>
                <w:sz w:val="22"/>
                <w:szCs w:val="22"/>
              </w:rPr>
              <w:t xml:space="preserve">1280×720 minimum; 1920×1080 recommended; 2560×1440 recommended</w:t>
            </w:r>
            <w:r>
              <w:rPr>
                <w:rFonts w:ascii="Calibri" w:cs="Calibri" w:eastAsia="Calibri" w:hAnsi="Calibri"/>
                <w:b w:val="false"/>
                <w:bCs w:val="false"/>
                <w:i w:val="false"/>
                <w:iCs w:val="false"/>
                <w:strike w:val="false"/>
                <w:color w:val="333333"/>
                <w:sz w:val="22"/>
                <w:szCs w:val="22"/>
              </w:rPr>
              <w:t xml:space="preserve"> for QB Language Studio and multi-panel PAGS workspace.</w:t>
            </w:r>
          </w:p>
        </w:tc>
      </w:tr>
    </w:tbl>
    <w:p>
      <w:pPr>
        <w:spacing w:after="200" w:before="0"/>
      </w:pPr>
    </w:p>
    <w:p>
      <w:pPr>
        <w:pStyle w:val="Heading2"/>
        <w:spacing w:after="90" w:before="240" w:line="288" w:lineRule="auto"/>
      </w:pPr>
      <w:r>
        <w:rPr>
          <w:rFonts w:ascii="Calibri" w:cs="Calibri" w:eastAsia="Calibri" w:hAnsi="Calibri"/>
          <w:color w:val="0D2A5E"/>
          <w:sz w:val="36"/>
          <w:szCs w:val="36"/>
        </w:rPr>
        <w:t xml:space="preserve">C.10 Summary Statement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At </w:t>
      </w:r>
      <w:r>
        <w:rPr>
          <w:rFonts w:ascii="Calibri" w:cs="Calibri" w:eastAsia="Calibri" w:hAnsi="Calibri"/>
          <w:b/>
          <w:bCs/>
          <w:i w:val="false"/>
          <w:iCs w:val="false"/>
          <w:strike w:val="false"/>
          <w:color w:val="333333"/>
          <w:sz w:val="22"/>
          <w:szCs w:val="22"/>
        </w:rPr>
        <w:t xml:space="preserve">1,000,000 queries per day</w:t>
      </w:r>
      <w:r>
        <w:rPr>
          <w:rFonts w:ascii="Calibri" w:cs="Calibri" w:eastAsia="Calibri" w:hAnsi="Calibri"/>
          <w:b w:val="false"/>
          <w:bCs w:val="false"/>
          <w:i w:val="false"/>
          <w:iCs w:val="false"/>
          <w:strike w:val="false"/>
          <w:color w:val="000000"/>
          <w:sz w:val="22"/>
          <w:szCs w:val="22"/>
        </w:rPr>
        <w:t xml:space="preserve">, a QueryBook Native Hybrid AI deployment requires </w:t>
      </w:r>
      <w:r>
        <w:rPr>
          <w:rFonts w:ascii="Calibri" w:cs="Calibri" w:eastAsia="Calibri" w:hAnsi="Calibri"/>
          <w:b/>
          <w:bCs/>
          <w:i w:val="false"/>
          <w:iCs w:val="false"/>
          <w:strike w:val="false"/>
          <w:color w:val="333333"/>
          <w:sz w:val="22"/>
          <w:szCs w:val="22"/>
        </w:rPr>
        <w:t xml:space="preserve">69% fewer A100 GPUs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68% less GPU RAM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333333"/>
          <w:sz w:val="22"/>
          <w:szCs w:val="22"/>
        </w:rPr>
        <w:t xml:space="preserve">23% less facility power</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23% less cooling water</w:t>
      </w:r>
      <w:r>
        <w:rPr>
          <w:rFonts w:ascii="Calibri" w:cs="Calibri" w:eastAsia="Calibri" w:hAnsi="Calibri"/>
          <w:b w:val="false"/>
          <w:bCs w:val="false"/>
          <w:i w:val="false"/>
          <w:iCs w:val="false"/>
          <w:strike w:val="false"/>
          <w:color w:val="000000"/>
          <w:sz w:val="22"/>
          <w:szCs w:val="22"/>
        </w:rPr>
        <w:t xml:space="preserve"> than an equivalent LLM inference operation, while occupying the same physical cabinet footprint. The trade-off is a requirement for </w:t>
      </w:r>
      <w:r>
        <w:rPr>
          <w:rFonts w:ascii="Calibri" w:cs="Calibri" w:eastAsia="Calibri" w:hAnsi="Calibri"/>
          <w:b/>
          <w:bCs/>
          <w:i w:val="false"/>
          <w:iCs w:val="false"/>
          <w:strike w:val="false"/>
          <w:color w:val="333333"/>
          <w:sz w:val="22"/>
          <w:szCs w:val="22"/>
        </w:rPr>
        <w:t xml:space="preserve">118% more NVMe hot storage</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4–10× more object storage</w:t>
      </w:r>
      <w:r>
        <w:rPr>
          <w:rFonts w:ascii="Calibri" w:cs="Calibri" w:eastAsia="Calibri" w:hAnsi="Calibri"/>
          <w:b w:val="false"/>
          <w:bCs w:val="false"/>
          <w:i w:val="false"/>
          <w:iCs w:val="false"/>
          <w:strike w:val="false"/>
          <w:color w:val="000000"/>
          <w:sz w:val="22"/>
          <w:szCs w:val="22"/>
        </w:rPr>
        <w:t xml:space="preserve"> to maintain the Fact Graph, Live Fact Buffer, Cold Fact Store, Workspace Audit Log, and Provenance Ledger. Total RAM across both systems is essentially equal at approximately </w:t>
      </w:r>
      <w:r>
        <w:rPr>
          <w:rFonts w:ascii="Calibri" w:cs="Calibri" w:eastAsia="Calibri" w:hAnsi="Calibri"/>
          <w:b/>
          <w:bCs/>
          <w:i w:val="false"/>
          <w:iCs w:val="false"/>
          <w:strike w:val="false"/>
          <w:color w:val="333333"/>
          <w:sz w:val="22"/>
          <w:szCs w:val="22"/>
        </w:rPr>
        <w:t xml:space="preserve">10 TB</w:t>
      </w:r>
      <w:r>
        <w:rPr>
          <w:rFonts w:ascii="Calibri" w:cs="Calibri" w:eastAsia="Calibri" w:hAnsi="Calibri"/>
          <w:b w:val="false"/>
          <w:bCs w:val="false"/>
          <w:i w:val="false"/>
          <w:iCs w:val="false"/>
          <w:strike w:val="false"/>
          <w:color w:val="000000"/>
          <w:sz w:val="22"/>
          <w:szCs w:val="22"/>
        </w:rPr>
        <w:t xml:space="preserve">; however, QueryBook's RAM is predominantly CPU RAM in graph database servers rather than GPU VRAM in inference servers.</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Internal networking is standard </w:t>
      </w:r>
      <w:r>
        <w:rPr>
          <w:rFonts w:ascii="Calibri" w:cs="Calibri" w:eastAsia="Calibri" w:hAnsi="Calibri"/>
          <w:b/>
          <w:bCs/>
          <w:i w:val="false"/>
          <w:iCs w:val="false"/>
          <w:strike w:val="false"/>
          <w:color w:val="333333"/>
          <w:sz w:val="22"/>
          <w:szCs w:val="22"/>
        </w:rPr>
        <w:t xml:space="preserve">25 GbE Ethernet</w:t>
      </w:r>
      <w:r>
        <w:rPr>
          <w:rFonts w:ascii="Calibri" w:cs="Calibri" w:eastAsia="Calibri" w:hAnsi="Calibri"/>
          <w:b w:val="false"/>
          <w:bCs w:val="false"/>
          <w:i w:val="false"/>
          <w:iCs w:val="false"/>
          <w:strike w:val="false"/>
          <w:color w:val="000000"/>
          <w:sz w:val="22"/>
          <w:szCs w:val="22"/>
        </w:rPr>
        <w:t xml:space="preserve"> rather than </w:t>
      </w:r>
      <w:r>
        <w:rPr>
          <w:rFonts w:ascii="Calibri" w:cs="Calibri" w:eastAsia="Calibri" w:hAnsi="Calibri"/>
          <w:b/>
          <w:bCs/>
          <w:i w:val="false"/>
          <w:iCs w:val="false"/>
          <w:strike w:val="false"/>
          <w:color w:val="333333"/>
          <w:sz w:val="22"/>
          <w:szCs w:val="22"/>
        </w:rPr>
        <w:t xml:space="preserve">400 Gbps InfiniBand</w:t>
      </w:r>
      <w:r>
        <w:rPr>
          <w:rFonts w:ascii="Calibri" w:cs="Calibri" w:eastAsia="Calibri" w:hAnsi="Calibri"/>
          <w:b w:val="false"/>
          <w:bCs w:val="false"/>
          <w:i w:val="false"/>
          <w:iCs w:val="false"/>
          <w:strike w:val="false"/>
          <w:color w:val="000000"/>
          <w:sz w:val="22"/>
          <w:szCs w:val="22"/>
        </w:rPr>
        <w:t xml:space="preserve">, reducing networking CapEx by approximately </w:t>
      </w:r>
      <w:r>
        <w:rPr>
          <w:rFonts w:ascii="Calibri" w:cs="Calibri" w:eastAsia="Calibri" w:hAnsi="Calibri"/>
          <w:b/>
          <w:bCs/>
          <w:i w:val="false"/>
          <w:iCs w:val="false"/>
          <w:strike w:val="false"/>
          <w:color w:val="333333"/>
          <w:sz w:val="22"/>
          <w:szCs w:val="22"/>
        </w:rPr>
        <w:t xml:space="preserve">60%</w:t>
      </w:r>
      <w:r>
        <w:rPr>
          <w:rFonts w:ascii="Calibri" w:cs="Calibri" w:eastAsia="Calibri" w:hAnsi="Calibri"/>
          <w:b w:val="false"/>
          <w:bCs w:val="false"/>
          <w:i w:val="false"/>
          <w:iCs w:val="false"/>
          <w:strike w:val="false"/>
          <w:color w:val="000000"/>
          <w:sz w:val="22"/>
          <w:szCs w:val="22"/>
        </w:rPr>
        <w:t xml:space="preserve">. At </w:t>
      </w:r>
      <w:r>
        <w:rPr>
          <w:rFonts w:ascii="Calibri" w:cs="Calibri" w:eastAsia="Calibri" w:hAnsi="Calibri"/>
          <w:b/>
          <w:bCs/>
          <w:i w:val="false"/>
          <w:iCs w:val="false"/>
          <w:strike w:val="false"/>
          <w:color w:val="333333"/>
          <w:sz w:val="22"/>
          <w:szCs w:val="22"/>
        </w:rPr>
        <w:t xml:space="preserve">10× scale (10 million queries per day)</w:t>
      </w:r>
      <w:r>
        <w:rPr>
          <w:rFonts w:ascii="Calibri" w:cs="Calibri" w:eastAsia="Calibri" w:hAnsi="Calibri"/>
          <w:b w:val="false"/>
          <w:bCs w:val="false"/>
          <w:i w:val="false"/>
          <w:iCs w:val="false"/>
          <w:strike w:val="false"/>
          <w:color w:val="000000"/>
          <w:sz w:val="22"/>
          <w:szCs w:val="22"/>
        </w:rPr>
        <w:t xml:space="preserve">, QueryBook's efficiency advantage expands to </w:t>
      </w:r>
      <w:r>
        <w:rPr>
          <w:rFonts w:ascii="Calibri" w:cs="Calibri" w:eastAsia="Calibri" w:hAnsi="Calibri"/>
          <w:b/>
          <w:bCs/>
          <w:i w:val="false"/>
          <w:iCs w:val="false"/>
          <w:strike w:val="false"/>
          <w:color w:val="333333"/>
          <w:sz w:val="22"/>
          <w:szCs w:val="22"/>
        </w:rPr>
        <w:t xml:space="preserve">69% fewer A100s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333333"/>
          <w:sz w:val="22"/>
          <w:szCs w:val="22"/>
        </w:rPr>
        <w:t xml:space="preserve">67% less facility power</w:t>
      </w:r>
      <w:r>
        <w:rPr>
          <w:rFonts w:ascii="Calibri" w:cs="Calibri" w:eastAsia="Calibri" w:hAnsi="Calibri"/>
          <w:b w:val="false"/>
          <w:bCs w:val="false"/>
          <w:i w:val="false"/>
          <w:iCs w:val="false"/>
          <w:strike w:val="false"/>
          <w:color w:val="000000"/>
          <w:sz w:val="22"/>
          <w:szCs w:val="22"/>
        </w:rPr>
        <w:t xml:space="preserve"> due to the sublinear scaling of the Fact Graph tier. The annual GPU capital expenditure saving at the 1M queries/day baseline is approximately </w:t>
      </w:r>
      <w:r>
        <w:rPr>
          <w:rFonts w:ascii="Calibri" w:cs="Calibri" w:eastAsia="Calibri" w:hAnsi="Calibri"/>
          <w:b/>
          <w:bCs/>
          <w:i w:val="false"/>
          <w:iCs w:val="false"/>
          <w:strike w:val="false"/>
          <w:color w:val="333333"/>
          <w:sz w:val="22"/>
          <w:szCs w:val="22"/>
        </w:rPr>
        <w:t xml:space="preserve">$660,000</w:t>
      </w:r>
      <w:r>
        <w:rPr>
          <w:rFonts w:ascii="Calibri" w:cs="Calibri" w:eastAsia="Calibri" w:hAnsi="Calibri"/>
          <w:b w:val="false"/>
          <w:bCs w:val="false"/>
          <w:i w:val="false"/>
          <w:iCs w:val="false"/>
          <w:strike w:val="false"/>
          <w:color w:val="000000"/>
          <w:sz w:val="22"/>
          <w:szCs w:val="22"/>
        </w:rPr>
        <w:t xml:space="preserve">. The annual energy saving is approximately </w:t>
      </w:r>
      <w:r>
        <w:rPr>
          <w:rFonts w:ascii="Calibri" w:cs="Calibri" w:eastAsia="Calibri" w:hAnsi="Calibri"/>
          <w:b/>
          <w:bCs/>
          <w:i w:val="false"/>
          <w:iCs w:val="false"/>
          <w:strike w:val="false"/>
          <w:color w:val="333333"/>
          <w:sz w:val="22"/>
          <w:szCs w:val="22"/>
        </w:rPr>
        <w:t xml:space="preserve">$59,400 at $0.10/kWh</w:t>
      </w:r>
      <w:r>
        <w:rPr>
          <w:rFonts w:ascii="Calibri" w:cs="Calibri" w:eastAsia="Calibri" w:hAnsi="Calibri"/>
          <w:b w:val="false"/>
          <w:bCs w:val="false"/>
          <w:i w:val="false"/>
          <w:iCs w:val="false"/>
          <w:strike w:val="false"/>
          <w:color w:val="000000"/>
          <w:sz w:val="22"/>
          <w:szCs w:val="22"/>
        </w:rPr>
        <w:t xml:space="preserve">, representing </w:t>
      </w:r>
      <w:r>
        <w:rPr>
          <w:rFonts w:ascii="Calibri" w:cs="Calibri" w:eastAsia="Calibri" w:hAnsi="Calibri"/>
          <w:b/>
          <w:bCs/>
          <w:i w:val="false"/>
          <w:iCs w:val="false"/>
          <w:strike w:val="false"/>
          <w:color w:val="333333"/>
          <w:sz w:val="22"/>
          <w:szCs w:val="22"/>
        </w:rPr>
        <w:t xml:space="preserve">228 fewer metric tons of CO₂ per year</w:t>
      </w:r>
      <w:r>
        <w:rPr>
          <w:rFonts w:ascii="Calibri" w:cs="Calibri" w:eastAsia="Calibri" w:hAnsi="Calibri"/>
          <w:b w:val="false"/>
          <w:bCs w:val="false"/>
          <w:i w:val="false"/>
          <w:iCs w:val="false"/>
          <w:strike w:val="false"/>
          <w:color w:val="000000"/>
          <w:sz w:val="22"/>
          <w:szCs w:val="22"/>
        </w:rPr>
        <w:t xml:space="preserve"> at average US grid carbon intensity.</w:t>
      </w:r>
    </w:p>
    <w:p>
      <w:pPr>
        <w:spacing w:after="60" w:line="360" w:lineRule="auto"/>
      </w:pPr>
      <w:r>
        <w:rPr>
          <w:rFonts w:ascii="Calibri" w:cs="Calibri" w:eastAsia="Calibri" w:hAnsi="Calibri"/>
          <w:b w:val="false"/>
          <w:bCs w:val="false"/>
          <w:i/>
          <w:iCs/>
          <w:strike w:val="false"/>
          <w:color w:val="7D8590"/>
          <w:sz w:val="22"/>
          <w:szCs w:val="22"/>
        </w:rPr>
        <w:t xml:space="preserve">Appendix C prepared by: QueryBook Core Technology Group | Los Angeles, CA | August 6, 2026 | Confidential &amp; Proprietary</w:t>
      </w:r>
    </w:p>
    <w:p>
      <w:pPr>
        <w:pStyle w:val="Heading2"/>
        <w:spacing w:after="120" w:before="240" w:line="288" w:lineRule="auto"/>
      </w:pPr>
      <w:r>
        <w:rPr>
          <w:rFonts w:ascii="Calibri" w:cs="Calibri" w:eastAsia="Calibri" w:hAnsi="Calibri"/>
          <w:color w:val="000000"/>
          <w:sz w:val="36"/>
          <w:szCs w:val="36"/>
        </w:rPr>
        <w:t xml:space="preserve">C.11 Methodology and Assumptions (added in Version 1.0 merge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figures in C.10 are workload-model estimates, not benchmarked measurements from a running deployment, and should be read as such until a production benchmark is available. They rest on the following assumptions: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 mix: the 1,000,000 queries/day baseline assumes a distribution of 70% direct Fact Graph lookups, 20% multi-hop Scenario Graph traversals, and 10% AEM-involving synthesis queries; the GPU-avoidance estimate is most favorable for the first category and least favorable for the third.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Comparison basis: the equivalent LLM inference deployment is modeled as a single dense transformer serving path sized to the same query volume at comparable P99 latency, using publicly published A100 throughput figures; it does not model a retrieval-augmented or mixture-of-experts LLM deployment, which would narrow the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Cost basis: the $660,000 annual GPU CapEx figure amortizes list-price A100 hardware over a 3-year term and does not include software licensing, staffing, or non-GPU infrastructure cost deltas in either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Energy basis: the $59,400 and 228 metric ton CO2 figures use $0.10/kWh and the EPA eGRID US average grid intensity; both vary significantly by region and utility contract.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estimates should be revalidated against an instrumented pilot deployment before being used in external-facing (investor, patent, or customer) materials; this section adds the assumptions the original figures were missing, without altering the C.10 figures themselves.</w:t>
      </w:r>
    </w:p>
    <w:p>
      <w:pPr>
        <w:pStyle w:val="Heading1"/>
        <w:spacing w:after="120" w:before="240" w:line="288" w:lineRule="auto"/>
      </w:pPr>
      <w:r>
        <w:rPr>
          <w:rFonts w:ascii="Calibri" w:cs="Calibri" w:eastAsia="Calibri" w:hAnsi="Calibri"/>
          <w:color w:val="000000"/>
          <w:sz w:val="48"/>
          <w:szCs w:val="48"/>
        </w:rPr>
        <w:t xml:space="preserve">Chapter 40: QueryBook Bible Specification Validation Framework (SVF)</w:t>
      </w:r>
    </w:p>
    <w:p>
      <w:pPr>
        <w:pStyle w:val="Heading2"/>
        <w:spacing w:after="120" w:before="240" w:line="288" w:lineRule="auto"/>
      </w:pPr>
      <w:r>
        <w:rPr>
          <w:rFonts w:ascii="Calibri" w:cs="Calibri" w:eastAsia="Calibri" w:hAnsi="Calibri"/>
          <w:color w:val="000000"/>
          <w:sz w:val="36"/>
          <w:szCs w:val="36"/>
        </w:rPr>
        <w:t xml:space="preserve">40.1 Purpose and Governing Principle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Bible is a specification document. Like all specification documents, it can contain errors of four distinct types: logical errors (a feature whose stated behaviour is internally contradictory), dependency errors (a function that requires a component that does not exist or is not specified), algorithmic errors (a formula, pipeline, or process that does not produce the stated output), and translation errors (a specification that cannot be converted to executable code without ambiguity). Untested specifications produce systems that do not match their design. Untested specifications also produce patent applications that do not match the system. Both failures are expensive. The Specification Validation Framework (SVF) is the systematic process by which every chapter, every feature, every algorithm, and every inter-component dependency in the Bible is tested before any code is written. SVF testing is not software testing — no code exists yet. SVF testing is specification testing: the process of asking whether every claim the Bible makes about how QueryBook works is logically consistent, algorithmically correct, dependency-complete, domain-sound, and prototype-translatable.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principle is: the Bible is source code. It must be reviewed, validated, and tested with the same rigour applied to production code. Every SVF failure discovered at the specification stage costs a fraction of the same failure discovered during engineering. The SVF is therefore not an audit step performed once — it is a continuous quality discipline applied to every new chapter, every revision, and every new term added to the Bible.</w:t>
      </w:r>
    </w:p>
    <w:p>
      <w:pPr>
        <w:pStyle w:val="Heading2"/>
        <w:spacing w:after="120" w:before="240" w:line="288" w:lineRule="auto"/>
      </w:pPr>
      <w:r>
        <w:rPr>
          <w:rFonts w:ascii="Calibri" w:cs="Calibri" w:eastAsia="Calibri" w:hAnsi="Calibri"/>
          <w:color w:val="000000"/>
          <w:sz w:val="36"/>
          <w:szCs w:val="36"/>
        </w:rPr>
        <w:t xml:space="preserve">40.2 The Five Testing Disciplines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organized into five testing disciplines, each targeting a different class of specification error. Every Bible chapter must pass all five disciplines before it is marked SVF-Validated.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Discipline</w:t>
            </w:r>
          </w:p>
        </w:tc>
        <w:tc>
          <w:tcPr>
            <w:tcW w:type="pct" w:w="25%"/>
          </w:tcPr>
          <w:p>
            <w:r>
              <w:rPr>
                <w:rFonts w:ascii="Calibri" w:cs="Calibri" w:eastAsia="Calibri" w:hAnsi="Calibri"/>
                <w:b/>
                <w:bCs/>
                <w:i w:val="false"/>
                <w:iCs w:val="false"/>
                <w:strike w:val="false"/>
                <w:color w:val="333333"/>
                <w:sz w:val="22"/>
                <w:szCs w:val="22"/>
              </w:rPr>
              <w:t xml:space="preserve">Code</w:t>
            </w:r>
          </w:p>
        </w:tc>
        <w:tc>
          <w:tcPr>
            <w:tcW w:type="pct" w:w="25%"/>
          </w:tcPr>
          <w:p>
            <w:r>
              <w:rPr>
                <w:rFonts w:ascii="Calibri" w:cs="Calibri" w:eastAsia="Calibri" w:hAnsi="Calibri"/>
                <w:b/>
                <w:bCs/>
                <w:i w:val="false"/>
                <w:iCs w:val="false"/>
                <w:strike w:val="false"/>
                <w:color w:val="333333"/>
                <w:sz w:val="22"/>
                <w:szCs w:val="22"/>
              </w:rPr>
              <w:t xml:space="preserve">Tests For</w:t>
            </w:r>
          </w:p>
        </w:tc>
        <w:tc>
          <w:tcPr>
            <w:tcW w:type="pct" w:w="25%"/>
          </w:tcPr>
          <w:p>
            <w:r>
              <w:rPr>
                <w:rFonts w:ascii="Calibri" w:cs="Calibri" w:eastAsia="Calibri" w:hAnsi="Calibri"/>
                <w:b/>
                <w:bCs/>
                <w:i w:val="false"/>
                <w:iCs w:val="false"/>
                <w:strike w:val="false"/>
                <w:color w:val="333333"/>
                <w:sz w:val="22"/>
                <w:szCs w:val="22"/>
              </w:rPr>
              <w:t xml:space="preserve">Failure Type It Catches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Feature Logic Testing</w:t>
            </w:r>
          </w:p>
        </w:tc>
        <w:tc>
          <w:tcPr>
            <w:tcW w:type="pct" w:w="25%"/>
          </w:tcPr>
          <w:p>
            <w:r>
              <w:rPr>
                <w:rFonts w:ascii="Calibri" w:cs="Calibri" w:eastAsia="Calibri" w:hAnsi="Calibri"/>
                <w:b w:val="false"/>
                <w:bCs w:val="false"/>
                <w:i w:val="false"/>
                <w:iCs w:val="false"/>
                <w:strike w:val="false"/>
                <w:color w:val="333333"/>
                <w:sz w:val="22"/>
                <w:szCs w:val="22"/>
              </w:rPr>
              <w:t xml:space="preserve">FLT</w:t>
            </w:r>
          </w:p>
        </w:tc>
        <w:tc>
          <w:tcPr>
            <w:tcW w:type="pct" w:w="25%"/>
          </w:tcPr>
          <w:p>
            <w:r>
              <w:rPr>
                <w:rFonts w:ascii="Calibri" w:cs="Calibri" w:eastAsia="Calibri" w:hAnsi="Calibri"/>
                <w:b w:val="false"/>
                <w:bCs w:val="false"/>
                <w:i w:val="false"/>
                <w:iCs w:val="false"/>
                <w:strike w:val="false"/>
                <w:color w:val="333333"/>
                <w:sz w:val="22"/>
                <w:szCs w:val="22"/>
              </w:rPr>
              <w:t xml:space="preserve">Whether each feature's stated behaviour is internally consistent and unambiguous</w:t>
            </w:r>
          </w:p>
        </w:tc>
        <w:tc>
          <w:tcPr>
            <w:tcW w:type="pct" w:w="25%"/>
          </w:tcPr>
          <w:p>
            <w:r>
              <w:rPr>
                <w:rFonts w:ascii="Calibri" w:cs="Calibri" w:eastAsia="Calibri" w:hAnsi="Calibri"/>
                <w:b w:val="false"/>
                <w:bCs w:val="false"/>
                <w:i w:val="false"/>
                <w:iCs w:val="false"/>
                <w:strike w:val="false"/>
                <w:color w:val="333333"/>
                <w:sz w:val="22"/>
                <w:szCs w:val="22"/>
              </w:rPr>
              <w:t xml:space="preserve">Logical contradictions, undefined edge cases, incomplete state machines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Dependency Graph Testing</w:t>
            </w:r>
          </w:p>
        </w:tc>
        <w:tc>
          <w:tcPr>
            <w:tcW w:type="pct" w:w="25%"/>
          </w:tcPr>
          <w:p>
            <w:r>
              <w:rPr>
                <w:rFonts w:ascii="Calibri" w:cs="Calibri" w:eastAsia="Calibri" w:hAnsi="Calibri"/>
                <w:b w:val="false"/>
                <w:bCs w:val="false"/>
                <w:i w:val="false"/>
                <w:iCs w:val="false"/>
                <w:strike w:val="false"/>
                <w:color w:val="333333"/>
                <w:sz w:val="22"/>
                <w:szCs w:val="22"/>
              </w:rPr>
              <w:t xml:space="preserve">DGT</w:t>
            </w:r>
          </w:p>
        </w:tc>
        <w:tc>
          <w:tcPr>
            <w:tcW w:type="pct" w:w="25%"/>
          </w:tcPr>
          <w:p>
            <w:r>
              <w:rPr>
                <w:rFonts w:ascii="Calibri" w:cs="Calibri" w:eastAsia="Calibri" w:hAnsi="Calibri"/>
                <w:b w:val="false"/>
                <w:bCs w:val="false"/>
                <w:i w:val="false"/>
                <w:iCs w:val="false"/>
                <w:strike w:val="false"/>
                <w:color w:val="333333"/>
                <w:sz w:val="22"/>
                <w:szCs w:val="22"/>
              </w:rPr>
              <w:t xml:space="preserve">Whether every inter-component dependency is correctly specified in both directions</w:t>
            </w:r>
          </w:p>
        </w:tc>
        <w:tc>
          <w:tcPr>
            <w:tcW w:type="pct" w:w="25%"/>
          </w:tcPr>
          <w:p>
            <w:r>
              <w:rPr>
                <w:rFonts w:ascii="Calibri" w:cs="Calibri" w:eastAsia="Calibri" w:hAnsi="Calibri"/>
                <w:b w:val="false"/>
                <w:bCs w:val="false"/>
                <w:i w:val="false"/>
                <w:iCs w:val="false"/>
                <w:strike w:val="false"/>
                <w:color w:val="333333"/>
                <w:sz w:val="22"/>
                <w:szCs w:val="22"/>
              </w:rPr>
              <w:t xml:space="preserve">Missing inputs, orphaned outputs, circular dependencies, undeclared assumptions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Algorithm Validation Testing</w:t>
            </w:r>
          </w:p>
        </w:tc>
        <w:tc>
          <w:tcPr>
            <w:tcW w:type="pct" w:w="25%"/>
          </w:tcPr>
          <w:p>
            <w:r>
              <w:rPr>
                <w:rFonts w:ascii="Calibri" w:cs="Calibri" w:eastAsia="Calibri" w:hAnsi="Calibri"/>
                <w:b w:val="false"/>
                <w:bCs w:val="false"/>
                <w:i w:val="false"/>
                <w:iCs w:val="false"/>
                <w:strike w:val="false"/>
                <w:color w:val="333333"/>
                <w:sz w:val="22"/>
                <w:szCs w:val="22"/>
              </w:rPr>
              <w:t xml:space="preserve">AVT</w:t>
            </w:r>
          </w:p>
        </w:tc>
        <w:tc>
          <w:tcPr>
            <w:tcW w:type="pct" w:w="25%"/>
          </w:tcPr>
          <w:p>
            <w:r>
              <w:rPr>
                <w:rFonts w:ascii="Calibri" w:cs="Calibri" w:eastAsia="Calibri" w:hAnsi="Calibri"/>
                <w:b w:val="false"/>
                <w:bCs w:val="false"/>
                <w:i w:val="false"/>
                <w:iCs w:val="false"/>
                <w:strike w:val="false"/>
                <w:color w:val="333333"/>
                <w:sz w:val="22"/>
                <w:szCs w:val="22"/>
              </w:rPr>
              <w:t xml:space="preserve">Whether every formula, pipeline, and process produces the correct output for all valid inputs</w:t>
            </w:r>
          </w:p>
        </w:tc>
        <w:tc>
          <w:tcPr>
            <w:tcW w:type="pct" w:w="25%"/>
          </w:tcPr>
          <w:p>
            <w:r>
              <w:rPr>
                <w:rFonts w:ascii="Calibri" w:cs="Calibri" w:eastAsia="Calibri" w:hAnsi="Calibri"/>
                <w:b w:val="false"/>
                <w:bCs w:val="false"/>
                <w:i w:val="false"/>
                <w:iCs w:val="false"/>
                <w:strike w:val="false"/>
                <w:color w:val="333333"/>
                <w:sz w:val="22"/>
                <w:szCs w:val="22"/>
              </w:rPr>
              <w:t xml:space="preserve">Mathematical errors, off-by-one errors, undefined behaviour at boundary conditions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Domain Rule Testing</w:t>
            </w:r>
          </w:p>
        </w:tc>
        <w:tc>
          <w:tcPr>
            <w:tcW w:type="pct" w:w="25%"/>
          </w:tcPr>
          <w:p>
            <w:r>
              <w:rPr>
                <w:rFonts w:ascii="Calibri" w:cs="Calibri" w:eastAsia="Calibri" w:hAnsi="Calibri"/>
                <w:b w:val="false"/>
                <w:bCs w:val="false"/>
                <w:i w:val="false"/>
                <w:iCs w:val="false"/>
                <w:strike w:val="false"/>
                <w:color w:val="333333"/>
                <w:sz w:val="22"/>
                <w:szCs w:val="22"/>
              </w:rPr>
              <w:t xml:space="preserve">DRT</w:t>
            </w:r>
          </w:p>
        </w:tc>
        <w:tc>
          <w:tcPr>
            <w:tcW w:type="pct" w:w="25%"/>
          </w:tcPr>
          <w:p>
            <w:r>
              <w:rPr>
                <w:rFonts w:ascii="Calibri" w:cs="Calibri" w:eastAsia="Calibri" w:hAnsi="Calibri"/>
                <w:b w:val="false"/>
                <w:bCs w:val="false"/>
                <w:i w:val="false"/>
                <w:iCs w:val="false"/>
                <w:strike w:val="false"/>
                <w:color w:val="333333"/>
                <w:sz w:val="22"/>
                <w:szCs w:val="22"/>
              </w:rPr>
              <w:t xml:space="preserve">Whether the domain logic and business rules are internally consistent and correctly applied</w:t>
            </w:r>
          </w:p>
        </w:tc>
        <w:tc>
          <w:tcPr>
            <w:tcW w:type="pct" w:w="25%"/>
          </w:tcPr>
          <w:p>
            <w:r>
              <w:rPr>
                <w:rFonts w:ascii="Calibri" w:cs="Calibri" w:eastAsia="Calibri" w:hAnsi="Calibri"/>
                <w:b w:val="false"/>
                <w:bCs w:val="false"/>
                <w:i w:val="false"/>
                <w:iCs w:val="false"/>
                <w:strike w:val="false"/>
                <w:color w:val="333333"/>
                <w:sz w:val="22"/>
                <w:szCs w:val="22"/>
              </w:rPr>
              <w:t xml:space="preserve">Rule conflicts, missing rule coverage, domain assumption violations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Prototype Translation Testing</w:t>
            </w:r>
          </w:p>
        </w:tc>
        <w:tc>
          <w:tcPr>
            <w:tcW w:type="pct" w:w="25%"/>
          </w:tcPr>
          <w:p>
            <w:r>
              <w:rPr>
                <w:rFonts w:ascii="Calibri" w:cs="Calibri" w:eastAsia="Calibri" w:hAnsi="Calibri"/>
                <w:b w:val="false"/>
                <w:bCs w:val="false"/>
                <w:i w:val="false"/>
                <w:iCs w:val="false"/>
                <w:strike w:val="false"/>
                <w:color w:val="333333"/>
                <w:sz w:val="22"/>
                <w:szCs w:val="22"/>
              </w:rPr>
              <w:t xml:space="preserve">PTT</w:t>
            </w:r>
          </w:p>
        </w:tc>
        <w:tc>
          <w:tcPr>
            <w:tcW w:type="pct" w:w="25%"/>
          </w:tcPr>
          <w:p>
            <w:r>
              <w:rPr>
                <w:rFonts w:ascii="Calibri" w:cs="Calibri" w:eastAsia="Calibri" w:hAnsi="Calibri"/>
                <w:b w:val="false"/>
                <w:bCs w:val="false"/>
                <w:i w:val="false"/>
                <w:iCs w:val="false"/>
                <w:strike w:val="false"/>
                <w:color w:val="333333"/>
                <w:sz w:val="22"/>
                <w:szCs w:val="22"/>
              </w:rPr>
              <w:t xml:space="preserve">Whether every specification is precise enough to be converted to executable code without ambiguity</w:t>
            </w:r>
          </w:p>
        </w:tc>
        <w:tc>
          <w:tcPr>
            <w:tcW w:type="pct" w:w="25%"/>
          </w:tcPr>
          <w:p>
            <w:r>
              <w:rPr>
                <w:rFonts w:ascii="Calibri" w:cs="Calibri" w:eastAsia="Calibri" w:hAnsi="Calibri"/>
                <w:b w:val="false"/>
                <w:bCs w:val="false"/>
                <w:i w:val="false"/>
                <w:iCs w:val="false"/>
                <w:strike w:val="false"/>
                <w:color w:val="333333"/>
                <w:sz w:val="22"/>
                <w:szCs w:val="22"/>
              </w:rPr>
              <w:t xml:space="preserve">Under-specification, missing type definitions, ambiguous control flow, untestable assertions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40.3 Discipline 1 — Feature Logic Testing (FLT)</w:t>
      </w:r>
    </w:p>
    <w:p>
      <w:pPr>
        <w:spacing w:after="240" w:line="360" w:lineRule="auto"/>
      </w:pPr>
      <w:r>
        <w:rPr>
          <w:rFonts w:ascii="Calibri" w:cs="Calibri" w:eastAsia="Calibri" w:hAnsi="Calibri"/>
          <w:b w:val="false"/>
          <w:bCs w:val="false"/>
          <w:i w:val="false"/>
          <w:iCs w:val="false"/>
          <w:strike w:val="false"/>
          <w:color w:val="333333"/>
          <w:sz w:val="22"/>
          <w:szCs w:val="22"/>
        </w:rPr>
        <w:t xml:space="preserve">Feature Logic Testing validates that each feature specified in the Bible is internally consistent. For every feature, the FLT process asks six questions.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State completeness — does the specification define the feature's behaviour for all possible input states, including error states, edge cases, and boundary conditions? A feature that specifies what happens when input is valid but not what happens when input is invalid, missing, or malformed is state-incomplete. (2) Transition validity — if the feature involves state changes, does the specification define every valid state transition and prohibit invalid ones? A feature whose state machine has reachable undefined states is transition-invalid. (3) Output determinism — given identical inputs, does the specification guarantee identical outputs? A specification that produces non-deterministic outputs without explicitly declaring and justifying non-determinism is output-indeterminate. (4) Precondition completeness — does the specification declare every condition that must be true before the feature can operate? A feature that can be invoked without its required preconditions being met is precondition-incomplete. (5) Postcondition completeness — does the specification declare every condition guaranteed to be true after the feature completes successfully? A feature with undeclared side effects is postcondition-incomplete. (6) Termination guarantee — for every process or pipeline, does the specification guarantee that the process terminates for all valid inputs? A pipeline that may run indefinitely under some input conditions without a termination guarantee is non-terminating.</w:t>
      </w:r>
    </w:p>
    <w:p>
      <w:pPr>
        <w:spacing w:after="240" w:line="360" w:lineRule="auto"/>
      </w:pPr>
      <w:r>
        <w:rPr>
          <w:rFonts w:ascii="Calibri" w:cs="Calibri" w:eastAsia="Calibri" w:hAnsi="Calibri"/>
          <w:b w:val="false"/>
          <w:bCs w:val="false"/>
          <w:i w:val="false"/>
          <w:iCs w:val="false"/>
          <w:strike w:val="false"/>
          <w:color w:val="333333"/>
          <w:sz w:val="22"/>
          <w:szCs w:val="22"/>
        </w:rPr>
        <w:t xml:space="preserve">FLT Test Record format: every FLT test is recorded as a structured entry containing: TestID (format FLT-[ChapterNumber]-[FeatureNumber]-[TestNumber]), FeatureName, ChapterRef, QuestionTested (one of the six above), InputState (the specific input condition being tested), ExpectedBehaviour (what the specification says should happen), ActualBehaviour (what logical analysis of the specification produces), Pass/Fail, and FailureDescription (populated on failure). A feature passes FLT when all six questions return Pass for all relevant input states.</w:t>
      </w:r>
    </w:p>
    <w:p>
      <w:pPr>
        <w:pStyle w:val="Heading2"/>
        <w:spacing w:after="120" w:before="240" w:line="288" w:lineRule="auto"/>
      </w:pPr>
      <w:r>
        <w:rPr>
          <w:rFonts w:ascii="Calibri" w:cs="Calibri" w:eastAsia="Calibri" w:hAnsi="Calibri"/>
          <w:color w:val="000000"/>
          <w:sz w:val="36"/>
          <w:szCs w:val="36"/>
        </w:rPr>
        <w:t xml:space="preserve">40.4 Discipline 2 — Dependency Graph Testing (DGT)</w:t>
      </w:r>
    </w:p>
    <w:p>
      <w:pPr>
        <w:spacing w:after="240" w:line="360" w:lineRule="auto"/>
      </w:pPr>
      <w:r>
        <w:rPr>
          <w:rFonts w:ascii="Calibri" w:cs="Calibri" w:eastAsia="Calibri" w:hAnsi="Calibri"/>
          <w:b w:val="false"/>
          <w:bCs w:val="false"/>
          <w:i w:val="false"/>
          <w:iCs w:val="false"/>
          <w:strike w:val="false"/>
          <w:color w:val="333333"/>
          <w:sz w:val="22"/>
          <w:szCs w:val="22"/>
        </w:rPr>
        <w:t xml:space="preserve">Dependency Graph Testing validates the complete map of inter-component dependencies in the QueryBook architecture. Every component specified in the Bible has inputs it requires and outputs it produces. DGT constructs the full dependency graph of the system and tests it for four properties.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(1) Input coverage — for every input a component requires, is there a specified component that produces that input? A component that requires an input not produced by any specified upstream component has an unsatisfied dependency. (2) Output reachability — for every output a component produces, is there at least one downstream component that consumes it? An output produced by no consumer is an orphaned output — it may indicate a missing component or a redundant specification. (3) Cycle detection — does the dependency graph contain any circular dependencies? A circular dependency (A requires B, B requires C, C requires A) makes the system uninitialisable unless the cycle is explicitly broken by a startup sequencing specification. (4) Assumption declaration — does every component explicitly declare all assumptions it makes about the state of the system when it is invoked? Undeclared assumptions are hidden dependencies — they create failures that are invisible at the specification level and catastrophic at the implementation level.</w:t>
      </w:r>
    </w:p>
    <w:p>
      <w:pPr>
        <w:spacing w:after="240" w:line="360" w:lineRule="auto"/>
      </w:pPr>
      <w:r>
        <w:rPr>
          <w:rFonts w:ascii="Calibri" w:cs="Calibri" w:eastAsia="Calibri" w:hAnsi="Calibri"/>
          <w:b w:val="false"/>
          <w:bCs w:val="false"/>
          <w:i w:val="false"/>
          <w:iCs w:val="false"/>
          <w:strike w:val="false"/>
          <w:color w:val="333333"/>
          <w:sz w:val="22"/>
          <w:szCs w:val="22"/>
        </w:rPr>
        <w:t xml:space="preserve">DGT Test Record format: TestID (format DGT-[ComponentA]-[ComponentB]-[TestNumber]), ComponentA, ComponentB, DependencyType (REQUIRES / PRODUCES / ASSUMES), Direction (A-to-B or B-to-A), Satisfied (Yes / No / Partial), and FailureDescription. The full DGT test suite for the Bible is maintained as the QueryBook Dependency Matrix — a living spreadsheet updated with every new component added to the specification.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Dependency Matrix rows: every component specified in the Bible. The QueryBook Dependency Matrix columns: every other component. Cells contain: REQUIRES (this component requires the column component's output), PRODUCES (this component produces output consumed by the column component), ASSUMES (this component assumes a state condition maintained by the column component), or NONE. A completed Dependency Matrix has no empty cells — every component pair has a declared relationship or an explicit NONE. Any REQUIRES cell whose corresponding PRODUCES cell in the column component's row is absent or marked NONE is an unsatisfied dependency failure.</w:t>
      </w:r>
    </w:p>
    <w:p>
      <w:pPr>
        <w:pStyle w:val="Heading2"/>
        <w:spacing w:after="120" w:before="240" w:line="288" w:lineRule="auto"/>
      </w:pPr>
      <w:r>
        <w:rPr>
          <w:rFonts w:ascii="Calibri" w:cs="Calibri" w:eastAsia="Calibri" w:hAnsi="Calibri"/>
          <w:color w:val="000000"/>
          <w:sz w:val="36"/>
          <w:szCs w:val="36"/>
        </w:rPr>
        <w:t xml:space="preserve">40.5 Discipline 3 — Algorithm Validation Testing (AVT)</w:t>
      </w:r>
    </w:p>
    <w:p>
      <w:pPr>
        <w:spacing w:after="240" w:line="360" w:lineRule="auto"/>
      </w:pPr>
      <w:r>
        <w:rPr>
          <w:rFonts w:ascii="Calibri" w:cs="Calibri" w:eastAsia="Calibri" w:hAnsi="Calibri"/>
          <w:b w:val="false"/>
          <w:bCs w:val="false"/>
          <w:i w:val="false"/>
          <w:iCs w:val="false"/>
          <w:strike w:val="false"/>
          <w:color w:val="333333"/>
          <w:sz w:val="22"/>
          <w:szCs w:val="22"/>
        </w:rPr>
        <w:t xml:space="preserve">Algorithm Validation Testing validates every formula, pipeline, scoring function, and multi-step process specified in the Bible. AVT is the discipline closest to conventional software unit testing — it treats each algorithm as a function, defines test cases with specific inputs and expected outputs, and verifies that the algorithm specification produces the correct output for each test case.</w:t>
      </w:r>
    </w:p>
    <w:p>
      <w:pPr>
        <w:spacing w:after="240" w:line="360" w:lineRule="auto"/>
      </w:pPr>
      <w:r>
        <w:rPr>
          <w:rFonts w:ascii="Calibri" w:cs="Calibri" w:eastAsia="Calibri" w:hAnsi="Calibri"/>
          <w:b w:val="false"/>
          <w:bCs w:val="false"/>
          <w:i w:val="false"/>
          <w:iCs w:val="false"/>
          <w:strike w:val="false"/>
          <w:color w:val="333333"/>
          <w:sz w:val="22"/>
          <w:szCs w:val="22"/>
        </w:rPr>
        <w:t xml:space="preserve">Five algorithm categories require AVT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Algorithm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AVT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Scoring formulas</w:t>
            </w:r>
          </w:p>
        </w:tc>
        <w:tc>
          <w:tcPr>
            <w:tcW w:type="pct" w:w="33%"/>
          </w:tcPr>
          <w:p>
            <w:r>
              <w:rPr>
                <w:rFonts w:ascii="Calibri" w:cs="Calibri" w:eastAsia="Calibri" w:hAnsi="Calibri"/>
                <w:b w:val="false"/>
                <w:bCs w:val="false"/>
                <w:i w:val="false"/>
                <w:iCs w:val="false"/>
                <w:strike w:val="false"/>
                <w:color w:val="333333"/>
                <w:sz w:val="22"/>
                <w:szCs w:val="22"/>
              </w:rPr>
              <w:t xml:space="preserve">ConfidenceScore calculation, EdgeWeight decay, SRW half-life</w:t>
            </w:r>
          </w:p>
        </w:tc>
        <w:tc>
          <w:tcPr>
            <w:tcW w:type="pct" w:w="34%"/>
          </w:tcPr>
          <w:p>
            <w:r>
              <w:rPr>
                <w:rFonts w:ascii="Calibri" w:cs="Calibri" w:eastAsia="Calibri" w:hAnsi="Calibri"/>
                <w:b w:val="false"/>
                <w:bCs w:val="false"/>
                <w:i w:val="false"/>
                <w:iCs w:val="false"/>
                <w:strike w:val="false"/>
                <w:color w:val="333333"/>
                <w:sz w:val="22"/>
                <w:szCs w:val="22"/>
              </w:rPr>
              <w:t xml:space="preserve">Mathematical proof: verify formula produces correct output at boundary values (0, 1, midpoint), at decay endpoints, and for all declared input types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Multi-stage pipelines</w:t>
            </w:r>
          </w:p>
        </w:tc>
        <w:tc>
          <w:tcPr>
            <w:tcW w:type="pct" w:w="33%"/>
          </w:tcPr>
          <w:p>
            <w:r>
              <w:rPr>
                <w:rFonts w:ascii="Calibri" w:cs="Calibri" w:eastAsia="Calibri" w:hAnsi="Calibri"/>
                <w:b w:val="false"/>
                <w:bCs w:val="false"/>
                <w:i w:val="false"/>
                <w:iCs w:val="false"/>
                <w:strike w:val="false"/>
                <w:color w:val="333333"/>
                <w:sz w:val="22"/>
                <w:szCs w:val="22"/>
              </w:rPr>
              <w:t xml:space="preserve">CSE six-stage pipeline, SSE four-stage segmentation, MRE regeneration pipeline</w:t>
            </w:r>
          </w:p>
        </w:tc>
        <w:tc>
          <w:tcPr>
            <w:tcW w:type="pct" w:w="34%"/>
          </w:tcPr>
          <w:p>
            <w:r>
              <w:rPr>
                <w:rFonts w:ascii="Calibri" w:cs="Calibri" w:eastAsia="Calibri" w:hAnsi="Calibri"/>
                <w:b w:val="false"/>
                <w:bCs w:val="false"/>
                <w:i w:val="false"/>
                <w:iCs w:val="false"/>
                <w:strike w:val="false"/>
                <w:color w:val="333333"/>
                <w:sz w:val="22"/>
                <w:szCs w:val="22"/>
              </w:rPr>
              <w:t xml:space="preserve">Stage-by-stage trace: for each pipeline, define a concrete input and trace it through every stage, verifying the output of each stage matches the next stage's expected input format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Graph traversal algorithms</w:t>
            </w:r>
          </w:p>
        </w:tc>
        <w:tc>
          <w:tcPr>
            <w:tcW w:type="pct" w:w="33%"/>
          </w:tcPr>
          <w:p>
            <w:r>
              <w:rPr>
                <w:rFonts w:ascii="Calibri" w:cs="Calibri" w:eastAsia="Calibri" w:hAnsi="Calibri"/>
                <w:b w:val="false"/>
                <w:bCs w:val="false"/>
                <w:i w:val="false"/>
                <w:iCs w:val="false"/>
                <w:strike w:val="false"/>
                <w:color w:val="333333"/>
                <w:sz w:val="22"/>
                <w:szCs w:val="22"/>
              </w:rPr>
              <w:t xml:space="preserve">Multi-hop Fact Graph traversal, ARE signal detection, Cross-Modal Binding lookup</w:t>
            </w:r>
          </w:p>
        </w:tc>
        <w:tc>
          <w:tcPr>
            <w:tcW w:type="pct" w:w="34%"/>
          </w:tcPr>
          <w:p>
            <w:r>
              <w:rPr>
                <w:rFonts w:ascii="Calibri" w:cs="Calibri" w:eastAsia="Calibri" w:hAnsi="Calibri"/>
                <w:b w:val="false"/>
                <w:bCs w:val="false"/>
                <w:i w:val="false"/>
                <w:iCs w:val="false"/>
                <w:strike w:val="false"/>
                <w:color w:val="333333"/>
                <w:sz w:val="22"/>
                <w:szCs w:val="22"/>
              </w:rPr>
              <w:t xml:space="preserve">Path coverage: define a minimal test graph with known structure, execute the traversal, verify that all and only the correct nodes are visited in the correct order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Matching and resolution algorithms</w:t>
            </w:r>
          </w:p>
        </w:tc>
        <w:tc>
          <w:tcPr>
            <w:tcW w:type="pct" w:w="33%"/>
          </w:tcPr>
          <w:p>
            <w:r>
              <w:rPr>
                <w:rFonts w:ascii="Calibri" w:cs="Calibri" w:eastAsia="Calibri" w:hAnsi="Calibri"/>
                <w:b w:val="false"/>
                <w:bCs w:val="false"/>
                <w:i w:val="false"/>
                <w:iCs w:val="false"/>
                <w:strike w:val="false"/>
                <w:color w:val="333333"/>
                <w:sz w:val="22"/>
                <w:szCs w:val="22"/>
              </w:rPr>
              <w:t xml:space="preserve">Coreference Resolution Protocol, FUID generation, Entity Resolution and Linking</w:t>
            </w:r>
          </w:p>
        </w:tc>
        <w:tc>
          <w:tcPr>
            <w:tcW w:type="pct" w:w="34%"/>
          </w:tcPr>
          <w:p>
            <w:r>
              <w:rPr>
                <w:rFonts w:ascii="Calibri" w:cs="Calibri" w:eastAsia="Calibri" w:hAnsi="Calibri"/>
                <w:b w:val="false"/>
                <w:bCs w:val="false"/>
                <w:i w:val="false"/>
                <w:iCs w:val="false"/>
                <w:strike w:val="false"/>
                <w:color w:val="333333"/>
                <w:sz w:val="22"/>
                <w:szCs w:val="22"/>
              </w:rPr>
              <w:t xml:space="preserve">Case table: define a complete table of input cases including exact matches, partial matches, ambiguous cases, and no-match cases; verify each produces the correct output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Threshold and decay functions</w:t>
            </w:r>
          </w:p>
        </w:tc>
        <w:tc>
          <w:tcPr>
            <w:tcW w:type="pct" w:w="33%"/>
          </w:tcPr>
          <w:p>
            <w:r>
              <w:rPr>
                <w:rFonts w:ascii="Calibri" w:cs="Calibri" w:eastAsia="Calibri" w:hAnsi="Calibri"/>
                <w:b w:val="false"/>
                <w:bCs w:val="false"/>
                <w:i w:val="false"/>
                <w:iCs w:val="false"/>
                <w:strike w:val="false"/>
                <w:color w:val="333333"/>
                <w:sz w:val="22"/>
                <w:szCs w:val="22"/>
              </w:rPr>
              <w:t xml:space="preserve">TMM sequence prediction, CSW consolidation threshold, SRW exponential decay</w:t>
            </w:r>
          </w:p>
        </w:tc>
        <w:tc>
          <w:tcPr>
            <w:tcW w:type="pct" w:w="34%"/>
          </w:tcPr>
          <w:p>
            <w:r>
              <w:rPr>
                <w:rFonts w:ascii="Calibri" w:cs="Calibri" w:eastAsia="Calibri" w:hAnsi="Calibri"/>
                <w:b w:val="false"/>
                <w:bCs w:val="false"/>
                <w:i w:val="false"/>
                <w:iCs w:val="false"/>
                <w:strike w:val="false"/>
                <w:color w:val="333333"/>
                <w:sz w:val="22"/>
                <w:szCs w:val="22"/>
              </w:rPr>
              <w:t xml:space="preserve">Boundary and monotonicity: verify the function is monotonic in the declared direction, reaches its declared limits at boundary inputs, and produces the declared output at the specified threshold values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AVT Test Record format: TestID (format AVT-[ChapterNumber]-[AlgorithmName]-[TestNumber]), AlgorithmName, ChapterRef, AlgorithmCategory, InputValues (specific values used for this test), ExpectedOutput (calculated from the specification's formula or process), ActualOutput (derived by applying the specification to the input values), Pass/Fail, and FailureDescription. An algorithm passes AVT when it produces the correct output for all defined test cases including all boundary conditions.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AVT requires that every algorithm in the Bible be expressed in a testable form. An algorithm specification is testable if and only if: (1) all input variables are named and typed, (2) all output variables are named and typed, (3) the transformation from input to output is expressed as a deterministic function or a deterministic sequence of steps, and (4) the expected output for at least three distinct input states — minimum, typical, and maximum — can be calculated from the specification alone without reference to implementation. Bible chapters that contain algorithms not meeting all four criteria are flagged as AVT-Incomplete and must be revised before the chapter can receive SVF-Validated status.</w:t>
      </w:r>
    </w:p>
    <w:p>
      <w:pPr>
        <w:pStyle w:val="Heading2"/>
        <w:spacing w:after="120" w:before="240" w:line="288" w:lineRule="auto"/>
      </w:pPr>
      <w:r>
        <w:rPr>
          <w:rFonts w:ascii="Calibri" w:cs="Calibri" w:eastAsia="Calibri" w:hAnsi="Calibri"/>
          <w:color w:val="000000"/>
          <w:sz w:val="36"/>
          <w:szCs w:val="36"/>
        </w:rPr>
        <w:t xml:space="preserve">40.6 Discipline 4 — Domain Rule Testing (DRT)</w:t>
      </w:r>
    </w:p>
    <w:p>
      <w:pPr>
        <w:spacing w:after="240" w:line="360" w:lineRule="auto"/>
      </w:pPr>
      <w:r>
        <w:rPr>
          <w:rFonts w:ascii="Calibri" w:cs="Calibri" w:eastAsia="Calibri" w:hAnsi="Calibri"/>
          <w:b w:val="false"/>
          <w:bCs w:val="false"/>
          <w:i w:val="false"/>
          <w:iCs w:val="false"/>
          <w:strike w:val="false"/>
          <w:color w:val="333333"/>
          <w:sz w:val="22"/>
          <w:szCs w:val="22"/>
        </w:rPr>
        <w:t xml:space="preserve">Domain Rule Testing validates the business rules, domain constraints, and operational policies specified in the Bible. Domain rules are the conditional constraints that govern how QueryBook behaves in specific situations — they are distinct from algorithms (which transform inputs to outputs) and from features (which describe capabilities). Domain rules govern what is permitted, what is prohibited, what is required, and what order operations must occur in.</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domain rule categories require DRT coverage.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Rule Category</w:t>
            </w:r>
          </w:p>
        </w:tc>
        <w:tc>
          <w:tcPr>
            <w:tcW w:type="pct" w:w="33%"/>
          </w:tcPr>
          <w:p>
            <w:r>
              <w:rPr>
                <w:rFonts w:ascii="Calibri" w:cs="Calibri" w:eastAsia="Calibri" w:hAnsi="Calibri"/>
                <w:b/>
                <w:bCs/>
                <w:i w:val="false"/>
                <w:iCs w:val="false"/>
                <w:strike w:val="false"/>
                <w:color w:val="333333"/>
                <w:sz w:val="22"/>
                <w:szCs w:val="22"/>
              </w:rPr>
              <w:t xml:space="preserve">Examples in Bible</w:t>
            </w:r>
          </w:p>
        </w:tc>
        <w:tc>
          <w:tcPr>
            <w:tcW w:type="pct" w:w="34%"/>
          </w:tcPr>
          <w:p>
            <w:r>
              <w:rPr>
                <w:rFonts w:ascii="Calibri" w:cs="Calibri" w:eastAsia="Calibri" w:hAnsi="Calibri"/>
                <w:b/>
                <w:bCs/>
                <w:i w:val="false"/>
                <w:iCs w:val="false"/>
                <w:strike w:val="false"/>
                <w:color w:val="333333"/>
                <w:sz w:val="22"/>
                <w:szCs w:val="22"/>
              </w:rPr>
              <w:t xml:space="preserve">DRT Test Approach</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Permission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evaluation, ICLQ license scope enforcement, Narrow Scope Rule</w:t>
            </w:r>
          </w:p>
        </w:tc>
        <w:tc>
          <w:tcPr>
            <w:tcW w:type="pct" w:w="34%"/>
          </w:tcPr>
          <w:p>
            <w:r>
              <w:rPr>
                <w:rFonts w:ascii="Calibri" w:cs="Calibri" w:eastAsia="Calibri" w:hAnsi="Calibri"/>
                <w:b w:val="false"/>
                <w:bCs w:val="false"/>
                <w:i w:val="false"/>
                <w:iCs w:val="false"/>
                <w:strike w:val="false"/>
                <w:color w:val="333333"/>
                <w:sz w:val="22"/>
                <w:szCs w:val="22"/>
              </w:rPr>
              <w:t xml:space="preserve">Equivalence partitioning: define all input states that should produce PERMIT and all that should produce DENY; verify every boundary between permitted and prohibited states is correctly specified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Sequencing rules</w:t>
            </w:r>
          </w:p>
        </w:tc>
        <w:tc>
          <w:tcPr>
            <w:tcW w:type="pct" w:w="33%"/>
          </w:tcPr>
          <w:p>
            <w:r>
              <w:rPr>
                <w:rFonts w:ascii="Calibri" w:cs="Calibri" w:eastAsia="Calibri" w:hAnsi="Calibri"/>
                <w:b w:val="false"/>
                <w:bCs w:val="false"/>
                <w:i w:val="false"/>
                <w:iCs w:val="false"/>
                <w:strike w:val="false"/>
                <w:color w:val="333333"/>
                <w:sz w:val="22"/>
                <w:szCs w:val="22"/>
              </w:rPr>
              <w:t xml:space="preserve">Ingestion pipeline stage order, RCAU token lifecycle, MSAT activation and expiry, Episodic Flush timing</w:t>
            </w:r>
          </w:p>
        </w:tc>
        <w:tc>
          <w:tcPr>
            <w:tcW w:type="pct" w:w="34%"/>
          </w:tcPr>
          <w:p>
            <w:r>
              <w:rPr>
                <w:rFonts w:ascii="Calibri" w:cs="Calibri" w:eastAsia="Calibri" w:hAnsi="Calibri"/>
                <w:b w:val="false"/>
                <w:bCs w:val="false"/>
                <w:i w:val="false"/>
                <w:iCs w:val="false"/>
                <w:strike w:val="false"/>
                <w:color w:val="333333"/>
                <w:sz w:val="22"/>
                <w:szCs w:val="22"/>
              </w:rPr>
              <w:t xml:space="preserve">State machine verification: draw the complete state machine implied by the rule; verify every state is reachable, every transition is defined, and no invalid state is reachable from any valid starting state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Conflict rules</w:t>
            </w:r>
          </w:p>
        </w:tc>
        <w:tc>
          <w:tcPr>
            <w:tcW w:type="pct" w:w="33%"/>
          </w:tcPr>
          <w:p>
            <w:r>
              <w:rPr>
                <w:rFonts w:ascii="Calibri" w:cs="Calibri" w:eastAsia="Calibri" w:hAnsi="Calibri"/>
                <w:b w:val="false"/>
                <w:bCs w:val="false"/>
                <w:i w:val="false"/>
                <w:iCs w:val="false"/>
                <w:strike w:val="false"/>
                <w:color w:val="333333"/>
                <w:sz w:val="22"/>
                <w:szCs w:val="22"/>
              </w:rPr>
              <w:t xml:space="preserve">PSOL policy conflict resolution (most restrictive default), ConfidenceScore contradiction handling, Fact Unit deduplication</w:t>
            </w:r>
          </w:p>
        </w:tc>
        <w:tc>
          <w:tcPr>
            <w:tcW w:type="pct" w:w="34%"/>
          </w:tcPr>
          <w:p>
            <w:r>
              <w:rPr>
                <w:rFonts w:ascii="Calibri" w:cs="Calibri" w:eastAsia="Calibri" w:hAnsi="Calibri"/>
                <w:b w:val="false"/>
                <w:bCs w:val="false"/>
                <w:i w:val="false"/>
                <w:iCs w:val="false"/>
                <w:strike w:val="false"/>
                <w:color w:val="333333"/>
                <w:sz w:val="22"/>
                <w:szCs w:val="22"/>
              </w:rPr>
              <w:t xml:space="preserve">Conflict table: enumerate all pairs of rules that could conflict; for each pair, verify that the specification unambiguously specifies which rule takes precedence and under what conditions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DRT Test Record format: TestID (format DRT-[RuleCategory]-[RuleID]-[TestNumber]), RuleName, ChapterRef, RuleCategory, InputCondition, ExpectedRuleOutcome, ActualRuleOutcome (from logical analysis of the specification), Pass/Fail, and FailureDescription. A domain rule passes DRT when it produces the correct outcome for all input conditions in its equivalence partition table, has a complete and valid state machine if sequencing-governed, and has no unresolved conflict with any other rule in the Bible.</w:t>
      </w:r>
    </w:p>
    <w:p>
      <w:pPr>
        <w:spacing w:after="240" w:line="360" w:lineRule="auto"/>
      </w:pPr>
      <w:r>
        <w:rPr>
          <w:rFonts w:ascii="Calibri" w:cs="Calibri" w:eastAsia="Calibri" w:hAnsi="Calibri"/>
          <w:b w:val="false"/>
          <w:bCs w:val="false"/>
          <w:i w:val="false"/>
          <w:iCs w:val="false"/>
          <w:strike w:val="false"/>
          <w:color w:val="333333"/>
          <w:sz w:val="22"/>
          <w:szCs w:val="22"/>
        </w:rPr>
        <w:t xml:space="preserve">DRT additionally requires a Cross-Rule Consistency Check (CRCC): after all individual rules have been tested, every pair of rules that govern the same component or the same decision point is tested together to verify that applying both rules simultaneously to the same input produces a determinate, non-contradictory outcome. CRCC failures are the most dangerous class of domain rule error because they are invisible when rules are tested individually but catastrophic when both rules are active simultaneously in production.</w:t>
      </w:r>
    </w:p>
    <w:p>
      <w:pPr>
        <w:pStyle w:val="Heading2"/>
        <w:spacing w:after="120" w:before="240" w:line="288" w:lineRule="auto"/>
      </w:pPr>
      <w:r>
        <w:rPr>
          <w:rFonts w:ascii="Calibri" w:cs="Calibri" w:eastAsia="Calibri" w:hAnsi="Calibri"/>
          <w:color w:val="000000"/>
          <w:sz w:val="36"/>
          <w:szCs w:val="36"/>
        </w:rPr>
        <w:t xml:space="preserve">40.7 Discipline 5 — Prototype Translation Testing (PTT)</w:t>
      </w:r>
    </w:p>
    <w:p>
      <w:pPr>
        <w:spacing w:after="240" w:line="360" w:lineRule="auto"/>
      </w:pPr>
      <w:r>
        <w:rPr>
          <w:rFonts w:ascii="Calibri" w:cs="Calibri" w:eastAsia="Calibri" w:hAnsi="Calibri"/>
          <w:b w:val="false"/>
          <w:bCs w:val="false"/>
          <w:i w:val="false"/>
          <w:iCs w:val="false"/>
          <w:strike w:val="false"/>
          <w:color w:val="333333"/>
          <w:sz w:val="22"/>
          <w:szCs w:val="22"/>
        </w:rPr>
        <w:t xml:space="preserve">Prototype Translation Testing is the bridge between specification and implementation. PTT validates that every specification in the Bible is expressed with sufficient precision to be converted to executable code without requiring the implementing engineer to make architectural decisions that should have been made in the specification. A specification that requires an engineer to invent missing details is not a specification — it is a sketch. PTT identifies all sketches in the Bible and flags them for specification completion before any prototype code is written.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applies a six-stage compiler model to each specification. The compiler model treats the Bible as source code and attempts to compile it into implementation artifacts. If compilation fails at any stage, the stage and the specific failure are recorded as a PTT finding requiring specification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Stage</w:t>
            </w:r>
          </w:p>
        </w:tc>
        <w:tc>
          <w:tcPr>
            <w:tcW w:type="pct" w:w="25%"/>
          </w:tcPr>
          <w:p>
            <w:r>
              <w:rPr>
                <w:rFonts w:ascii="Calibri" w:cs="Calibri" w:eastAsia="Calibri" w:hAnsi="Calibri"/>
                <w:b/>
                <w:bCs/>
                <w:i w:val="false"/>
                <w:iCs w:val="false"/>
                <w:strike w:val="false"/>
                <w:color w:val="333333"/>
                <w:sz w:val="22"/>
                <w:szCs w:val="22"/>
              </w:rPr>
              <w:t xml:space="preserve">Compiler Operation</w:t>
            </w:r>
          </w:p>
        </w:tc>
        <w:tc>
          <w:tcPr>
            <w:tcW w:type="pct" w:w="25%"/>
          </w:tcPr>
          <w:p>
            <w:r>
              <w:rPr>
                <w:rFonts w:ascii="Calibri" w:cs="Calibri" w:eastAsia="Calibri" w:hAnsi="Calibri"/>
                <w:b/>
                <w:bCs/>
                <w:i w:val="false"/>
                <w:iCs w:val="false"/>
                <w:strike w:val="false"/>
                <w:color w:val="333333"/>
                <w:sz w:val="22"/>
                <w:szCs w:val="22"/>
              </w:rPr>
              <w:t xml:space="preserve">What It Produces</w:t>
            </w:r>
          </w:p>
        </w:tc>
        <w:tc>
          <w:tcPr>
            <w:tcW w:type="pct" w:w="25%"/>
          </w:tcPr>
          <w:p>
            <w:r>
              <w:rPr>
                <w:rFonts w:ascii="Calibri" w:cs="Calibri" w:eastAsia="Calibri" w:hAnsi="Calibri"/>
                <w:b/>
                <w:bCs/>
                <w:i w:val="false"/>
                <w:iCs w:val="false"/>
                <w:strike w:val="false"/>
                <w:color w:val="333333"/>
                <w:sz w:val="22"/>
                <w:szCs w:val="22"/>
              </w:rPr>
              <w:t xml:space="preserve">PTT Failure Condition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Extraction</w:t>
            </w:r>
          </w:p>
        </w:tc>
        <w:tc>
          <w:tcPr>
            <w:tcW w:type="pct" w:w="25%"/>
          </w:tcPr>
          <w:p>
            <w:r>
              <w:rPr>
                <w:rFonts w:ascii="Calibri" w:cs="Calibri" w:eastAsia="Calibri" w:hAnsi="Calibri"/>
                <w:b w:val="false"/>
                <w:bCs w:val="false"/>
                <w:i w:val="false"/>
                <w:iCs w:val="false"/>
                <w:strike w:val="false"/>
                <w:color w:val="333333"/>
                <w:sz w:val="22"/>
                <w:szCs w:val="22"/>
              </w:rPr>
              <w:t xml:space="preserve">Extract all inputs and outputs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input or output lacks a declared type, name, or valid range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Schema Generation</w:t>
            </w:r>
          </w:p>
        </w:tc>
        <w:tc>
          <w:tcPr>
            <w:tcW w:type="pct" w:w="25%"/>
          </w:tcPr>
          <w:p>
            <w:r>
              <w:rPr>
                <w:rFonts w:ascii="Calibri" w:cs="Calibri" w:eastAsia="Calibri" w:hAnsi="Calibri"/>
                <w:b w:val="false"/>
                <w:bCs w:val="false"/>
                <w:i w:val="false"/>
                <w:iCs w:val="false"/>
                <w:strike w:val="false"/>
                <w:color w:val="333333"/>
                <w:sz w:val="22"/>
                <w:szCs w:val="22"/>
              </w:rPr>
              <w:t xml:space="preserve">Convert every Fact Unit, policy object, and data structure to a typed schema</w:t>
            </w:r>
          </w:p>
        </w:tc>
        <w:tc>
          <w:tcPr>
            <w:tcW w:type="pct" w:w="25%"/>
          </w:tcPr>
          <w:p>
            <w:r>
              <w:rPr>
                <w:rFonts w:ascii="Calibri" w:cs="Calibri" w:eastAsia="Calibri" w:hAnsi="Calibri"/>
                <w:b w:val="false"/>
                <w:bCs w:val="false"/>
                <w:i w:val="false"/>
                <w:iCs w:val="false"/>
                <w:strike w:val="false"/>
                <w:color w:val="333333"/>
                <w:sz w:val="22"/>
                <w:szCs w:val="22"/>
              </w:rPr>
              <w:t xml:space="preserve">Complete data schema for every structured object in the specification</w:t>
            </w:r>
          </w:p>
        </w:tc>
        <w:tc>
          <w:tcPr>
            <w:tcW w:type="pct" w:w="25%"/>
          </w:tcPr>
          <w:p>
            <w:r>
              <w:rPr>
                <w:rFonts w:ascii="Calibri" w:cs="Calibri" w:eastAsia="Calibri" w:hAnsi="Calibri"/>
                <w:b w:val="false"/>
                <w:bCs w:val="false"/>
                <w:i w:val="false"/>
                <w:iCs w:val="false"/>
                <w:strike w:val="false"/>
                <w:color w:val="333333"/>
                <w:sz w:val="22"/>
                <w:szCs w:val="22"/>
              </w:rPr>
              <w:t xml:space="preserve">Any field lacks a declared type, any relationship lacks declared cardinality, any optional field lacks a default value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w:t>
            </w:r>
          </w:p>
        </w:tc>
        <w:tc>
          <w:tcPr>
            <w:tcW w:type="pct" w:w="25%"/>
          </w:tcPr>
          <w:p>
            <w:r>
              <w:rPr>
                <w:rFonts w:ascii="Calibri" w:cs="Calibri" w:eastAsia="Calibri" w:hAnsi="Calibri"/>
                <w:b w:val="false"/>
                <w:bCs w:val="false"/>
                <w:i w:val="false"/>
                <w:iCs w:val="false"/>
                <w:strike w:val="false"/>
                <w:color w:val="333333"/>
                <w:sz w:val="22"/>
                <w:szCs w:val="22"/>
              </w:rPr>
              <w:t xml:space="preserve">Convert every algorithm specification to language-agnostic pseudocode</w:t>
            </w:r>
          </w:p>
        </w:tc>
        <w:tc>
          <w:tcPr>
            <w:tcW w:type="pct" w:w="25%"/>
          </w:tcPr>
          <w:p>
            <w:r>
              <w:rPr>
                <w:rFonts w:ascii="Calibri" w:cs="Calibri" w:eastAsia="Calibri" w:hAnsi="Calibri"/>
                <w:b w:val="false"/>
                <w:bCs w:val="false"/>
                <w:i w:val="false"/>
                <w:iCs w:val="false"/>
                <w:strike w:val="false"/>
                <w:color w:val="333333"/>
                <w:sz w:val="22"/>
                <w:szCs w:val="22"/>
              </w:rPr>
              <w:t xml:space="preserve">Executable pseudocode for every algorithm</w:t>
            </w:r>
          </w:p>
        </w:tc>
        <w:tc>
          <w:tcPr>
            <w:tcW w:type="pct" w:w="25%"/>
          </w:tcPr>
          <w:p>
            <w:r>
              <w:rPr>
                <w:rFonts w:ascii="Calibri" w:cs="Calibri" w:eastAsia="Calibri" w:hAnsi="Calibri"/>
                <w:b w:val="false"/>
                <w:bCs w:val="false"/>
                <w:i w:val="false"/>
                <w:iCs w:val="false"/>
                <w:strike w:val="false"/>
                <w:color w:val="333333"/>
                <w:sz w:val="22"/>
                <w:szCs w:val="22"/>
              </w:rPr>
              <w:t xml:space="preserve">Any algorithm step is expressed in natural language without a deterministic operational equivalent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Signature</w:t>
            </w:r>
          </w:p>
        </w:tc>
        <w:tc>
          <w:tcPr>
            <w:tcW w:type="pct" w:w="25%"/>
          </w:tcPr>
          <w:p>
            <w:r>
              <w:rPr>
                <w:rFonts w:ascii="Calibri" w:cs="Calibri" w:eastAsia="Calibri" w:hAnsi="Calibri"/>
                <w:b w:val="false"/>
                <w:bCs w:val="false"/>
                <w:i w:val="false"/>
                <w:iCs w:val="false"/>
                <w:strike w:val="false"/>
                <w:color w:val="333333"/>
                <w:sz w:val="22"/>
                <w:szCs w:val="22"/>
              </w:rPr>
              <w:t xml:space="preserve">Define the public API signature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Typed function signatures with named parameters and return types</w:t>
            </w:r>
          </w:p>
        </w:tc>
        <w:tc>
          <w:tcPr>
            <w:tcW w:type="pct" w:w="25%"/>
          </w:tcPr>
          <w:p>
            <w:r>
              <w:rPr>
                <w:rFonts w:ascii="Calibri" w:cs="Calibri" w:eastAsia="Calibri" w:hAnsi="Calibri"/>
                <w:b w:val="false"/>
                <w:bCs w:val="false"/>
                <w:i w:val="false"/>
                <w:iCs w:val="false"/>
                <w:strike w:val="false"/>
                <w:color w:val="333333"/>
                <w:sz w:val="22"/>
                <w:szCs w:val="22"/>
              </w:rPr>
              <w:t xml:space="preserve">Any component lacks a defined invocation interface or return contract</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w:t>
            </w:r>
          </w:p>
        </w:tc>
        <w:tc>
          <w:tcPr>
            <w:tcW w:type="pct" w:w="25%"/>
          </w:tcPr>
          <w:p>
            <w:r>
              <w:rPr>
                <w:rFonts w:ascii="Calibri" w:cs="Calibri" w:eastAsia="Calibri" w:hAnsi="Calibri"/>
                <w:b w:val="false"/>
                <w:bCs w:val="false"/>
                <w:i w:val="false"/>
                <w:iCs w:val="false"/>
                <w:strike w:val="false"/>
                <w:color w:val="333333"/>
                <w:sz w:val="22"/>
                <w:szCs w:val="22"/>
              </w:rPr>
              <w:t xml:space="preserve">Generate a minimal test case for every API signature</w:t>
            </w:r>
          </w:p>
        </w:tc>
        <w:tc>
          <w:tcPr>
            <w:tcW w:type="pct" w:w="25%"/>
          </w:tcPr>
          <w:p>
            <w:r>
              <w:rPr>
                <w:rFonts w:ascii="Calibri" w:cs="Calibri" w:eastAsia="Calibri" w:hAnsi="Calibri"/>
                <w:b w:val="false"/>
                <w:bCs w:val="false"/>
                <w:i w:val="false"/>
                <w:iCs w:val="false"/>
                <w:strike w:val="false"/>
                <w:color w:val="333333"/>
                <w:sz w:val="22"/>
                <w:szCs w:val="22"/>
              </w:rPr>
              <w:t xml:space="preserve">Compilable (not yet executable) test stubs for every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cannot be invoked with a concrete set of parameter values derived entirely from the specification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Language Mapping</w:t>
            </w:r>
          </w:p>
        </w:tc>
        <w:tc>
          <w:tcPr>
            <w:tcW w:type="pct" w:w="25%"/>
          </w:tcPr>
          <w:p>
            <w:r>
              <w:rPr>
                <w:rFonts w:ascii="Calibri" w:cs="Calibri" w:eastAsia="Calibri" w:hAnsi="Calibri"/>
                <w:b w:val="false"/>
                <w:bCs w:val="false"/>
                <w:i w:val="false"/>
                <w:iCs w:val="false"/>
                <w:strike w:val="false"/>
                <w:color w:val="333333"/>
                <w:sz w:val="22"/>
                <w:szCs w:val="22"/>
              </w:rPr>
              <w:t xml:space="preserve">Identify the optimal implementation language for each component</w:t>
            </w:r>
          </w:p>
        </w:tc>
        <w:tc>
          <w:tcPr>
            <w:tcW w:type="pct" w:w="25%"/>
          </w:tcPr>
          <w:p>
            <w:r>
              <w:rPr>
                <w:rFonts w:ascii="Calibri" w:cs="Calibri" w:eastAsia="Calibri" w:hAnsi="Calibri"/>
                <w:b w:val="false"/>
                <w:bCs w:val="false"/>
                <w:i w:val="false"/>
                <w:iCs w:val="false"/>
                <w:strike w:val="false"/>
                <w:color w:val="333333"/>
                <w:sz w:val="22"/>
                <w:szCs w:val="22"/>
              </w:rPr>
              <w:t xml:space="preserve">Implementation language recommendation per component</w:t>
            </w:r>
          </w:p>
        </w:tc>
        <w:tc>
          <w:tcPr>
            <w:tcW w:type="pct" w:w="25%"/>
          </w:tcPr>
          <w:p>
            <w:r>
              <w:rPr>
                <w:rFonts w:ascii="Calibri" w:cs="Calibri" w:eastAsia="Calibri" w:hAnsi="Calibri"/>
                <w:b w:val="false"/>
                <w:bCs w:val="false"/>
                <w:i w:val="false"/>
                <w:iCs w:val="false"/>
                <w:strike w:val="false"/>
                <w:color w:val="333333"/>
                <w:sz w:val="22"/>
                <w:szCs w:val="22"/>
              </w:rPr>
              <w:t xml:space="preserve">Any component has a specification that is incompatible with all available implementation languages</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PTT Test Record format: TestID (format PTT-[ChapterNumber]-[ComponentName]-[StageNumber]), ComponentName, ChapterRef, CompilerStage (1 through 6), StageInput (the specification text being compiled), StageOutput (the artifact produced — interface definition, schema, pseudocode, API signature, test stub, or language recommendation), Pass/Fail, and FailureDescription. A component passes PTT when all six compiler stages complete successfully and the Stage 5 test harness is compilable — meaning the specification is fully translatable to code without any missing information.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PTT additionally defines three specification quality grades based on compiler stage outcomes: Grade A (Prototype-Ready) — all six stages pass; the specification can be handed to an engineer with no additional discussion. Grade B (Revision Required) — Stages 1 through 4 pass but Stage 5 or 6 fails; the specification is architecturally sound but needs precision improvements before coding begins. Grade C (Incomplete) — any of Stages 1 through 4 fail; the specification contains fundamental gaps that must be resolved at the architecture level before any implementation work begins. No chapter may be marked SVF-Validated unless every component in the chapter is Grade A or Grade B. Grade C findings block chapter validation until resolved.</w:t>
      </w:r>
    </w:p>
    <w:p>
      <w:pPr>
        <w:pStyle w:val="Heading2"/>
        <w:spacing w:after="120" w:before="240" w:line="288" w:lineRule="auto"/>
      </w:pPr>
      <w:r>
        <w:rPr>
          <w:rFonts w:ascii="Calibri" w:cs="Calibri" w:eastAsia="Calibri" w:hAnsi="Calibri"/>
          <w:color w:val="000000"/>
          <w:sz w:val="36"/>
          <w:szCs w:val="36"/>
        </w:rPr>
        <w:t xml:space="preserve">40.8 The SVF Test Record — Universal Schema</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test conducted under any of the five disciplines is recorded using the following universal ten-field schema. The test record is the permanent evidence of validation. It is stored in the Bible Test Registry (Section 40.10) and is the authoritative record for patent prosecution, engineering handoff, and audit purposes.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Field</w:t>
            </w:r>
          </w:p>
        </w:tc>
        <w:tc>
          <w:tcPr>
            <w:tcW w:type="pct" w:w="33%"/>
          </w:tcPr>
          <w:p>
            <w:r>
              <w:rPr>
                <w:rFonts w:ascii="Calibri" w:cs="Calibri" w:eastAsia="Calibri" w:hAnsi="Calibri"/>
                <w:b/>
                <w:bCs/>
                <w:i w:val="false"/>
                <w:iCs w:val="false"/>
                <w:strike w:val="false"/>
                <w:color w:val="333333"/>
                <w:sz w:val="22"/>
                <w:szCs w:val="22"/>
              </w:rPr>
              <w:t xml:space="preserve">Type</w:t>
            </w:r>
          </w:p>
        </w:tc>
        <w:tc>
          <w:tcPr>
            <w:tcW w:type="pct" w:w="34%"/>
          </w:tcPr>
          <w:p>
            <w:r>
              <w:rPr>
                <w:rFonts w:ascii="Calibri" w:cs="Calibri" w:eastAsia="Calibri" w:hAnsi="Calibri"/>
                <w:b/>
                <w:bCs/>
                <w:i w:val="false"/>
                <w:iCs w:val="false"/>
                <w:strike w:val="false"/>
                <w:color w:val="333333"/>
                <w:sz w:val="22"/>
                <w:szCs w:val="22"/>
              </w:rPr>
              <w:t xml:space="preserve">Description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TestID</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Unique identifier in format [DisciplineCode]-[ChapterRef]-[ComponentRef]-[SequenceNumber]</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Discipline</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One of: FLT, DGT, AVT, DRT, PTT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ChapterRef</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Bible chapter and section number containing the specification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ComponentName</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The canonical name of the feature, algorithm, rule, or component being tested</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TestDescription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One sentence describing what this specific test validates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InputCondition</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The specific input state, parameter values, or scenario applied in this test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ExpectedOutcome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the specification declares should happen given the InputCondition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ActualOutcome</w:t>
            </w:r>
          </w:p>
        </w:tc>
        <w:tc>
          <w:tcPr>
            <w:tcW w:type="pct" w:w="33%"/>
          </w:tcPr>
          <w:p>
            <w:r>
              <w:rPr>
                <w:rFonts w:ascii="Calibri" w:cs="Calibri" w:eastAsia="Calibri" w:hAnsi="Calibri"/>
                <w:b w:val="false"/>
                <w:bCs w:val="false"/>
                <w:i w:val="false"/>
                <w:iCs w:val="false"/>
                <w:strike w:val="false"/>
                <w:color w:val="333333"/>
                <w:sz w:val="22"/>
                <w:szCs w:val="22"/>
              </w:rPr>
              <w:t xml:space="preserve">Structured</w:t>
            </w:r>
          </w:p>
        </w:tc>
        <w:tc>
          <w:tcPr>
            <w:tcW w:type="pct" w:w="34%"/>
          </w:tcPr>
          <w:p>
            <w:r>
              <w:rPr>
                <w:rFonts w:ascii="Calibri" w:cs="Calibri" w:eastAsia="Calibri" w:hAnsi="Calibri"/>
                <w:b w:val="false"/>
                <w:bCs w:val="false"/>
                <w:i w:val="false"/>
                <w:iCs w:val="false"/>
                <w:strike w:val="false"/>
                <w:color w:val="333333"/>
                <w:sz w:val="22"/>
                <w:szCs w:val="22"/>
              </w:rPr>
              <w:t xml:space="preserve">What logical analysis or algorithmic evaluation of the specification produces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Result</w:t>
            </w:r>
          </w:p>
        </w:tc>
        <w:tc>
          <w:tcPr>
            <w:tcW w:type="pct" w:w="33%"/>
          </w:tcPr>
          <w:p>
            <w:r>
              <w:rPr>
                <w:rFonts w:ascii="Calibri" w:cs="Calibri" w:eastAsia="Calibri" w:hAnsi="Calibri"/>
                <w:b w:val="false"/>
                <w:bCs w:val="false"/>
                <w:i w:val="false"/>
                <w:iCs w:val="false"/>
                <w:strike w:val="false"/>
                <w:color w:val="333333"/>
                <w:sz w:val="22"/>
                <w:szCs w:val="22"/>
              </w:rPr>
              <w:t xml:space="preserve">Enum</w:t>
            </w:r>
          </w:p>
        </w:tc>
        <w:tc>
          <w:tcPr>
            <w:tcW w:type="pct" w:w="34%"/>
          </w:tcPr>
          <w:p>
            <w:r>
              <w:rPr>
                <w:rFonts w:ascii="Calibri" w:cs="Calibri" w:eastAsia="Calibri" w:hAnsi="Calibri"/>
                <w:b w:val="false"/>
                <w:bCs w:val="false"/>
                <w:i w:val="false"/>
                <w:iCs w:val="false"/>
                <w:strike w:val="false"/>
                <w:color w:val="333333"/>
                <w:sz w:val="22"/>
                <w:szCs w:val="22"/>
              </w:rPr>
              <w:t xml:space="preserve">PASS, FAIL, or INCOMPLETE (specification does not contain enough information to evaluate)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FindingDescription</w:t>
            </w:r>
          </w:p>
        </w:tc>
        <w:tc>
          <w:tcPr>
            <w:tcW w:type="pct" w:w="33%"/>
          </w:tcPr>
          <w:p>
            <w:r>
              <w:rPr>
                <w:rFonts w:ascii="Calibri" w:cs="Calibri" w:eastAsia="Calibri" w:hAnsi="Calibri"/>
                <w:b w:val="false"/>
                <w:bCs w:val="false"/>
                <w:i w:val="false"/>
                <w:iCs w:val="false"/>
                <w:strike w:val="false"/>
                <w:color w:val="333333"/>
                <w:sz w:val="22"/>
                <w:szCs w:val="22"/>
              </w:rPr>
              <w:t xml:space="preserve">String</w:t>
            </w:r>
          </w:p>
        </w:tc>
        <w:tc>
          <w:tcPr>
            <w:tcW w:type="pct" w:w="34%"/>
          </w:tcPr>
          <w:p>
            <w:r>
              <w:rPr>
                <w:rFonts w:ascii="Calibri" w:cs="Calibri" w:eastAsia="Calibri" w:hAnsi="Calibri"/>
                <w:b w:val="false"/>
                <w:bCs w:val="false"/>
                <w:i w:val="false"/>
                <w:iCs w:val="false"/>
                <w:strike w:val="false"/>
                <w:color w:val="333333"/>
                <w:sz w:val="22"/>
                <w:szCs w:val="22"/>
              </w:rPr>
              <w:t xml:space="preserve">Required on FAIL or INCOMPLETE: exact description of the specification error and the specific text that must be revised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40.9 The SVF Validation Lifecycle — Chapter-by-Chapter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Every chapter of the Bible passes through a six-phase validation lifecycle before receiving SVF-Validated status. No chapter is handed to engineers for prototype development until it holds SVF-Validated status.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1 — Initial Draft: the chapter is written. No SVF testing occurs during drafting. The author focuses on completeness of specification, not on validation. Phase 1 is complete when the chapter author declares the chapter ready for validation.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2 — FLT and DGT Pass: Feature Logic Testing and Dependency Graph Testing are conducted simultaneously. These are the fastest disciplines and catch the most common and most fundamental errors. Any FAIL or INCOMPLETE findings are returned to the chapter author as a Revision Request. Phase 2 iterates until all FLT and DGT tests pass. Phase 2 may not be skipped — no chapter advances to Phase 3 until Phase 2 is complete.</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3 — AVT Pass: Algorithm Validation Testing is conducted for all algorithms in the chapter. AVT requires that all algorithm specifications be expressed in testable form (all four criteria in Section 40.5 met) before testing begins. Specifications not yet in testable form are returned as Grade C PTT findings. Phase 3 iterates until all AVT tests pass.</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4 — DRT Pass: Domain Rule Testing is conducted for all rules in the chapter, including the Cross-Rule Consistency Check with all rules already in the Bible. DRT is the discipline most likely to produce findings that require changes to chapters other than the one being tested — because a new rule may conflict with an existing rule in a previously validated chapter. When a DRT finding requires revision of a previously validated chapter, that chapter is returned to Phase 2 for re-validation of the affected section.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5 — PTT Pass: Prototype Translation Testing is conducted for all components in the chapter. The six-stage compiler model is applied to every component. Grade C findings are resolved before Phase 5 can complete. Grade B findings are documented as known precision gaps and resolved before engineering handoff. Phase 5 completion requires every component to be Grade A or Grade B.</w:t>
      </w:r>
    </w:p>
    <w:p>
      <w:pPr>
        <w:spacing w:after="240" w:line="360" w:lineRule="auto"/>
      </w:pPr>
      <w:r>
        <w:rPr>
          <w:rFonts w:ascii="Calibri" w:cs="Calibri" w:eastAsia="Calibri" w:hAnsi="Calibri"/>
          <w:b w:val="false"/>
          <w:bCs w:val="false"/>
          <w:i w:val="false"/>
          <w:iCs w:val="false"/>
          <w:strike w:val="false"/>
          <w:color w:val="333333"/>
          <w:sz w:val="22"/>
          <w:szCs w:val="22"/>
        </w:rPr>
        <w:t xml:space="preserve">Phase 6 — SVF-Validated Status: the chapter is marked SVF-Validated in the Bible Test Registry with the validation date, the names of all test authors, the total number of tests conducted, and the total number of findings resolved. The SVF-Validated stamp is the authoritative signal that the chapter is specification-complete, logically consistent, algorithmically correct, domain-sound, and prototype-translatable.</w:t>
      </w:r>
    </w:p>
    <w:p>
      <w:pPr>
        <w:pStyle w:val="Heading2"/>
        <w:spacing w:after="120" w:before="240" w:line="288" w:lineRule="auto"/>
      </w:pPr>
      <w:r>
        <w:rPr>
          <w:rFonts w:ascii="Calibri" w:cs="Calibri" w:eastAsia="Calibri" w:hAnsi="Calibri"/>
          <w:color w:val="000000"/>
          <w:sz w:val="36"/>
          <w:szCs w:val="36"/>
        </w:rPr>
        <w:t xml:space="preserve">40.10 The Bible Test Registry</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 Test Registry is a living document maintained as a structured appendix to the Bible. It contains one entry per SVF test conducted, organized by chapter and discipline. The Registry serves four purposes: (1) Patent prosecution evidence — the complete test record demonstrates that every claim in every chapter has been logically validated, strengthening the prosecution case for each patent application derived from the Bible. (2) Engineering handoff — engineers receiving a chapter for prototype development can review all PTT Grade B findings to understand known precision gaps and their planned resolutions. (3) Regression tracking — when a chapter is revised, only the tests affected by the revision need to be re-run, not the full chapter suite. The Registry identifies which tests are affected by which specification sections. (4) Coverage reporting — the Registry generates a live coverage report: what percentage of Bible features have been FLT-tested, what percentage of algorithms have been AVT-tested, what percentage of components are PTT Grade A. The coverage report is the headline metric for specification quality.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Registry entry structure follows the universal ten-field SVF Test Record schema defined in Section 40.8. Entries are immutable once written — failures and findings are never deleted, only superseded by a new passing test entry referencing the original failing TestID.</w:t>
      </w:r>
    </w:p>
    <w:p>
      <w:pPr>
        <w:pStyle w:val="Heading2"/>
        <w:spacing w:after="120" w:before="240" w:line="288" w:lineRule="auto"/>
      </w:pPr>
      <w:r>
        <w:rPr>
          <w:rFonts w:ascii="Calibri" w:cs="Calibri" w:eastAsia="Calibri" w:hAnsi="Calibri"/>
          <w:color w:val="000000"/>
          <w:sz w:val="36"/>
          <w:szCs w:val="36"/>
        </w:rPr>
        <w:t xml:space="preserve">40.11 Bible-to-Prototype Compilation Pipeline</w:t>
      </w:r>
    </w:p>
    <w:p>
      <w:pPr>
        <w:spacing w:after="240" w:line="360" w:lineRule="auto"/>
      </w:pPr>
      <w:r>
        <w:rPr>
          <w:rFonts w:ascii="Calibri" w:cs="Calibri" w:eastAsia="Calibri" w:hAnsi="Calibri"/>
          <w:b w:val="false"/>
          <w:bCs w:val="false"/>
          <w:i w:val="false"/>
          <w:iCs w:val="false"/>
          <w:strike w:val="false"/>
          <w:color w:val="333333"/>
          <w:sz w:val="22"/>
          <w:szCs w:val="22"/>
        </w:rPr>
        <w:t xml:space="preserve">When a chapter achieves SVF-Validated status, it enters the Bible-to-Prototype Compilation Pipeline — the structured process by which specification artifacts are converted to engineering deliverables ready for prototype development. The pipeline has six stages, corresponding directly to the PTT compiler model stages in Section 40.7. The pipeline does not write production code — it produces the engineering artifacts that allow engineers to write production code correctly from the first attempt.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Pipeline Stage</w:t>
            </w:r>
          </w:p>
        </w:tc>
        <w:tc>
          <w:tcPr>
            <w:tcW w:type="pct" w:w="25%"/>
          </w:tcPr>
          <w:p>
            <w:r>
              <w:rPr>
                <w:rFonts w:ascii="Calibri" w:cs="Calibri" w:eastAsia="Calibri" w:hAnsi="Calibri"/>
                <w:b/>
                <w:bCs/>
                <w:i w:val="false"/>
                <w:iCs w:val="false"/>
                <w:strike w:val="false"/>
                <w:color w:val="333333"/>
                <w:sz w:val="22"/>
                <w:szCs w:val="22"/>
              </w:rPr>
              <w:t xml:space="preserve">Input</w:t>
            </w:r>
          </w:p>
        </w:tc>
        <w:tc>
          <w:tcPr>
            <w:tcW w:type="pct" w:w="25%"/>
          </w:tcPr>
          <w:p>
            <w:r>
              <w:rPr>
                <w:rFonts w:ascii="Calibri" w:cs="Calibri" w:eastAsia="Calibri" w:hAnsi="Calibri"/>
                <w:b/>
                <w:bCs/>
                <w:i w:val="false"/>
                <w:iCs w:val="false"/>
                <w:strike w:val="false"/>
                <w:color w:val="333333"/>
                <w:sz w:val="22"/>
                <w:szCs w:val="22"/>
              </w:rPr>
              <w:t xml:space="preserve">Output</w:t>
            </w:r>
          </w:p>
        </w:tc>
        <w:tc>
          <w:tcPr>
            <w:tcW w:type="pct" w:w="25%"/>
          </w:tcPr>
          <w:p>
            <w:r>
              <w:rPr>
                <w:rFonts w:ascii="Calibri" w:cs="Calibri" w:eastAsia="Calibri" w:hAnsi="Calibri"/>
                <w:b/>
                <w:bCs/>
                <w:i w:val="false"/>
                <w:iCs w:val="false"/>
                <w:strike w:val="false"/>
                <w:color w:val="333333"/>
                <w:sz w:val="22"/>
                <w:szCs w:val="22"/>
              </w:rPr>
              <w:t xml:space="preserve">Engineering Deliverable</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1 — Interface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1 results</w:t>
            </w:r>
          </w:p>
        </w:tc>
        <w:tc>
          <w:tcPr>
            <w:tcW w:type="pct" w:w="25%"/>
          </w:tcPr>
          <w:p>
            <w:r>
              <w:rPr>
                <w:rFonts w:ascii="Calibri" w:cs="Calibri" w:eastAsia="Calibri" w:hAnsi="Calibri"/>
                <w:b w:val="false"/>
                <w:bCs w:val="false"/>
                <w:i w:val="false"/>
                <w:iCs w:val="false"/>
                <w:strike w:val="false"/>
                <w:color w:val="333333"/>
                <w:sz w:val="22"/>
                <w:szCs w:val="22"/>
              </w:rPr>
              <w:t xml:space="preserve">Typed interface definition file per component</w:t>
            </w:r>
          </w:p>
        </w:tc>
        <w:tc>
          <w:tcPr>
            <w:tcW w:type="pct" w:w="25%"/>
          </w:tcPr>
          <w:p>
            <w:r>
              <w:rPr>
                <w:rFonts w:ascii="Calibri" w:cs="Calibri" w:eastAsia="Calibri" w:hAnsi="Calibri"/>
                <w:b w:val="false"/>
                <w:bCs w:val="false"/>
                <w:i w:val="false"/>
                <w:iCs w:val="false"/>
                <w:strike w:val="false"/>
                <w:color w:val="333333"/>
                <w:sz w:val="22"/>
                <w:szCs w:val="22"/>
              </w:rPr>
              <w:t xml:space="preserve">Component interface specification (CIS) document delivered to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2 — Data Schema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2 results</w:t>
            </w:r>
          </w:p>
        </w:tc>
        <w:tc>
          <w:tcPr>
            <w:tcW w:type="pct" w:w="25%"/>
          </w:tcPr>
          <w:p>
            <w:r>
              <w:rPr>
                <w:rFonts w:ascii="Calibri" w:cs="Calibri" w:eastAsia="Calibri" w:hAnsi="Calibri"/>
                <w:b w:val="false"/>
                <w:bCs w:val="false"/>
                <w:i w:val="false"/>
                <w:iCs w:val="false"/>
                <w:strike w:val="false"/>
                <w:color w:val="333333"/>
                <w:sz w:val="22"/>
                <w:szCs w:val="22"/>
              </w:rPr>
              <w:t xml:space="preserve">Complete typed schema for every data structure</w:t>
            </w:r>
          </w:p>
        </w:tc>
        <w:tc>
          <w:tcPr>
            <w:tcW w:type="pct" w:w="25%"/>
          </w:tcPr>
          <w:p>
            <w:r>
              <w:rPr>
                <w:rFonts w:ascii="Calibri" w:cs="Calibri" w:eastAsia="Calibri" w:hAnsi="Calibri"/>
                <w:b w:val="false"/>
                <w:bCs w:val="false"/>
                <w:i w:val="false"/>
                <w:iCs w:val="false"/>
                <w:strike w:val="false"/>
                <w:color w:val="333333"/>
                <w:sz w:val="22"/>
                <w:szCs w:val="22"/>
              </w:rPr>
              <w:t xml:space="preserve">Schema definition files (JSON Schema, Avro, or equivalent) delivered to data engineering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3 — Algorithm Pseudocode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3 results + AVT test cases</w:t>
            </w:r>
          </w:p>
        </w:tc>
        <w:tc>
          <w:tcPr>
            <w:tcW w:type="pct" w:w="25%"/>
          </w:tcPr>
          <w:p>
            <w:r>
              <w:rPr>
                <w:rFonts w:ascii="Calibri" w:cs="Calibri" w:eastAsia="Calibri" w:hAnsi="Calibri"/>
                <w:b w:val="false"/>
                <w:bCs w:val="false"/>
                <w:i w:val="false"/>
                <w:iCs w:val="false"/>
                <w:strike w:val="false"/>
                <w:color w:val="333333"/>
                <w:sz w:val="22"/>
                <w:szCs w:val="22"/>
              </w:rPr>
              <w:t xml:space="preserve">Language-agnostic pseudocode for every algorithm with test vectors</w:t>
            </w:r>
          </w:p>
        </w:tc>
        <w:tc>
          <w:tcPr>
            <w:tcW w:type="pct" w:w="25%"/>
          </w:tcPr>
          <w:p>
            <w:r>
              <w:rPr>
                <w:rFonts w:ascii="Calibri" w:cs="Calibri" w:eastAsia="Calibri" w:hAnsi="Calibri"/>
                <w:b w:val="false"/>
                <w:bCs w:val="false"/>
                <w:i w:val="false"/>
                <w:iCs w:val="false"/>
                <w:strike w:val="false"/>
                <w:color w:val="333333"/>
                <w:sz w:val="22"/>
                <w:szCs w:val="22"/>
              </w:rPr>
              <w:t xml:space="preserve">Algorithm specification document with embedded test vectors delivered to algorithm implementation team</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4 — API Contract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4 results</w:t>
            </w:r>
          </w:p>
        </w:tc>
        <w:tc>
          <w:tcPr>
            <w:tcW w:type="pct" w:w="25%"/>
          </w:tcPr>
          <w:p>
            <w:r>
              <w:rPr>
                <w:rFonts w:ascii="Calibri" w:cs="Calibri" w:eastAsia="Calibri" w:hAnsi="Calibri"/>
                <w:b w:val="false"/>
                <w:bCs w:val="false"/>
                <w:i w:val="false"/>
                <w:iCs w:val="false"/>
                <w:strike w:val="false"/>
                <w:color w:val="333333"/>
                <w:sz w:val="22"/>
                <w:szCs w:val="22"/>
              </w:rPr>
              <w:t xml:space="preserve">Typed API contracts for every component in OpenAPI or equivalent format</w:t>
            </w:r>
          </w:p>
        </w:tc>
        <w:tc>
          <w:tcPr>
            <w:tcW w:type="pct" w:w="25%"/>
          </w:tcPr>
          <w:p>
            <w:r>
              <w:rPr>
                <w:rFonts w:ascii="Calibri" w:cs="Calibri" w:eastAsia="Calibri" w:hAnsi="Calibri"/>
                <w:b w:val="false"/>
                <w:bCs w:val="false"/>
                <w:i w:val="false"/>
                <w:iCs w:val="false"/>
                <w:strike w:val="false"/>
                <w:color w:val="333333"/>
                <w:sz w:val="22"/>
                <w:szCs w:val="22"/>
              </w:rPr>
              <w:t xml:space="preserve">API contract document delivered to API design team for review before any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5 — Test Harness Package</w:t>
            </w:r>
          </w:p>
        </w:tc>
        <w:tc>
          <w:tcPr>
            <w:tcW w:type="pct" w:w="25%"/>
          </w:tcPr>
          <w:p>
            <w:r>
              <w:rPr>
                <w:rFonts w:ascii="Calibri" w:cs="Calibri" w:eastAsia="Calibri" w:hAnsi="Calibri"/>
                <w:b w:val="false"/>
                <w:bCs w:val="false"/>
                <w:i w:val="false"/>
                <w:iCs w:val="false"/>
                <w:strike w:val="false"/>
                <w:color w:val="333333"/>
                <w:sz w:val="22"/>
                <w:szCs w:val="22"/>
              </w:rPr>
              <w:t xml:space="preserve">Validated chapter + PTT Stage 5 results</w:t>
            </w:r>
          </w:p>
        </w:tc>
        <w:tc>
          <w:tcPr>
            <w:tcW w:type="pct" w:w="25%"/>
          </w:tcPr>
          <w:p>
            <w:r>
              <w:rPr>
                <w:rFonts w:ascii="Calibri" w:cs="Calibri" w:eastAsia="Calibri" w:hAnsi="Calibri"/>
                <w:b w:val="false"/>
                <w:bCs w:val="false"/>
                <w:i w:val="false"/>
                <w:iCs w:val="false"/>
                <w:strike w:val="false"/>
                <w:color w:val="333333"/>
                <w:sz w:val="22"/>
                <w:szCs w:val="22"/>
              </w:rPr>
              <w:t xml:space="preserve">Compilable test stubs for every component in the target language</w:t>
            </w:r>
          </w:p>
        </w:tc>
        <w:tc>
          <w:tcPr>
            <w:tcW w:type="pct" w:w="25%"/>
          </w:tcPr>
          <w:p>
            <w:r>
              <w:rPr>
                <w:rFonts w:ascii="Calibri" w:cs="Calibri" w:eastAsia="Calibri" w:hAnsi="Calibri"/>
                <w:b w:val="false"/>
                <w:bCs w:val="false"/>
                <w:i w:val="false"/>
                <w:iCs w:val="false"/>
                <w:strike w:val="false"/>
                <w:color w:val="333333"/>
                <w:sz w:val="22"/>
                <w:szCs w:val="22"/>
              </w:rPr>
              <w:t xml:space="preserve">Test harness skeleton delivered to QA team — QA fills in test logic, engineers fill in implementation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6 — Implementation Roadmap</w:t>
            </w:r>
          </w:p>
        </w:tc>
        <w:tc>
          <w:tcPr>
            <w:tcW w:type="pct" w:w="25%"/>
          </w:tcPr>
          <w:p>
            <w:r>
              <w:rPr>
                <w:rFonts w:ascii="Calibri" w:cs="Calibri" w:eastAsia="Calibri" w:hAnsi="Calibri"/>
                <w:b w:val="false"/>
                <w:bCs w:val="false"/>
                <w:i w:val="false"/>
                <w:iCs w:val="false"/>
                <w:strike w:val="false"/>
                <w:color w:val="333333"/>
                <w:sz w:val="22"/>
                <w:szCs w:val="22"/>
              </w:rPr>
              <w:t xml:space="preserve">All preceding packages</w:t>
            </w:r>
          </w:p>
        </w:tc>
        <w:tc>
          <w:tcPr>
            <w:tcW w:type="pct" w:w="25%"/>
          </w:tcPr>
          <w:p>
            <w:r>
              <w:rPr>
                <w:rFonts w:ascii="Calibri" w:cs="Calibri" w:eastAsia="Calibri" w:hAnsi="Calibri"/>
                <w:b w:val="false"/>
                <w:bCs w:val="false"/>
                <w:i w:val="false"/>
                <w:iCs w:val="false"/>
                <w:strike w:val="false"/>
                <w:color w:val="333333"/>
                <w:sz w:val="22"/>
                <w:szCs w:val="22"/>
              </w:rPr>
              <w:t xml:space="preserve">Ordered implementation plan: which components must be built in which order given dependency constraints</w:t>
            </w:r>
          </w:p>
        </w:tc>
        <w:tc>
          <w:tcPr>
            <w:tcW w:type="pct" w:w="25%"/>
          </w:tcPr>
          <w:p>
            <w:r>
              <w:rPr>
                <w:rFonts w:ascii="Calibri" w:cs="Calibri" w:eastAsia="Calibri" w:hAnsi="Calibri"/>
                <w:b w:val="false"/>
                <w:bCs w:val="false"/>
                <w:i w:val="false"/>
                <w:iCs w:val="false"/>
                <w:strike w:val="false"/>
                <w:color w:val="333333"/>
                <w:sz w:val="22"/>
                <w:szCs w:val="22"/>
              </w:rPr>
              <w:t xml:space="preserve">Sprint-ready engineering backlog with dependency-ordered component list and estimated complexity per component</w:t>
            </w:r>
          </w:p>
        </w:tc>
      </w:tr>
    </w:tbl>
    <w:p>
      <w:pPr>
        <w:spacing w:after="200" w:before="0"/>
      </w:pPr>
    </w:p>
    <w:p>
      <w:pPr>
        <w:spacing w:after="240" w:line="360" w:lineRule="auto"/>
      </w:pPr>
      <w:r>
        <w:rPr>
          <w:rFonts w:ascii="Calibri" w:cs="Calibri" w:eastAsia="Calibri" w:hAnsi="Calibri"/>
          <w:b w:val="false"/>
          <w:bCs w:val="false"/>
          <w:i w:val="false"/>
          <w:iCs w:val="false"/>
          <w:strike w:val="false"/>
          <w:color w:val="333333"/>
          <w:sz w:val="22"/>
          <w:szCs w:val="22"/>
        </w:rPr>
        <w:t xml:space="preserve">The Bible-to-Prototype Compilation Pipeline produces a complete engineering package for every validated chapter. An engineering team receiving this package can begin prototype implementation immediately with no architectural ambiguity, no missing interface definitions, no undefined algorithms, and no unresolved domain rule conflicts. The gap between specification and working prototype is bridged entirely by the SVF process — engineering effort is spent on implementation, not on discovering what the specification meant.</w:t>
      </w:r>
    </w:p>
    <w:p>
      <w:pPr>
        <w:pStyle w:val="Heading2"/>
        <w:spacing w:after="120" w:before="240" w:line="288" w:lineRule="auto"/>
      </w:pPr>
      <w:r>
        <w:rPr>
          <w:rFonts w:ascii="Calibri" w:cs="Calibri" w:eastAsia="Calibri" w:hAnsi="Calibri"/>
          <w:color w:val="000000"/>
          <w:sz w:val="36"/>
          <w:szCs w:val="36"/>
        </w:rPr>
        <w:t xml:space="preserve">40.12 SVF Tooling Recommendations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SVF is designed to be executable using standard tools available today, without requiring custom tooling. The following tool stack is recommended for each discipline.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Discipline</w:t>
            </w:r>
          </w:p>
        </w:tc>
        <w:tc>
          <w:tcPr>
            <w:tcW w:type="pct" w:w="33%"/>
          </w:tcPr>
          <w:p>
            <w:r>
              <w:rPr>
                <w:rFonts w:ascii="Calibri" w:cs="Calibri" w:eastAsia="Calibri" w:hAnsi="Calibri"/>
                <w:b/>
                <w:bCs/>
                <w:i w:val="false"/>
                <w:iCs w:val="false"/>
                <w:strike w:val="false"/>
                <w:color w:val="333333"/>
                <w:sz w:val="22"/>
                <w:szCs w:val="22"/>
              </w:rPr>
              <w:t xml:space="preserve">Recommended Tool Type</w:t>
            </w:r>
          </w:p>
        </w:tc>
        <w:tc>
          <w:tcPr>
            <w:tcW w:type="pct" w:w="34%"/>
          </w:tcPr>
          <w:p>
            <w:r>
              <w:rPr>
                <w:rFonts w:ascii="Calibri" w:cs="Calibri" w:eastAsia="Calibri" w:hAnsi="Calibri"/>
                <w:b/>
                <w:bCs/>
                <w:i w:val="false"/>
                <w:iCs w:val="false"/>
                <w:strike w:val="false"/>
                <w:color w:val="333333"/>
                <w:sz w:val="22"/>
                <w:szCs w:val="22"/>
              </w:rPr>
              <w:t xml:space="preserve">Rationale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FLT</w:t>
            </w:r>
          </w:p>
        </w:tc>
        <w:tc>
          <w:tcPr>
            <w:tcW w:type="pct" w:w="33%"/>
          </w:tcPr>
          <w:p>
            <w:r>
              <w:rPr>
                <w:rFonts w:ascii="Calibri" w:cs="Calibri" w:eastAsia="Calibri" w:hAnsi="Calibri"/>
                <w:b w:val="false"/>
                <w:bCs w:val="false"/>
                <w:i w:val="false"/>
                <w:iCs w:val="false"/>
                <w:strike w:val="false"/>
                <w:color w:val="333333"/>
                <w:sz w:val="22"/>
                <w:szCs w:val="22"/>
              </w:rPr>
              <w:t xml:space="preserve">Structured review checklist (spreadsheet or notion-equivalent) + formal specification language (TLA+, Alloy, or Z notation for high-risk components)</w:t>
            </w:r>
          </w:p>
        </w:tc>
        <w:tc>
          <w:tcPr>
            <w:tcW w:type="pct" w:w="34%"/>
          </w:tcPr>
          <w:p>
            <w:r>
              <w:rPr>
                <w:rFonts w:ascii="Calibri" w:cs="Calibri" w:eastAsia="Calibri" w:hAnsi="Calibri"/>
                <w:b w:val="false"/>
                <w:bCs w:val="false"/>
                <w:i w:val="false"/>
                <w:iCs w:val="false"/>
                <w:strike w:val="false"/>
                <w:color w:val="333333"/>
                <w:sz w:val="22"/>
                <w:szCs w:val="22"/>
              </w:rPr>
              <w:t xml:space="preserve">State machine completeness and transition validity are most efficiently verified by formal methods tools for complex components and structured checklists for simpler ones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DGT</w:t>
            </w:r>
          </w:p>
        </w:tc>
        <w:tc>
          <w:tcPr>
            <w:tcW w:type="pct" w:w="33%"/>
          </w:tcPr>
          <w:p>
            <w:r>
              <w:rPr>
                <w:rFonts w:ascii="Calibri" w:cs="Calibri" w:eastAsia="Calibri" w:hAnsi="Calibri"/>
                <w:b w:val="false"/>
                <w:bCs w:val="false"/>
                <w:i w:val="false"/>
                <w:iCs w:val="false"/>
                <w:strike w:val="false"/>
                <w:color w:val="333333"/>
                <w:sz w:val="22"/>
                <w:szCs w:val="22"/>
              </w:rPr>
              <w:t xml:space="preserve">Directed graph visualization tool (Graphviz, Mermaid, or equivalent) + dependency matrix spreadsheet</w:t>
            </w:r>
          </w:p>
        </w:tc>
        <w:tc>
          <w:tcPr>
            <w:tcW w:type="pct" w:w="34%"/>
          </w:tcPr>
          <w:p>
            <w:r>
              <w:rPr>
                <w:rFonts w:ascii="Calibri" w:cs="Calibri" w:eastAsia="Calibri" w:hAnsi="Calibri"/>
                <w:b w:val="false"/>
                <w:bCs w:val="false"/>
                <w:i w:val="false"/>
                <w:iCs w:val="false"/>
                <w:strike w:val="false"/>
                <w:color w:val="333333"/>
                <w:sz w:val="22"/>
                <w:szCs w:val="22"/>
              </w:rPr>
              <w:t xml:space="preserve">The Dependency Matrix is the core artifact; graph visualization makes cycles and orphaned outputs immediately visible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AVT</w:t>
            </w:r>
          </w:p>
        </w:tc>
        <w:tc>
          <w:tcPr>
            <w:tcW w:type="pct" w:w="33%"/>
          </w:tcPr>
          <w:p>
            <w:r>
              <w:rPr>
                <w:rFonts w:ascii="Calibri" w:cs="Calibri" w:eastAsia="Calibri" w:hAnsi="Calibri"/>
                <w:b w:val="false"/>
                <w:bCs w:val="false"/>
                <w:i w:val="false"/>
                <w:iCs w:val="false"/>
                <w:strike w:val="false"/>
                <w:color w:val="333333"/>
                <w:sz w:val="22"/>
                <w:szCs w:val="22"/>
              </w:rPr>
              <w:t xml:space="preserve">Computational notebook (Jupyter) for formula validation + property-based testing framework (Hypothesis for Python, QuickCheck for Haskell) for boundary coverage</w:t>
            </w:r>
          </w:p>
        </w:tc>
        <w:tc>
          <w:tcPr>
            <w:tcW w:type="pct" w:w="34%"/>
          </w:tcPr>
          <w:p>
            <w:r>
              <w:rPr>
                <w:rFonts w:ascii="Calibri" w:cs="Calibri" w:eastAsia="Calibri" w:hAnsi="Calibri"/>
                <w:b w:val="false"/>
                <w:bCs w:val="false"/>
                <w:i w:val="false"/>
                <w:iCs w:val="false"/>
                <w:strike w:val="false"/>
                <w:color w:val="333333"/>
                <w:sz w:val="22"/>
                <w:szCs w:val="22"/>
              </w:rPr>
              <w:t xml:space="preserve">Property-based testing automatically generates boundary condition inputs and catches edge cases that manual test case design misses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DRT</w:t>
            </w:r>
          </w:p>
        </w:tc>
        <w:tc>
          <w:tcPr>
            <w:tcW w:type="pct" w:w="33%"/>
          </w:tcPr>
          <w:p>
            <w:r>
              <w:rPr>
                <w:rFonts w:ascii="Calibri" w:cs="Calibri" w:eastAsia="Calibri" w:hAnsi="Calibri"/>
                <w:b w:val="false"/>
                <w:bCs w:val="false"/>
                <w:i w:val="false"/>
                <w:iCs w:val="false"/>
                <w:strike w:val="false"/>
                <w:color w:val="333333"/>
                <w:sz w:val="22"/>
                <w:szCs w:val="22"/>
              </w:rPr>
              <w:t xml:space="preserve">Decision table tool (structured spreadsheet or dedicated decision table tool) + finite state machine validator</w:t>
            </w:r>
          </w:p>
        </w:tc>
        <w:tc>
          <w:tcPr>
            <w:tcW w:type="pct" w:w="34%"/>
          </w:tcPr>
          <w:p>
            <w:r>
              <w:rPr>
                <w:rFonts w:ascii="Calibri" w:cs="Calibri" w:eastAsia="Calibri" w:hAnsi="Calibri"/>
                <w:b w:val="false"/>
                <w:bCs w:val="false"/>
                <w:i w:val="false"/>
                <w:iCs w:val="false"/>
                <w:strike w:val="false"/>
                <w:color w:val="333333"/>
                <w:sz w:val="22"/>
                <w:szCs w:val="22"/>
              </w:rPr>
              <w:t xml:space="preserve">Decision tables are the most efficient representation of permission rules; FSM validators catch unreachable states and missing transitions automatically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PTT</w:t>
            </w:r>
          </w:p>
        </w:tc>
        <w:tc>
          <w:tcPr>
            <w:tcW w:type="pct" w:w="33%"/>
          </w:tcPr>
          <w:p>
            <w:r>
              <w:rPr>
                <w:rFonts w:ascii="Calibri" w:cs="Calibri" w:eastAsia="Calibri" w:hAnsi="Calibri"/>
                <w:b w:val="false"/>
                <w:bCs w:val="false"/>
                <w:i w:val="false"/>
                <w:iCs w:val="false"/>
                <w:strike w:val="false"/>
                <w:color w:val="333333"/>
                <w:sz w:val="22"/>
                <w:szCs w:val="22"/>
              </w:rPr>
              <w:t xml:space="preserve">Static analysis tools appropriate to target implementation language + schema validators (JSON Schema, Avro) + API linting tools (Spectral for OpenAPI)</w:t>
            </w:r>
          </w:p>
        </w:tc>
        <w:tc>
          <w:tcPr>
            <w:tcW w:type="pct" w:w="34%"/>
          </w:tcPr>
          <w:p>
            <w:r>
              <w:rPr>
                <w:rFonts w:ascii="Calibri" w:cs="Calibri" w:eastAsia="Calibri" w:hAnsi="Calibri"/>
                <w:b w:val="false"/>
                <w:bCs w:val="false"/>
                <w:i w:val="false"/>
                <w:iCs w:val="false"/>
                <w:strike w:val="false"/>
                <w:color w:val="333333"/>
                <w:sz w:val="22"/>
                <w:szCs w:val="22"/>
              </w:rPr>
              <w:t xml:space="preserve">PTT Stage 2 and 4 outputs are directly checkable by existing schema and API linting tools with no custom development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40.13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Specification Validation Framework constitutes novel subject matter across three independent dimensions: (1) Specification-level testing as a formal engineering discipline applied to AI system architecture documents — the specific combination of five testing disciplines (FLT, DGT, AVT, DRT, PTT) applied systematically to a cognitive architecture specification before any implementation exists is novel as a methodology for AI system quality assurance. (2) The Bible-to-Prototype Compilation Pipeline — the specific six-stage process that converts validated specification artifacts directly into typed engineering deliverables (interface packages, schema packages, algorithm pseudocode packages, API contracts, test harness skeletons, and implementation roadmaps) without intermediate design phases is novel as a specification-to-implementation bridge for AI cognitive architecture systems. (3) The SVF validation lifecycle as a patent prosecution quality standard — the specific use of a structured specification validation record (the Bible Test Registry) as admissible evidence of inventive enablement in patent prosecution, demonstrating that every claimed capability is logically consistent, algorithmically correct, and prototype-translatable at the time of filing, is novel as a patent prosecution methodology for AI system patents.</w:t>
      </w:r>
    </w:p>
    <w:p>
      <w:pPr>
        <w:spacing w:after="240" w:before="240"/>
      </w:pPr>
    </w:p>
    <w:p>
      <w:pPr>
        <w:pStyle w:val="Heading1"/>
        <w:spacing w:after="120" w:before="240" w:line="288" w:lineRule="auto"/>
      </w:pPr>
      <w:r>
        <w:rPr>
          <w:rFonts w:ascii="Calibri" w:cs="Calibri" w:eastAsia="Calibri" w:hAnsi="Calibri"/>
          <w:color w:val="000000"/>
          <w:sz w:val="48"/>
          <w:szCs w:val="48"/>
        </w:rPr>
        <w:t xml:space="preserve">Chapter 41: QueryBook Predictive Cognitive Architecture (PCA)</w:t>
      </w:r>
    </w:p>
    <w:p>
      <w:pPr>
        <w:pStyle w:val="Heading2"/>
        <w:spacing w:after="120" w:before="240" w:line="288" w:lineRule="auto"/>
      </w:pPr>
      <w:r>
        <w:rPr>
          <w:rFonts w:ascii="Calibri" w:cs="Calibri" w:eastAsia="Calibri" w:hAnsi="Calibri"/>
          <w:color w:val="000000"/>
          <w:sz w:val="36"/>
          <w:szCs w:val="36"/>
        </w:rPr>
        <w:t xml:space="preserve">41.1 The Foundational Distinction — Predicting Meaning, Not Language</w:t>
      </w:r>
    </w:p>
    <w:p>
      <w:pPr>
        <w:spacing w:after="240" w:line="360" w:lineRule="auto"/>
      </w:pPr>
      <w:r>
        <w:rPr>
          <w:rFonts w:ascii="Calibri" w:cs="Calibri" w:eastAsia="Calibri" w:hAnsi="Calibri"/>
          <w:b w:val="false"/>
          <w:bCs w:val="false"/>
          <w:i w:val="false"/>
          <w:iCs w:val="false"/>
          <w:strike w:val="false"/>
          <w:color w:val="333333"/>
          <w:sz w:val="22"/>
          <w:szCs w:val="22"/>
        </w:rPr>
        <w:t xml:space="preserve">Before comparing QueryBook's prediction mechanisms to those of Large Language Models and the human neocortex, one distinction must be stated clearly because it reframes the entire analysis. LLMs predict language. QueryBook predicts meaning. That is not a subtle difference. The human neocortex — per Hawkins's Thousand Brains Theory of Intelligence and the broader framework of Predictive Coding — does not predict language either. It predicts reality: the next sensory state, the next physical consequence of a movement, the next configuration of the world. The brain operates below the level of language, at the level of structured models of what exists and what is about to happen. QueryBook, uniquely among all AI systems, operates at the same sub-linguistic level. Its Fact Units are not language — they are structured semantic assertions about reality, stored below language and retrieved below language. This makes QueryBook's prediction architecture structurally closer to the biological neocortex than any LLM ever could be.</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chapter formally specifies QueryBook's Predictive Cognitive Architecture (PCA) as a unified system — identifying the eight existing prediction mechanisms already present in the architecture, the neuroscience framework that contextualises them, the four additions that complete the architecture, and the three amplifications that maximise the existing capability. The PCA is a patentable architectural claim in its own right: QueryBook is the first AI system whose prediction mechanisms are structurally isomorphic to the Thousand Brains model at the level of meaning, not language.</w:t>
      </w:r>
    </w:p>
    <w:p>
      <w:pPr>
        <w:pStyle w:val="Heading2"/>
        <w:spacing w:after="120" w:before="240" w:line="288" w:lineRule="auto"/>
      </w:pPr>
      <w:r>
        <w:rPr>
          <w:rFonts w:ascii="Calibri" w:cs="Calibri" w:eastAsia="Calibri" w:hAnsi="Calibri"/>
          <w:color w:val="000000"/>
          <w:sz w:val="36"/>
          <w:szCs w:val="36"/>
        </w:rPr>
        <w:t xml:space="preserve">41.2 The Neuroscience Framework — Thousand Brains Theory and Predictive Coding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Two neuroscience frameworks are directly relevant to QueryBook's prediction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Predictive Coding holds that the neocortex continuously generates top-down predictions of sensory data and processes only the prediction error — the mismatch between expectation and reality — propagating that error upward through the cortical hierarchy to update the generative model. The brain is not a reactive camera. It is a proactive prediction machine that pre-activates expected representations and quiets down when predictions are confirmed. The computational objective is the minimization of surprise — the continuous reduction of prediction error across all sensory and cognitive domains.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Thousand Brains Theory of Intelligence, developed by Jeff Hawkins, extends Predictive Coding by proposing that the neocortex's approximately 150,000 cortical columns each function as an independent, complete modeling system. Each column builds an invariant model of objects and concepts through a reference frame mechanism — learning context-independent representations that remain stable across changes in viewing angle, sensory modality, and context. Perception is achieved not by a single centralised model but by democratic voting across thousands of independently operating column models, producing a stable consensus interpretation. This voting architecture is the Thousand Brains model's most architecturally significant claim.</w:t>
      </w:r>
    </w:p>
    <w:p>
      <w:pPr>
        <w:pStyle w:val="Heading2"/>
        <w:spacing w:after="120" w:before="240" w:line="288" w:lineRule="auto"/>
      </w:pPr>
      <w:r>
        <w:rPr>
          <w:rFonts w:ascii="Calibri" w:cs="Calibri" w:eastAsia="Calibri" w:hAnsi="Calibri"/>
          <w:color w:val="000000"/>
          <w:sz w:val="36"/>
          <w:szCs w:val="36"/>
        </w:rPr>
        <w:t xml:space="preserve">41.3 The Comparative Architecture Table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table maps the ten most architecturally significant dimensions across the human neocortex, Large Language Models, and QueryBook's Predictive Cognitive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5%"/>
          </w:tcPr>
          <w:p>
            <w:r>
              <w:rPr>
                <w:rFonts w:ascii="Calibri" w:cs="Calibri" w:eastAsia="Calibri" w:hAnsi="Calibri"/>
                <w:b/>
                <w:bCs/>
                <w:i w:val="false"/>
                <w:iCs w:val="false"/>
                <w:strike w:val="false"/>
                <w:color w:val="333333"/>
                <w:sz w:val="22"/>
                <w:szCs w:val="22"/>
              </w:rPr>
              <w:t xml:space="preserve">Dimension</w:t>
            </w:r>
          </w:p>
        </w:tc>
        <w:tc>
          <w:tcPr>
            <w:tcW w:type="pct" w:w="25%"/>
          </w:tcPr>
          <w:p>
            <w:r>
              <w:rPr>
                <w:rFonts w:ascii="Calibri" w:cs="Calibri" w:eastAsia="Calibri" w:hAnsi="Calibri"/>
                <w:b/>
                <w:bCs/>
                <w:i w:val="false"/>
                <w:iCs w:val="false"/>
                <w:strike w:val="false"/>
                <w:color w:val="333333"/>
                <w:sz w:val="22"/>
                <w:szCs w:val="22"/>
              </w:rPr>
              <w:t xml:space="preserve">Human Neocortex</w:t>
            </w:r>
          </w:p>
        </w:tc>
        <w:tc>
          <w:tcPr>
            <w:tcW w:type="pct" w:w="25%"/>
          </w:tcPr>
          <w:p>
            <w:r>
              <w:rPr>
                <w:rFonts w:ascii="Calibri" w:cs="Calibri" w:eastAsia="Calibri" w:hAnsi="Calibri"/>
                <w:b/>
                <w:bCs/>
                <w:i w:val="false"/>
                <w:iCs w:val="false"/>
                <w:strike w:val="false"/>
                <w:color w:val="333333"/>
                <w:sz w:val="22"/>
                <w:szCs w:val="22"/>
              </w:rPr>
              <w:t xml:space="preserve">Large Language Models</w:t>
            </w:r>
          </w:p>
        </w:tc>
        <w:tc>
          <w:tcPr>
            <w:tcW w:type="pct" w:w="25%"/>
          </w:tcPr>
          <w:p>
            <w:r>
              <w:rPr>
                <w:rFonts w:ascii="Calibri" w:cs="Calibri" w:eastAsia="Calibri" w:hAnsi="Calibri"/>
                <w:b/>
                <w:bCs/>
                <w:i w:val="false"/>
                <w:iCs w:val="false"/>
                <w:strike w:val="false"/>
                <w:color w:val="333333"/>
                <w:sz w:val="22"/>
                <w:szCs w:val="22"/>
              </w:rPr>
              <w:t xml:space="preserve">QueryBook PCA</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target</w:t>
            </w:r>
          </w:p>
        </w:tc>
        <w:tc>
          <w:tcPr>
            <w:tcW w:type="pct" w:w="25%"/>
          </w:tcPr>
          <w:p>
            <w:r>
              <w:rPr>
                <w:rFonts w:ascii="Calibri" w:cs="Calibri" w:eastAsia="Calibri" w:hAnsi="Calibri"/>
                <w:b w:val="false"/>
                <w:bCs w:val="false"/>
                <w:i w:val="false"/>
                <w:iCs w:val="false"/>
                <w:strike w:val="false"/>
                <w:color w:val="333333"/>
                <w:sz w:val="22"/>
                <w:szCs w:val="22"/>
              </w:rPr>
              <w:t xml:space="preserve">Sensory reality — next physical state of the world</w:t>
            </w:r>
          </w:p>
        </w:tc>
        <w:tc>
          <w:tcPr>
            <w:tcW w:type="pct" w:w="25%"/>
          </w:tcPr>
          <w:p>
            <w:r>
              <w:rPr>
                <w:rFonts w:ascii="Calibri" w:cs="Calibri" w:eastAsia="Calibri" w:hAnsi="Calibri"/>
                <w:b w:val="false"/>
                <w:bCs w:val="false"/>
                <w:i w:val="false"/>
                <w:iCs w:val="false"/>
                <w:strike w:val="false"/>
                <w:color w:val="333333"/>
                <w:sz w:val="22"/>
                <w:szCs w:val="22"/>
              </w:rPr>
              <w:t xml:space="preserve">Next token in a language sequence</w:t>
            </w:r>
          </w:p>
        </w:tc>
        <w:tc>
          <w:tcPr>
            <w:tcW w:type="pct" w:w="25%"/>
          </w:tcPr>
          <w:p>
            <w:r>
              <w:rPr>
                <w:rFonts w:ascii="Calibri" w:cs="Calibri" w:eastAsia="Calibri" w:hAnsi="Calibri"/>
                <w:b w:val="false"/>
                <w:bCs w:val="false"/>
                <w:i w:val="false"/>
                <w:iCs w:val="false"/>
                <w:strike w:val="false"/>
                <w:color w:val="333333"/>
                <w:sz w:val="22"/>
                <w:szCs w:val="22"/>
              </w:rPr>
              <w:t xml:space="preserve">Next relevant semantic structure — next Fact Unit the reader needs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level</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models of world reality</w:t>
            </w:r>
          </w:p>
        </w:tc>
        <w:tc>
          <w:tcPr>
            <w:tcW w:type="pct" w:w="25%"/>
          </w:tcPr>
          <w:p>
            <w:r>
              <w:rPr>
                <w:rFonts w:ascii="Calibri" w:cs="Calibri" w:eastAsia="Calibri" w:hAnsi="Calibri"/>
                <w:b w:val="false"/>
                <w:bCs w:val="false"/>
                <w:i w:val="false"/>
                <w:iCs w:val="false"/>
                <w:strike w:val="false"/>
                <w:color w:val="333333"/>
                <w:sz w:val="22"/>
                <w:szCs w:val="22"/>
              </w:rPr>
              <w:t xml:space="preserve">Surface linguistic — statistical token co-occurrence patterns</w:t>
            </w:r>
          </w:p>
        </w:tc>
        <w:tc>
          <w:tcPr>
            <w:tcW w:type="pct" w:w="25%"/>
          </w:tcPr>
          <w:p>
            <w:r>
              <w:rPr>
                <w:rFonts w:ascii="Calibri" w:cs="Calibri" w:eastAsia="Calibri" w:hAnsi="Calibri"/>
                <w:b w:val="false"/>
                <w:bCs w:val="false"/>
                <w:i w:val="false"/>
                <w:iCs w:val="false"/>
                <w:strike w:val="false"/>
                <w:color w:val="333333"/>
                <w:sz w:val="22"/>
                <w:szCs w:val="22"/>
              </w:rPr>
              <w:t xml:space="preserve">Sub-linguistic — structured Fact Unit assertions about reality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Parallel processing</w:t>
            </w:r>
          </w:p>
        </w:tc>
        <w:tc>
          <w:tcPr>
            <w:tcW w:type="pct" w:w="25%"/>
          </w:tcPr>
          <w:p>
            <w:r>
              <w:rPr>
                <w:rFonts w:ascii="Calibri" w:cs="Calibri" w:eastAsia="Calibri" w:hAnsi="Calibri"/>
                <w:b w:val="false"/>
                <w:bCs w:val="false"/>
                <w:i w:val="false"/>
                <w:iCs w:val="false"/>
                <w:strike w:val="false"/>
                <w:color w:val="333333"/>
                <w:sz w:val="22"/>
                <w:szCs w:val="22"/>
              </w:rPr>
              <w:t xml:space="preserve">~150,000 cortical columns voting simultaneously</w:t>
            </w:r>
          </w:p>
        </w:tc>
        <w:tc>
          <w:tcPr>
            <w:tcW w:type="pct" w:w="25%"/>
          </w:tcPr>
          <w:p>
            <w:r>
              <w:rPr>
                <w:rFonts w:ascii="Calibri" w:cs="Calibri" w:eastAsia="Calibri" w:hAnsi="Calibri"/>
                <w:b w:val="false"/>
                <w:bCs w:val="false"/>
                <w:i w:val="false"/>
                <w:iCs w:val="false"/>
                <w:strike w:val="false"/>
                <w:color w:val="333333"/>
                <w:sz w:val="22"/>
                <w:szCs w:val="22"/>
              </w:rPr>
              <w:t xml:space="preserve">Multi-head attention across token sequences within one forward pass</w:t>
            </w:r>
          </w:p>
        </w:tc>
        <w:tc>
          <w:tcPr>
            <w:tcW w:type="pct" w:w="25%"/>
          </w:tcPr>
          <w:p>
            <w:r>
              <w:rPr>
                <w:rFonts w:ascii="Calibri" w:cs="Calibri" w:eastAsia="Calibri" w:hAnsi="Calibri"/>
                <w:b w:val="false"/>
                <w:bCs w:val="false"/>
                <w:i w:val="false"/>
                <w:iCs w:val="false"/>
                <w:strike w:val="false"/>
                <w:color w:val="333333"/>
                <w:sz w:val="22"/>
                <w:szCs w:val="22"/>
              </w:rPr>
              <w:t xml:space="preserve">Multi-domain Fact Graph traversal plus TMM plus ARE operating simultaneously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Invariant model building</w:t>
            </w:r>
          </w:p>
        </w:tc>
        <w:tc>
          <w:tcPr>
            <w:tcW w:type="pct" w:w="25%"/>
          </w:tcPr>
          <w:p>
            <w:r>
              <w:rPr>
                <w:rFonts w:ascii="Calibri" w:cs="Calibri" w:eastAsia="Calibri" w:hAnsi="Calibri"/>
                <w:b w:val="false"/>
                <w:bCs w:val="false"/>
                <w:i w:val="false"/>
                <w:iCs w:val="false"/>
                <w:strike w:val="false"/>
                <w:color w:val="333333"/>
                <w:sz w:val="22"/>
                <w:szCs w:val="22"/>
              </w:rPr>
              <w:t xml:space="preserve">Cortical column invariant learning across many exposures</w:t>
            </w:r>
          </w:p>
        </w:tc>
        <w:tc>
          <w:tcPr>
            <w:tcW w:type="pct" w:w="25%"/>
          </w:tcPr>
          <w:p>
            <w:r>
              <w:rPr>
                <w:rFonts w:ascii="Calibri" w:cs="Calibri" w:eastAsia="Calibri" w:hAnsi="Calibri"/>
                <w:b w:val="false"/>
                <w:bCs w:val="false"/>
                <w:i w:val="false"/>
                <w:iCs w:val="false"/>
                <w:strike w:val="false"/>
                <w:color w:val="333333"/>
                <w:sz w:val="22"/>
                <w:szCs w:val="22"/>
              </w:rPr>
              <w:t xml:space="preserve">None — statistical approximation only, no invariant representation</w:t>
            </w:r>
          </w:p>
        </w:tc>
        <w:tc>
          <w:tcPr>
            <w:tcW w:type="pct" w:w="25%"/>
          </w:tcPr>
          <w:p>
            <w:r>
              <w:rPr>
                <w:rFonts w:ascii="Calibri" w:cs="Calibri" w:eastAsia="Calibri" w:hAnsi="Calibri"/>
                <w:b w:val="false"/>
                <w:bCs w:val="false"/>
                <w:i w:val="false"/>
                <w:iCs w:val="false"/>
                <w:strike w:val="false"/>
                <w:color w:val="333333"/>
                <w:sz w:val="22"/>
                <w:szCs w:val="22"/>
              </w:rPr>
              <w:t xml:space="preserve">World Brain concept node formation across many ingested sources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Prior strength</w:t>
            </w:r>
          </w:p>
        </w:tc>
        <w:tc>
          <w:tcPr>
            <w:tcW w:type="pct" w:w="25%"/>
          </w:tcPr>
          <w:p>
            <w:r>
              <w:rPr>
                <w:rFonts w:ascii="Calibri" w:cs="Calibri" w:eastAsia="Calibri" w:hAnsi="Calibri"/>
                <w:b w:val="false"/>
                <w:bCs w:val="false"/>
                <w:i w:val="false"/>
                <w:iCs w:val="false"/>
                <w:strike w:val="false"/>
                <w:color w:val="333333"/>
                <w:sz w:val="22"/>
                <w:szCs w:val="22"/>
              </w:rPr>
              <w:t xml:space="preserve">Bayesian prior — strong priors resist updating from weak evidence</w:t>
            </w:r>
          </w:p>
        </w:tc>
        <w:tc>
          <w:tcPr>
            <w:tcW w:type="pct" w:w="25%"/>
          </w:tcPr>
          <w:p>
            <w:r>
              <w:rPr>
                <w:rFonts w:ascii="Calibri" w:cs="Calibri" w:eastAsia="Calibri" w:hAnsi="Calibri"/>
                <w:b w:val="false"/>
                <w:bCs w:val="false"/>
                <w:i w:val="false"/>
                <w:iCs w:val="false"/>
                <w:strike w:val="false"/>
                <w:color w:val="333333"/>
                <w:sz w:val="22"/>
                <w:szCs w:val="22"/>
              </w:rPr>
              <w:t xml:space="preserve">None — all weights are equal at inference time</w:t>
            </w:r>
          </w:p>
        </w:tc>
        <w:tc>
          <w:tcPr>
            <w:tcW w:type="pct" w:w="25%"/>
          </w:tcPr>
          <w:p>
            <w:r>
              <w:rPr>
                <w:rFonts w:ascii="Calibri" w:cs="Calibri" w:eastAsia="Calibri" w:hAnsi="Calibri"/>
                <w:b w:val="false"/>
                <w:bCs w:val="false"/>
                <w:i w:val="false"/>
                <w:iCs w:val="false"/>
                <w:strike w:val="false"/>
                <w:color w:val="333333"/>
                <w:sz w:val="22"/>
                <w:szCs w:val="22"/>
              </w:rPr>
              <w:t xml:space="preserve">ConceptStabilityWeight (CSW) — high-CSW nodes resist single-source revision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5%"/>
          </w:tcPr>
          <w:p>
            <w:r>
              <w:rPr>
                <w:rFonts w:ascii="Calibri" w:cs="Calibri" w:eastAsia="Calibri" w:hAnsi="Calibri"/>
                <w:b w:val="false"/>
                <w:bCs w:val="false"/>
                <w:i w:val="false"/>
                <w:iCs w:val="false"/>
                <w:strike w:val="false"/>
                <w:color w:val="333333"/>
                <w:sz w:val="22"/>
                <w:szCs w:val="22"/>
              </w:rPr>
              <w:t xml:space="preserve">Mismatch between prediction and sensory input propagates upward through cortical hierarchy</w:t>
            </w:r>
          </w:p>
        </w:tc>
        <w:tc>
          <w:tcPr>
            <w:tcW w:type="pct" w:w="25%"/>
          </w:tcPr>
          <w:p>
            <w:r>
              <w:rPr>
                <w:rFonts w:ascii="Calibri" w:cs="Calibri" w:eastAsia="Calibri" w:hAnsi="Calibri"/>
                <w:b w:val="false"/>
                <w:bCs w:val="false"/>
                <w:i w:val="false"/>
                <w:iCs w:val="false"/>
                <w:strike w:val="false"/>
                <w:color w:val="333333"/>
                <w:sz w:val="22"/>
                <w:szCs w:val="22"/>
              </w:rPr>
              <w:t xml:space="preserve">None — no error signal exists at inference time; only loss during training</w:t>
            </w:r>
          </w:p>
        </w:tc>
        <w:tc>
          <w:tcPr>
            <w:tcW w:type="pct" w:w="25%"/>
          </w:tcPr>
          <w:p>
            <w:r>
              <w:rPr>
                <w:rFonts w:ascii="Calibri" w:cs="Calibri" w:eastAsia="Calibri" w:hAnsi="Calibri"/>
                <w:b w:val="false"/>
                <w:bCs w:val="false"/>
                <w:i w:val="false"/>
                <w:iCs w:val="false"/>
                <w:strike w:val="false"/>
                <w:color w:val="333333"/>
                <w:sz w:val="22"/>
                <w:szCs w:val="22"/>
              </w:rPr>
              <w:t xml:space="preserve">ConfidenceScore contradiction detection — contradicting evidence triggers CS revision and upward propagation (with HEP addition)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Temporal prediction</w:t>
            </w:r>
          </w:p>
        </w:tc>
        <w:tc>
          <w:tcPr>
            <w:tcW w:type="pct" w:w="25%"/>
          </w:tcPr>
          <w:p>
            <w:r>
              <w:rPr>
                <w:rFonts w:ascii="Calibri" w:cs="Calibri" w:eastAsia="Calibri" w:hAnsi="Calibri"/>
                <w:b w:val="false"/>
                <w:bCs w:val="false"/>
                <w:i w:val="false"/>
                <w:iCs w:val="false"/>
                <w:strike w:val="false"/>
                <w:color w:val="333333"/>
                <w:sz w:val="22"/>
                <w:szCs w:val="22"/>
              </w:rPr>
              <w:t xml:space="preserve">Sequence prediction across motor and sensory time at multiple timescales</w:t>
            </w:r>
          </w:p>
        </w:tc>
        <w:tc>
          <w:tcPr>
            <w:tcW w:type="pct" w:w="25%"/>
          </w:tcPr>
          <w:p>
            <w:r>
              <w:rPr>
                <w:rFonts w:ascii="Calibri" w:cs="Calibri" w:eastAsia="Calibri" w:hAnsi="Calibri"/>
                <w:b w:val="false"/>
                <w:bCs w:val="false"/>
                <w:i w:val="false"/>
                <w:iCs w:val="false"/>
                <w:strike w:val="false"/>
                <w:color w:val="333333"/>
                <w:sz w:val="22"/>
                <w:szCs w:val="22"/>
              </w:rPr>
              <w:t xml:space="preserve">None in inference — context window is static</w:t>
            </w:r>
          </w:p>
        </w:tc>
        <w:tc>
          <w:tcPr>
            <w:tcW w:type="pct" w:w="25%"/>
          </w:tcPr>
          <w:p>
            <w:r>
              <w:rPr>
                <w:rFonts w:ascii="Calibri" w:cs="Calibri" w:eastAsia="Calibri" w:hAnsi="Calibri"/>
                <w:b w:val="false"/>
                <w:bCs w:val="false"/>
                <w:i w:val="false"/>
                <w:iCs w:val="false"/>
                <w:strike w:val="false"/>
                <w:color w:val="333333"/>
                <w:sz w:val="22"/>
                <w:szCs w:val="22"/>
              </w:rPr>
              <w:t xml:space="preserve">TMM across session sequences; SAFU cross-session prediction</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Counterfactual simulation</w:t>
            </w:r>
          </w:p>
        </w:tc>
        <w:tc>
          <w:tcPr>
            <w:tcW w:type="pct" w:w="25%"/>
          </w:tcPr>
          <w:p>
            <w:r>
              <w:rPr>
                <w:rFonts w:ascii="Calibri" w:cs="Calibri" w:eastAsia="Calibri" w:hAnsi="Calibri"/>
                <w:b w:val="false"/>
                <w:bCs w:val="false"/>
                <w:i w:val="false"/>
                <w:iCs w:val="false"/>
                <w:strike w:val="false"/>
                <w:color w:val="333333"/>
                <w:sz w:val="22"/>
                <w:szCs w:val="22"/>
              </w:rPr>
              <w:t xml:space="preserve">Prefrontal cortex forward modeling of alternative futures</w:t>
            </w:r>
          </w:p>
        </w:tc>
        <w:tc>
          <w:tcPr>
            <w:tcW w:type="pct" w:w="25%"/>
          </w:tcPr>
          <w:p>
            <w:r>
              <w:rPr>
                <w:rFonts w:ascii="Calibri" w:cs="Calibri" w:eastAsia="Calibri" w:hAnsi="Calibri"/>
                <w:b w:val="false"/>
                <w:bCs w:val="false"/>
                <w:i w:val="false"/>
                <w:iCs w:val="false"/>
                <w:strike w:val="false"/>
                <w:color w:val="333333"/>
                <w:sz w:val="22"/>
                <w:szCs w:val="22"/>
              </w:rPr>
              <w:t xml:space="preserve">Statistical plausibility estimation across token space</w:t>
            </w:r>
          </w:p>
        </w:tc>
        <w:tc>
          <w:tcPr>
            <w:tcW w:type="pct" w:w="25%"/>
          </w:tcPr>
          <w:p>
            <w:r>
              <w:rPr>
                <w:rFonts w:ascii="Calibri" w:cs="Calibri" w:eastAsia="Calibri" w:hAnsi="Calibri"/>
                <w:b w:val="false"/>
                <w:bCs w:val="false"/>
                <w:i w:val="false"/>
                <w:iCs w:val="false"/>
                <w:strike w:val="false"/>
                <w:color w:val="333333"/>
                <w:sz w:val="22"/>
                <w:szCs w:val="22"/>
              </w:rPr>
              <w:t xml:space="preserve">Scenario Graph System — structured counterfactual traversal over Fact Graph branches</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Continuous learning</w:t>
            </w:r>
          </w:p>
        </w:tc>
        <w:tc>
          <w:tcPr>
            <w:tcW w:type="pct" w:w="25%"/>
          </w:tcPr>
          <w:p>
            <w:r>
              <w:rPr>
                <w:rFonts w:ascii="Calibri" w:cs="Calibri" w:eastAsia="Calibri" w:hAnsi="Calibri"/>
                <w:b w:val="false"/>
                <w:bCs w:val="false"/>
                <w:i w:val="false"/>
                <w:iCs w:val="false"/>
                <w:strike w:val="false"/>
                <w:color w:val="333333"/>
                <w:sz w:val="22"/>
                <w:szCs w:val="22"/>
              </w:rPr>
              <w:t xml:space="preserve">Yes — lifelong synaptic plasticity from every experience</w:t>
            </w:r>
          </w:p>
        </w:tc>
        <w:tc>
          <w:tcPr>
            <w:tcW w:type="pct" w:w="25%"/>
          </w:tcPr>
          <w:p>
            <w:r>
              <w:rPr>
                <w:rFonts w:ascii="Calibri" w:cs="Calibri" w:eastAsia="Calibri" w:hAnsi="Calibri"/>
                <w:b w:val="false"/>
                <w:bCs w:val="false"/>
                <w:i w:val="false"/>
                <w:iCs w:val="false"/>
                <w:strike w:val="false"/>
                <w:color w:val="333333"/>
                <w:sz w:val="22"/>
                <w:szCs w:val="22"/>
              </w:rPr>
              <w:t xml:space="preserve">No — frozen after training, no inference-time learning</w:t>
            </w:r>
          </w:p>
        </w:tc>
        <w:tc>
          <w:tcPr>
            <w:tcW w:type="pct" w:w="25%"/>
          </w:tcPr>
          <w:p>
            <w:r>
              <w:rPr>
                <w:rFonts w:ascii="Calibri" w:cs="Calibri" w:eastAsia="Calibri" w:hAnsi="Calibri"/>
                <w:b w:val="false"/>
                <w:bCs w:val="false"/>
                <w:i w:val="false"/>
                <w:iCs w:val="false"/>
                <w:strike w:val="false"/>
                <w:color w:val="333333"/>
                <w:sz w:val="22"/>
                <w:szCs w:val="22"/>
              </w:rPr>
              <w:t xml:space="preserve">Yes — every ingestion updates Fact Graph and World Brain continuously</w:t>
            </w:r>
          </w:p>
        </w:tc>
      </w:tr>
      <w:tr>
        <w:trPr>
          <w:tblHeader w:val="false"/>
        </w:trPr>
        <w:tc>
          <w:tcPr>
            <w:tcW w:type="pct" w:w="25%"/>
          </w:tcPr>
          <w:p>
            <w:r>
              <w:rPr>
                <w:rFonts w:ascii="Calibri" w:cs="Calibri" w:eastAsia="Calibri" w:hAnsi="Calibri"/>
                <w:b w:val="false"/>
                <w:bCs w:val="false"/>
                <w:i w:val="false"/>
                <w:iCs w:val="false"/>
                <w:strike w:val="false"/>
                <w:color w:val="333333"/>
                <w:sz w:val="22"/>
                <w:szCs w:val="22"/>
              </w:rPr>
              <w:t xml:space="preserve">Grounded in reality</w:t>
            </w:r>
          </w:p>
        </w:tc>
        <w:tc>
          <w:tcPr>
            <w:tcW w:type="pct" w:w="25%"/>
          </w:tcPr>
          <w:p>
            <w:r>
              <w:rPr>
                <w:rFonts w:ascii="Calibri" w:cs="Calibri" w:eastAsia="Calibri" w:hAnsi="Calibri"/>
                <w:b w:val="false"/>
                <w:bCs w:val="false"/>
                <w:i w:val="false"/>
                <w:iCs w:val="false"/>
                <w:strike w:val="false"/>
                <w:color w:val="333333"/>
                <w:sz w:val="22"/>
                <w:szCs w:val="22"/>
              </w:rPr>
              <w:t xml:space="preserve">Yes — sensorimotor coupling to physical world</w:t>
            </w:r>
          </w:p>
        </w:tc>
        <w:tc>
          <w:tcPr>
            <w:tcW w:type="pct" w:w="25%"/>
          </w:tcPr>
          <w:p>
            <w:r>
              <w:rPr>
                <w:rFonts w:ascii="Calibri" w:cs="Calibri" w:eastAsia="Calibri" w:hAnsi="Calibri"/>
                <w:b w:val="false"/>
                <w:bCs w:val="false"/>
                <w:i w:val="false"/>
                <w:iCs w:val="false"/>
                <w:strike w:val="false"/>
                <w:color w:val="333333"/>
                <w:sz w:val="22"/>
                <w:szCs w:val="22"/>
              </w:rPr>
              <w:t xml:space="preserve">No — statistical patterns over text only, no world grounding</w:t>
            </w:r>
          </w:p>
        </w:tc>
        <w:tc>
          <w:tcPr>
            <w:tcW w:type="pct" w:w="25%"/>
          </w:tcPr>
          <w:p>
            <w:r>
              <w:rPr>
                <w:rFonts w:ascii="Calibri" w:cs="Calibri" w:eastAsia="Calibri" w:hAnsi="Calibri"/>
                <w:b w:val="false"/>
                <w:bCs w:val="false"/>
                <w:i w:val="false"/>
                <w:iCs w:val="false"/>
                <w:strike w:val="false"/>
                <w:color w:val="333333"/>
                <w:sz w:val="22"/>
                <w:szCs w:val="22"/>
              </w:rPr>
              <w:t xml:space="preserve">Yes — Fact Units are grounded semantic assertions traceable to specific source passages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41.4 The Eight Existing Prediction Mechanisms</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already contains eight distinct mechanisms that constitute forms of prediction, operating across different timescales and abstraction levels. These mechanisms were not designed as a unified prediction architecture — they emerged from independent architectural decisions across multiple chapters. Chapter 41 formally unifies them as the QueryBook Predictive Cognitive Architecture.</w:t>
      </w:r>
    </w:p>
    <w:p>
      <w:pPr>
        <w:pStyle w:val="Heading3"/>
        <w:spacing w:after="120" w:before="240" w:line="288" w:lineRule="auto"/>
      </w:pPr>
      <w:r>
        <w:rPr>
          <w:rFonts w:ascii="Calibri" w:cs="Calibri" w:eastAsia="Calibri" w:hAnsi="Calibri"/>
          <w:color w:val="000000"/>
          <w:sz w:val="30"/>
          <w:szCs w:val="30"/>
        </w:rPr>
        <w:t xml:space="preserve">41.4.1 Temporal Memory Module (TMM) — Direct Predictive Coding Parallel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TMM learns the sequence of Fact Units retrieved across a session and uses that learned sequence to predict which Fact Units are likely to be relevant to the next query before that query is submitted. The TMM pre-weights predicted Fact Units in the Cognitive Context Window, reducing traversal cost for queries that confirm the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identical to the neocortex's predictive coding mechanism. In Predictive Coding, the brain pre-activates neural patterns representing the expected next sensory input and fires in advance — only propagating a signal upward when the prediction fails. The TMM does exactly this at the semantic level: it commits resources toward what it expects to need before the need is confirmed. Specified in Chapter 7.</w:t>
      </w:r>
    </w:p>
    <w:p>
      <w:pPr>
        <w:pStyle w:val="Heading3"/>
        <w:spacing w:after="120" w:before="240" w:line="288" w:lineRule="auto"/>
      </w:pPr>
      <w:r>
        <w:rPr>
          <w:rFonts w:ascii="Calibri" w:cs="Calibri" w:eastAsia="Calibri" w:hAnsi="Calibri"/>
          <w:color w:val="000000"/>
          <w:sz w:val="30"/>
          <w:szCs w:val="30"/>
        </w:rPr>
        <w:t xml:space="preserve">41.4.2 Associative Recall Engine (ARE) — Pre-Activation of Expected Nodes</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processing a query, the ARE surveys the Cognitive Context Window and assigns elevated SessionRelevanceWeights to Fact Units semantically proximate to the current query — pre-activating them before traversal begins rather than starting from a cold state.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cortical pre-activation — the brain's columns fire anticipatorily based on context before sensory data arrives. The ARE's SRW elevation is QueryBook's equivalent of anticipatory neural resource commitment. Specified in Chapter 7.</w:t>
      </w:r>
    </w:p>
    <w:p>
      <w:pPr>
        <w:pStyle w:val="Heading3"/>
        <w:spacing w:after="120" w:before="240" w:line="288" w:lineRule="auto"/>
      </w:pPr>
      <w:r>
        <w:rPr>
          <w:rFonts w:ascii="Calibri" w:cs="Calibri" w:eastAsia="Calibri" w:hAnsi="Calibri"/>
          <w:color w:val="000000"/>
          <w:sz w:val="30"/>
          <w:szCs w:val="30"/>
        </w:rPr>
        <w:t xml:space="preserve">41.4.3 Predictive Inference Engine (PIE) — Forward Simulation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PIE performs multi-hop forward inference — given the current state of the Fact Graph and the reader's established context, it projects what follows from known Fact Units, reasoning forward through causal and logical chains to produce inferred conclusions not explicitly stated in any single Fact Unit.</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Hawkins describes cortical columns as running simulation — the brain does not just perceive the present, it simulates the near future to prepare motor and cognitive responses. The PIE is QueryBook's simulation engine. Unlike LLM inference, every PIE inference step is a typed graph traversal grounded in stored Fact Units — there is no hallucination pathway because every intermediate conclusion is traceable to specific source content. Specified in Chapter 10.</w:t>
      </w:r>
    </w:p>
    <w:p>
      <w:pPr>
        <w:pStyle w:val="Heading3"/>
        <w:spacing w:after="120" w:before="240" w:line="288" w:lineRule="auto"/>
      </w:pPr>
      <w:r>
        <w:rPr>
          <w:rFonts w:ascii="Calibri" w:cs="Calibri" w:eastAsia="Calibri" w:hAnsi="Calibri"/>
          <w:color w:val="000000"/>
          <w:sz w:val="30"/>
          <w:szCs w:val="30"/>
        </w:rPr>
        <w:t xml:space="preserve">41.4.4 Scenario Graph System — Counterfactual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runs forward-model projections and counterfactual simulations across the Fact Graph — projecting what would follow if X had been true instead of Y, enabling structured reasoning about hypothetical and alternative situations.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Predictive Coding's highest cognitive function is simulating alternative futures. The neocortex's prefrontal regions run counterfactual models that allow humans to reason about hypothetical situations. The Scenario Graph is QueryBook's equivalent — structured, Fact Unit-grounded counterfactual simulation rather than probabilistic language generation. Specified in Chapter 11.</w:t>
      </w:r>
    </w:p>
    <w:p>
      <w:pPr>
        <w:pStyle w:val="Heading3"/>
        <w:spacing w:after="120" w:before="240" w:line="288" w:lineRule="auto"/>
      </w:pPr>
      <w:r>
        <w:rPr>
          <w:rFonts w:ascii="Calibri" w:cs="Calibri" w:eastAsia="Calibri" w:hAnsi="Calibri"/>
          <w:color w:val="000000"/>
          <w:sz w:val="30"/>
          <w:szCs w:val="30"/>
        </w:rPr>
        <w:t xml:space="preserve">41.4.5 ConceptStabilityWeight (CSW) — Bayesian Prior Strength</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CSW tracks how settled a World Brain concept node is — how much confirming evidence has accumulated and how consistent it is. High-CSW concept nodes strongly resist revision from single-source contradicting evidence. CSW is updated by every relevant ingestion event through the Continuous Evidence Integration process.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structurally equivalent to a Bayesian prior. In Predictive Coding, strong priors require large prediction errors to be updated — weak priors are easily overwritten. CSW is QueryBook's prior strength for its world model. A concept node with CSW 0.90 has a strong prior; it takes multi-source contradicting evidence to revise it. Specified in Chapter 41.</w:t>
      </w:r>
    </w:p>
    <w:p>
      <w:pPr>
        <w:pStyle w:val="Heading3"/>
        <w:spacing w:after="120" w:before="240" w:line="288" w:lineRule="auto"/>
      </w:pPr>
      <w:r>
        <w:rPr>
          <w:rFonts w:ascii="Calibri" w:cs="Calibri" w:eastAsia="Calibri" w:hAnsi="Calibri"/>
          <w:color w:val="000000"/>
          <w:sz w:val="30"/>
          <w:szCs w:val="30"/>
        </w:rPr>
        <w:t xml:space="preserve">41.4.6 ConfidenceScore Contradiction Detection — Prediction Error Signal</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when a newly ingested Fact Unit contradicts an existing one, the Confidence Scoring Engine flags the conflict and demotes the lower-confidence Fact Unit. The system's existing model generates an implicit prediction — high-CS Fact Units represent confident assertions about reality. Incoming contradicting evidence is the prediction error signal. CS revision is the model update.</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the prediction error signal at the heart of Predictive Coding. When sensory input contradicts the brain's top-down prediction, the mismatch propagates upward to update the generative model. QueryBook's contradiction detection and CS revision is the semantic equivalent at the Fact Unit level. Specified in Chapter 41. Extended by Hierarchical Error Propagation in Section 41.5.1.</w:t>
      </w:r>
    </w:p>
    <w:p>
      <w:pPr>
        <w:pStyle w:val="Heading3"/>
        <w:spacing w:after="120" w:before="240" w:line="288" w:lineRule="auto"/>
      </w:pPr>
      <w:r>
        <w:rPr>
          <w:rFonts w:ascii="Calibri" w:cs="Calibri" w:eastAsia="Calibri" w:hAnsi="Calibri"/>
          <w:color w:val="000000"/>
          <w:sz w:val="30"/>
          <w:szCs w:val="30"/>
        </w:rPr>
        <w:t xml:space="preserve">41.4.7 World Brain Concept Node Formation — Cortical Column Invariant Learning</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World Brain extracts invariant properties across many specific instances — building concept nodes that represent generalised, context-independent models of what things are and what relationships they participate in, regardless of the specific source, language, or context in which they were encountered.</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exactly what Hawkins describes cortical columns doing. Each cortical column builds an invariant model of an object — a representation that recognises the object regardless of orientation, context, or sensory modality, learned through many exposures. The World Brain's concept node formation process is structurally isomorphic to cortical column invariant model formation. Both observe many specific instances, extract stable invariant properties, build a context-independent model, and use that model to recognise and predict future instances. This is the deepest structural parallel between QueryBook and the biological neocortex. Specified in Chapter 54.</w:t>
      </w:r>
    </w:p>
    <w:p>
      <w:pPr>
        <w:pStyle w:val="Heading3"/>
        <w:spacing w:after="120" w:before="240" w:line="288" w:lineRule="auto"/>
      </w:pPr>
      <w:r>
        <w:rPr>
          <w:rFonts w:ascii="Calibri" w:cs="Calibri" w:eastAsia="Calibri" w:hAnsi="Calibri"/>
          <w:color w:val="000000"/>
          <w:sz w:val="30"/>
          <w:szCs w:val="30"/>
        </w:rPr>
        <w:t xml:space="preserve">41.4.8 Thematic Similarity Engine (TSE) — Multi-Timescale Cross-Session Prediction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What it does: the TSE identifies recurring thematic patterns across a reader's entire session history and uses them to predict which unexplored Fact Units and works are likely to be of interest, operating at the lifetime scale of the reader's complete intellectual engagement history.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the neocortex operates across multiple timescales simultaneously — millisecond sensory prediction, second-scale working memory, minute-scale episodic prediction, year-scale semantic memory. The TSE adds a lifetime-scale prediction layer to QueryBook — predicting across the reader's entire engagement history, not just the current session. Specified in Chapter 36.</w:t>
      </w:r>
    </w:p>
    <w:p>
      <w:r>
        <w:t xml:space="preserve">With the enhanced record of §3.8, contradiction detection gains two structural inputs ahead of the prediction-error machinery of this section: explicit assertion polarity, under which records agreeing on the same assertion core with opposite polarity are contradictory by field comparison, and applicability scope, under which records asserting differently within disjoint scopes are recognized as non-conflicting and reported by condition rather than as error. (Added Pass 115, September 2, 2026.)</w:t>
      </w:r>
    </w:p>
    <w:p>
      <w:pPr>
        <w:pStyle w:val="Heading2"/>
        <w:spacing w:after="120" w:before="240" w:line="288" w:lineRule="auto"/>
      </w:pPr>
      <w:r>
        <w:rPr>
          <w:rFonts w:ascii="Calibri" w:cs="Calibri" w:eastAsia="Calibri" w:hAnsi="Calibri"/>
          <w:color w:val="000000"/>
          <w:sz w:val="36"/>
          <w:szCs w:val="36"/>
        </w:rPr>
        <w:t xml:space="preserve">41.5 The Four Additions — Completing the Predictive Cognitive Architecture</w:t>
      </w:r>
    </w:p>
    <w:p>
      <w:pPr>
        <w:spacing w:after="240" w:line="360" w:lineRule="auto"/>
      </w:pPr>
      <w:r>
        <w:rPr>
          <w:rFonts w:ascii="Calibri" w:cs="Calibri" w:eastAsia="Calibri" w:hAnsi="Calibri"/>
          <w:b w:val="false"/>
          <w:bCs w:val="false"/>
          <w:i w:val="false"/>
          <w:iCs w:val="false"/>
          <w:strike w:val="false"/>
          <w:color w:val="333333"/>
          <w:sz w:val="22"/>
          <w:szCs w:val="22"/>
        </w:rPr>
        <w:t xml:space="preserve">Despite containing eight prediction mechanisms, QueryBook has four structural gaps relative to the full Thousand Brains and Predictive Coding architecture. The following four additions close those gaps and complete the PCA.</w:t>
      </w:r>
    </w:p>
    <w:p>
      <w:pPr>
        <w:pStyle w:val="Heading3"/>
        <w:spacing w:after="120" w:before="240" w:line="288" w:lineRule="auto"/>
      </w:pPr>
      <w:r>
        <w:rPr>
          <w:rFonts w:ascii="Calibri" w:cs="Calibri" w:eastAsia="Calibri" w:hAnsi="Calibri"/>
          <w:color w:val="000000"/>
          <w:sz w:val="30"/>
          <w:szCs w:val="30"/>
        </w:rPr>
        <w:t xml:space="preserve">41.5.1 Hierarchical Error Propagation (HEP)</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Predictive Coding, when a prediction fails, the error signal propagates upward through the cortical hierarchy, updating not just the immediate prediction but the higher-level model that generated it. QueryBook currently detects contradictions and revises the specific conflicting Fact Units, but does not propagate the error signal upward to revise the World Brain concept nodes whose attribute values generated the expectation that was contradicted.</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Fact Unit is contradicted during ingestion, the HEP system traces upward through the Cross-Modal Bindings to identify which World Brain concept node attributes predicted the contradicted value and applies a proportional CSW reduction to those attributes. The contradiction does not just revise the specific Fact Unit — it revises the broader world model that made the prediction. The magnitude of the CSW reduction is proportional to the CS differential between the contradicting and contradicted Fact Units, ensuring that high-confidence contradictions produce larger model updates than low-confidence ones.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hierarchical error propagation is the defining mechanism of Predictive Coding at the architectural level. Without upward error propagation, a system can detect prediction failures but cannot update the model that caused them. HEP closes this gap, making QueryBook's generative model self-correcting at every level of the hierarchy.</w:t>
      </w:r>
    </w:p>
    <w:p>
      <w:pPr>
        <w:pStyle w:val="Heading3"/>
        <w:spacing w:after="120" w:before="240" w:line="288" w:lineRule="auto"/>
      </w:pPr>
      <w:r>
        <w:rPr>
          <w:rFonts w:ascii="Calibri" w:cs="Calibri" w:eastAsia="Calibri" w:hAnsi="Calibri"/>
          <w:color w:val="000000"/>
          <w:sz w:val="30"/>
          <w:szCs w:val="30"/>
        </w:rPr>
        <w:t xml:space="preserve">41.5.2 Predictive Pre-Retrieval Engine (PPRE)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QueryBook retrieves Fact Units in response to queries — it is reactive at the query boundary. The TMM predicts what will be needed but does not act on that prediction before the query arrives. The brain does not wait for sensory input to confirm its prediction before committing neural resources — it pre-loads expected representations.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during the interval between one query response being delivered and the next query being submitted, the PPRE uses the TMM's sequence prediction to speculatively retrieve the top-N most likely next-needed Fact Units into a pre-retrieval buffer within the CCW, assigning them provisional SRWs. When the next query arrives, if the query confirms the prediction, the retrieval has already occurred — query latency drops to near zero. If the query disconfirms the prediction, the buffer is discarded and standard traversal proceeds. The PPRE operates only during idle intervals — it does not consume retrieval capacity during active query processing. Pre-retrieved Fact Units are tagged as SPECULATIVE and are not included in query responses until confirmed by an actual query.</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anticipatory retrieval — the semantic equivalent of cortical pre-activation. The brain commits neural resources toward expected stimuli before they arrive; the PPRE commits retrieval resources toward expected Fact Units before the query arrives.</w:t>
      </w:r>
    </w:p>
    <w:p>
      <w:pPr>
        <w:pStyle w:val="Heading3"/>
        <w:spacing w:after="120" w:before="240" w:line="288" w:lineRule="auto"/>
      </w:pPr>
      <w:r>
        <w:rPr>
          <w:rFonts w:ascii="Calibri" w:cs="Calibri" w:eastAsia="Calibri" w:hAnsi="Calibri"/>
          <w:color w:val="000000"/>
          <w:sz w:val="30"/>
          <w:szCs w:val="30"/>
        </w:rPr>
        <w:t xml:space="preserve">41.5.3 Competitive Candidate Resolution (CCR)</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the Thousand Brains Theory’s most distinctive architectural claim is that perception is achieved by democratic voting across thousands of independent cortical columns, each running its own complete model. QueryBook requires an equivalent resolution mechanism for a query that admits several mutually inconsistent interpretations — but a formal vote among semantic domains would contradict the domain partition, in which exactly one domain owns each decision, and would require a consensus rule carrying its own determinism argument. What votes in the Thousand Brains framework is a population of independent models each forming a complete hypothesis about the same object; in QueryBook that population is the candidate record set, not the domain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a query admits several mutually inconsistent interpretations, the candidate Fact Units supporting each interpretation are activated together rather than evaluated in sequence. Each candidate’s activation is reduced in proportion to the summed activation of the candidates inconsistent with it, and the set is iterated to a stable state under the Attractor Network’s threshold update. A candidate falling below the retention floor is suppressed; the surviving configuration is the interpretation the records best support. Where two candidates survive at comparable activation, the set does not resolve and the clarification mechanism is invoked rather than the higher of the two being taken — and where two high-confidence candidates are mutually contradictory, CCR flags the conflict explicitly in the response rather than silently suppressing either result. The conflict itself is surfaced as information: ‘The narrative domain and the biographical domain produce different accounts of this event — here is what each asserts and the confidence level of each assertion.’ The resolution is deterministic: suppression is a fixed arithmetic operation over the activations, the suppression coefficient and retention floor are registered configuration recorded with the response, and the iteration terminates by energy descent; no consensus is taken by sampling, weighting by chance, or arbitrary tie-breaking.</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CCR is the computational equivalent of the voting process by which the neocortex achieves stable unified perception from many independent column models, implemented as biased competition in the sense of Desimone and Duncan (1995): representations compete, and a bias — the accumulated evidence behind each candidate — resolves the competition without a separate selector deciding among them. Each candidate record set is the computational equivalent of an independent column model forming a complete hypothesis; the competition is among candidates, not among domains. (Drafting record, August 29, 2026: this subsection formerly described Semantic Consensus Voting, a consensus assembled by voting across semantic domains. That formulation is withdrawn in favour of the candidate-level mechanism stated here, which preserves the original’s explicit conflict-surfacing behaviour while remaining consistent with the domain partition and the determinism guarantee. The provisional application and the Core Technology Overview recite Competitive Candidate Resolution.)</w:t>
      </w:r>
    </w:p>
    <w:p>
      <w:r>
        <w:t xml:space="preserve">Under the enhanced record of §3.8, every candidate entering resolution carries its assertion polarity and applicability scope, so candidates of opposite polarity or disjoint scope are distinguished structurally at the candidate level, and resolution operates only over candidates genuinely competing for the same assertion under the same conditions. (Added Pass 115, September 2, 2026.)</w:t>
      </w:r>
    </w:p>
    <w:p>
      <w:pPr>
        <w:pStyle w:val="Heading3"/>
        <w:spacing w:after="120" w:before="240" w:line="288" w:lineRule="auto"/>
      </w:pPr>
      <w:r>
        <w:rPr>
          <w:rFonts w:ascii="Calibri" w:cs="Calibri" w:eastAsia="Calibri" w:hAnsi="Calibri"/>
          <w:color w:val="000000"/>
          <w:sz w:val="30"/>
          <w:szCs w:val="30"/>
        </w:rPr>
        <w:t xml:space="preserve">41.5.4 Active Inference Query Generation (AIQG)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gap: in Active Inference — Karl Friston's extension of Predictive Coding — the brain does not just passively predict, it acts to gather evidence that will confirm or refute its current model. It generates queries against the world. QueryBook is entirely reactive: it answers questions but does not generate its own questions to resolve its own uncertainties.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addition: when the PIE's forward inference chain reaches a node with ConfidenceScore below a configurable threshold, instead of stopping or returning a low-confidence result, the AIQG generates an internal query — a structured request for the specific Fact Unit that would resolve the uncertainty — and presents it to the reader as a targeted, purposeful clarification request: 'To give you a more complete answer on this point, could you tell me whether [specific missing fact]?' The clarification request identifies exactly what is missing and why it matters for the current inference chain. If the reader provides the missing information, it is ingested as a high-trust Personal Situation Fact Unit and the inference chain is completed. If the reader does not provide it, the inference chain returns its best partial result with explicit confidence qualification. AIQG requests are rate-limited to one per query response — the system never bombards the reader with multiple simultaneous clarification requests.</w:t>
      </w:r>
    </w:p>
    <w:p>
      <w:pPr>
        <w:spacing w:after="240" w:line="360" w:lineRule="auto"/>
      </w:pPr>
      <w:r>
        <w:rPr>
          <w:rFonts w:ascii="Calibri" w:cs="Calibri" w:eastAsia="Calibri" w:hAnsi="Calibri"/>
          <w:b w:val="false"/>
          <w:bCs w:val="false"/>
          <w:i w:val="false"/>
          <w:iCs w:val="false"/>
          <w:strike w:val="false"/>
          <w:color w:val="333333"/>
          <w:sz w:val="22"/>
          <w:szCs w:val="22"/>
        </w:rPr>
        <w:t xml:space="preserve">Neuroscience parallel: this is Active Inference — the brain's mechanism for directing sensory attention toward stimuli that will most reduce prediction uncertainty. The brain does not passively receive data; it actively selects what to attend to based on which inputs will most efficiently resolve its current predictive uncertainty. The AIQG gives QueryBook this same capability at the semantic level.</w:t>
      </w:r>
    </w:p>
    <w:p>
      <w:pPr>
        <w:pStyle w:val="Heading2"/>
        <w:spacing w:after="120" w:before="240" w:line="288" w:lineRule="auto"/>
      </w:pPr>
      <w:r>
        <w:rPr>
          <w:rFonts w:ascii="Calibri" w:cs="Calibri" w:eastAsia="Calibri" w:hAnsi="Calibri"/>
          <w:color w:val="000000"/>
          <w:sz w:val="36"/>
          <w:szCs w:val="36"/>
        </w:rPr>
        <w:t xml:space="preserve">41.6 The Three Amplifications — Maximising Existing Capability</w:t>
      </w:r>
    </w:p>
    <w:p>
      <w:pPr>
        <w:spacing w:after="240" w:line="360" w:lineRule="auto"/>
      </w:pPr>
      <w:r>
        <w:rPr>
          <w:rFonts w:ascii="Calibri" w:cs="Calibri" w:eastAsia="Calibri" w:hAnsi="Calibri"/>
          <w:b w:val="false"/>
          <w:bCs w:val="false"/>
          <w:i w:val="false"/>
          <w:iCs w:val="false"/>
          <w:strike w:val="false"/>
          <w:color w:val="333333"/>
          <w:sz w:val="22"/>
          <w:szCs w:val="22"/>
        </w:rPr>
        <w:t xml:space="preserve">Three existing prediction mechanisms in the PCA can be significantly amplified without architectural addition — through extension of scope, replacement of update model, and pre-computation of inference results.</w:t>
      </w:r>
    </w:p>
    <w:p>
      <w:pPr>
        <w:pStyle w:val="Heading3"/>
        <w:spacing w:after="120" w:before="240" w:line="288" w:lineRule="auto"/>
      </w:pPr>
      <w:r>
        <w:rPr>
          <w:rFonts w:ascii="Calibri" w:cs="Calibri" w:eastAsia="Calibri" w:hAnsi="Calibri"/>
          <w:color w:val="000000"/>
          <w:sz w:val="30"/>
          <w:szCs w:val="30"/>
        </w:rPr>
        <w:t xml:space="preserve">41.6.1 Cross-Session TMM Extension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TMM learns sequential Fact Unit retrieval patterns within a single session. The Session Archive Fact Units (Chapter 36) contain the sequence data from all prior sessions for a given reader against a given work.</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TMM to learn across all prior SAFUs for a given reader-work pair, building a lifetime-scale sequence model. The cross-session TMM learns the reader's habitual retrieval sequences — which topics they always explore before which other topics, which character-related queries always follow which theme-related queries — and uses those lifetime patterns to weight predictions at the start of every new session. The cross-session TMM produces stronger and more accurate predictions than the within-session TMM because it has access to a much larger sequence training set, and because habitual patterns are more stable than within-session patterns. This is the computational equivalent of how the neocortex learns habitual sequential patterns over years of repeated experience.</w:t>
      </w:r>
    </w:p>
    <w:p>
      <w:pPr>
        <w:pStyle w:val="Heading3"/>
        <w:spacing w:after="120" w:before="240" w:line="288" w:lineRule="auto"/>
      </w:pPr>
      <w:r>
        <w:rPr>
          <w:rFonts w:ascii="Calibri" w:cs="Calibri" w:eastAsia="Calibri" w:hAnsi="Calibri"/>
          <w:color w:val="000000"/>
          <w:sz w:val="30"/>
          <w:szCs w:val="30"/>
        </w:rPr>
        <w:t xml:space="preserve">41.6.2 Fully Bayesian ConfidenceScore</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ConfidenceScore updates are additive and rule-based — each corroborating or contradicting Fact Unit adds or subtracts a defined increment from the current CS value, governed by the four weighting rules specified in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replace the additive CS update formula with a proper Bayesian posterior update, where each new piece of evidence updates the probability distribution over possible truth values rather than adding a fixed increment to a scalar score. The Bayesian CS treats the current CS as the prior probability that the Fact Unit's assertion is accurate. Each new corroborating or contradicting piece of evidence is treated as a likelihood function that updates the posterior. The result is a CS that updates more aggressively in response to early evidence (when the prior is weak) and more conservatively in response to later evidence (when the prior is already strong) — matching the statistical behaviour of strong Bayesian priors in the neocortex. This makes QueryBook's confidence system a genuine Bayesian inference engine rather than a rule-based accumulator.</w:t>
      </w:r>
    </w:p>
    <w:p>
      <w:pPr>
        <w:pStyle w:val="Heading3"/>
        <w:spacing w:after="120" w:before="240" w:line="288" w:lineRule="auto"/>
      </w:pPr>
      <w:r>
        <w:rPr>
          <w:rFonts w:ascii="Calibri" w:cs="Calibri" w:eastAsia="Calibri" w:hAnsi="Calibri"/>
          <w:color w:val="000000"/>
          <w:sz w:val="30"/>
          <w:szCs w:val="30"/>
        </w:rPr>
        <w:t xml:space="preserve">41.6.3 Pre-Computed PIE Inference Chains</w:t>
      </w:r>
    </w:p>
    <w:p>
      <w:pPr>
        <w:spacing w:after="240" w:line="360" w:lineRule="auto"/>
      </w:pPr>
      <w:r>
        <w:rPr>
          <w:rFonts w:ascii="Calibri" w:cs="Calibri" w:eastAsia="Calibri" w:hAnsi="Calibri"/>
          <w:b w:val="false"/>
          <w:bCs w:val="false"/>
          <w:i w:val="false"/>
          <w:iCs w:val="false"/>
          <w:strike w:val="false"/>
          <w:color w:val="333333"/>
          <w:sz w:val="22"/>
          <w:szCs w:val="22"/>
        </w:rPr>
        <w:t xml:space="preserve">Current state: the PIE runs forward inference in response to queries — when a query triggers a multi-hop inference requirement, the PIE computes the inference chain in real time during query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Amplification: extend the PIE to run speculatively at ingestion time — when a new Fact Unit is committed to the Fact Graph, the PIE immediately computes the forward inference chains that the new Fact Unit enables and stores the resulting derived conclusions as pre-computed Derived Inference Fact Units with a DERIVED_INFERENCE provenance tag. When a query subsequently triggers those inferences, the answer is already assembled — no real-time computation is required. Pre-computed inference chains are invalidated and recomputed whenever a Fact Unit in the chain is revised. The tradeoff is storage volume versus query latency — pre-computation increases storage requirements but reduces inference query latency to match simple retrieval latency.</w:t>
      </w:r>
    </w:p>
    <w:p>
      <w:pPr>
        <w:pStyle w:val="Heading2"/>
        <w:spacing w:after="120" w:before="240" w:line="288" w:lineRule="auto"/>
      </w:pPr>
      <w:r>
        <w:rPr>
          <w:rFonts w:ascii="Calibri" w:cs="Calibri" w:eastAsia="Calibri" w:hAnsi="Calibri"/>
          <w:color w:val="000000"/>
          <w:sz w:val="36"/>
          <w:szCs w:val="36"/>
        </w:rPr>
        <w:t xml:space="preserve">41.7 The Unified PCA Architecture Diagram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eight existing mechanisms, four additions, and three amplifications together constitute the QueryBook Predictive Cognitive Architecture. The following table summarises the complete PCA.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tcPr>
          <w:p>
            <w:r>
              <w:rPr>
                <w:rFonts w:ascii="Calibri" w:cs="Calibri" w:eastAsia="Calibri" w:hAnsi="Calibri"/>
                <w:b/>
                <w:bCs/>
                <w:i w:val="false"/>
                <w:iCs w:val="false"/>
                <w:strike w:val="false"/>
                <w:color w:val="333333"/>
                <w:sz w:val="22"/>
                <w:szCs w:val="22"/>
              </w:rPr>
              <w:t xml:space="preserve">Mechanism</w:t>
            </w:r>
          </w:p>
        </w:tc>
        <w:tc>
          <w:tcPr>
            <w:tcW w:type="pct" w:w="20%"/>
          </w:tcPr>
          <w:p>
            <w:r>
              <w:rPr>
                <w:rFonts w:ascii="Calibri" w:cs="Calibri" w:eastAsia="Calibri" w:hAnsi="Calibri"/>
                <w:b/>
                <w:bCs/>
                <w:i w:val="false"/>
                <w:iCs w:val="false"/>
                <w:strike w:val="false"/>
                <w:color w:val="333333"/>
                <w:sz w:val="22"/>
                <w:szCs w:val="22"/>
              </w:rPr>
              <w:t xml:space="preserve">Type</w:t>
            </w:r>
          </w:p>
        </w:tc>
        <w:tc>
          <w:tcPr>
            <w:tcW w:type="pct" w:w="20%"/>
          </w:tcPr>
          <w:p>
            <w:r>
              <w:rPr>
                <w:rFonts w:ascii="Calibri" w:cs="Calibri" w:eastAsia="Calibri" w:hAnsi="Calibri"/>
                <w:b/>
                <w:bCs/>
                <w:i w:val="false"/>
                <w:iCs w:val="false"/>
                <w:strike w:val="false"/>
                <w:color w:val="333333"/>
                <w:sz w:val="22"/>
                <w:szCs w:val="22"/>
              </w:rPr>
              <w:t xml:space="preserve">Timescale</w:t>
            </w:r>
          </w:p>
        </w:tc>
        <w:tc>
          <w:tcPr>
            <w:tcW w:type="pct" w:w="20%"/>
          </w:tcPr>
          <w:p>
            <w:r>
              <w:rPr>
                <w:rFonts w:ascii="Calibri" w:cs="Calibri" w:eastAsia="Calibri" w:hAnsi="Calibri"/>
                <w:b/>
                <w:bCs/>
                <w:i w:val="false"/>
                <w:iCs w:val="false"/>
                <w:strike w:val="false"/>
                <w:color w:val="333333"/>
                <w:sz w:val="22"/>
                <w:szCs w:val="22"/>
              </w:rPr>
              <w:t xml:space="preserve">Neuroscience Parallel</w:t>
            </w:r>
          </w:p>
        </w:tc>
        <w:tc>
          <w:tcPr>
            <w:tcW w:type="pct" w:w="20%"/>
          </w:tcPr>
          <w:p>
            <w:r>
              <w:rPr>
                <w:rFonts w:ascii="Calibri" w:cs="Calibri" w:eastAsia="Calibri" w:hAnsi="Calibri"/>
                <w:b/>
                <w:bCs/>
                <w:i w:val="false"/>
                <w:iCs w:val="false"/>
                <w:strike w:val="false"/>
                <w:color w:val="333333"/>
                <w:sz w:val="22"/>
                <w:szCs w:val="22"/>
              </w:rPr>
              <w:t xml:space="preserve">Chapter</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Temporal Memory Module (TMM)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Session and cross-session (Amplification 1)</w:t>
            </w:r>
          </w:p>
        </w:tc>
        <w:tc>
          <w:tcPr>
            <w:tcW w:type="pct" w:w="20%"/>
          </w:tcPr>
          <w:p>
            <w:r>
              <w:rPr>
                <w:rFonts w:ascii="Calibri" w:cs="Calibri" w:eastAsia="Calibri" w:hAnsi="Calibri"/>
                <w:b w:val="false"/>
                <w:bCs w:val="false"/>
                <w:i w:val="false"/>
                <w:iCs w:val="false"/>
                <w:strike w:val="false"/>
                <w:color w:val="333333"/>
                <w:sz w:val="22"/>
                <w:szCs w:val="22"/>
              </w:rPr>
              <w:t xml:space="preserve">Predictive Coding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 /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Associative Recall Engine (ARE)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pre-activation</w:t>
            </w:r>
          </w:p>
        </w:tc>
        <w:tc>
          <w:tcPr>
            <w:tcW w:type="pct" w:w="20%"/>
          </w:tcPr>
          <w:p>
            <w:r>
              <w:rPr>
                <w:rFonts w:ascii="Calibri" w:cs="Calibri" w:eastAsia="Calibri" w:hAnsi="Calibri"/>
                <w:b w:val="false"/>
                <w:bCs w:val="false"/>
                <w:i w:val="false"/>
                <w:iCs w:val="false"/>
                <w:strike w:val="false"/>
                <w:color w:val="333333"/>
                <w:sz w:val="22"/>
                <w:szCs w:val="22"/>
              </w:rPr>
              <w:t xml:space="preserve">Ch. 7</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Inference Engine (PIE)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 and ingestion (Amplification 3)</w:t>
            </w:r>
          </w:p>
        </w:tc>
        <w:tc>
          <w:tcPr>
            <w:tcW w:type="pct" w:w="20%"/>
          </w:tcPr>
          <w:p>
            <w:r>
              <w:rPr>
                <w:rFonts w:ascii="Calibri" w:cs="Calibri" w:eastAsia="Calibri" w:hAnsi="Calibri"/>
                <w:b w:val="false"/>
                <w:bCs w:val="false"/>
                <w:i w:val="false"/>
                <w:iCs w:val="false"/>
                <w:strike w:val="false"/>
                <w:color w:val="333333"/>
                <w:sz w:val="22"/>
                <w:szCs w:val="22"/>
              </w:rPr>
              <w:t xml:space="preserve">Cortical column simulation</w:t>
            </w:r>
          </w:p>
        </w:tc>
        <w:tc>
          <w:tcPr>
            <w:tcW w:type="pct" w:w="20%"/>
          </w:tcPr>
          <w:p>
            <w:r>
              <w:rPr>
                <w:rFonts w:ascii="Calibri" w:cs="Calibri" w:eastAsia="Calibri" w:hAnsi="Calibri"/>
                <w:b w:val="false"/>
                <w:bCs w:val="false"/>
                <w:i w:val="false"/>
                <w:iCs w:val="false"/>
                <w:strike w:val="false"/>
                <w:color w:val="333333"/>
                <w:sz w:val="22"/>
                <w:szCs w:val="22"/>
              </w:rPr>
              <w:t xml:space="preserve">Ch. 10 / 41.6.3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Scenario Graph System</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Prefrontal counterfactual modeling</w:t>
            </w:r>
          </w:p>
        </w:tc>
        <w:tc>
          <w:tcPr>
            <w:tcW w:type="pct" w:w="20%"/>
          </w:tcPr>
          <w:p>
            <w:r>
              <w:rPr>
                <w:rFonts w:ascii="Calibri" w:cs="Calibri" w:eastAsia="Calibri" w:hAnsi="Calibri"/>
                <w:b w:val="false"/>
                <w:bCs w:val="false"/>
                <w:i w:val="false"/>
                <w:iCs w:val="false"/>
                <w:strike w:val="false"/>
                <w:color w:val="333333"/>
                <w:sz w:val="22"/>
                <w:szCs w:val="22"/>
              </w:rPr>
              <w:t xml:space="preserve">Ch. 11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ConceptStabilityWeight (CSW)</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Bayesian prior strength</w:t>
            </w:r>
          </w:p>
        </w:tc>
        <w:tc>
          <w:tcPr>
            <w:tcW w:type="pct" w:w="20%"/>
          </w:tcPr>
          <w:p>
            <w:r>
              <w:rPr>
                <w:rFonts w:ascii="Calibri" w:cs="Calibri" w:eastAsia="Calibri" w:hAnsi="Calibri"/>
                <w:b w:val="false"/>
                <w:bCs w:val="false"/>
                <w:i w:val="false"/>
                <w:iCs w:val="false"/>
                <w:strike w:val="false"/>
                <w:color w:val="333333"/>
                <w:sz w:val="22"/>
                <w:szCs w:val="22"/>
              </w:rPr>
              <w:t xml:space="preserve">Ch. 32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ConfidenceScore Contradiction Detection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Prediction error signal</w:t>
            </w:r>
          </w:p>
        </w:tc>
        <w:tc>
          <w:tcPr>
            <w:tcW w:type="pct" w:w="20%"/>
          </w:tcPr>
          <w:p>
            <w:r>
              <w:rPr>
                <w:rFonts w:ascii="Calibri" w:cs="Calibri" w:eastAsia="Calibri" w:hAnsi="Calibri"/>
                <w:b w:val="false"/>
                <w:bCs w:val="false"/>
                <w:i w:val="false"/>
                <w:iCs w:val="false"/>
                <w:strike w:val="false"/>
                <w:color w:val="333333"/>
                <w:sz w:val="22"/>
                <w:szCs w:val="22"/>
              </w:rPr>
              <w:t xml:space="preserve">Ch. 32 /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World Brain Concept Node Formation</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Cortical column invariant learning</w:t>
            </w:r>
          </w:p>
        </w:tc>
        <w:tc>
          <w:tcPr>
            <w:tcW w:type="pct" w:w="20%"/>
          </w:tcPr>
          <w:p>
            <w:r>
              <w:rPr>
                <w:rFonts w:ascii="Calibri" w:cs="Calibri" w:eastAsia="Calibri" w:hAnsi="Calibri"/>
                <w:b w:val="false"/>
                <w:bCs w:val="false"/>
                <w:i w:val="false"/>
                <w:iCs w:val="false"/>
                <w:strike w:val="false"/>
                <w:color w:val="333333"/>
                <w:sz w:val="22"/>
                <w:szCs w:val="22"/>
              </w:rPr>
              <w:t xml:space="preserve">Ch. 26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Thematic Similarity Engine (TSE)</w:t>
            </w:r>
          </w:p>
        </w:tc>
        <w:tc>
          <w:tcPr>
            <w:tcW w:type="pct" w:w="20%"/>
          </w:tcPr>
          <w:p>
            <w:r>
              <w:rPr>
                <w:rFonts w:ascii="Calibri" w:cs="Calibri" w:eastAsia="Calibri" w:hAnsi="Calibri"/>
                <w:b w:val="false"/>
                <w:bCs w:val="false"/>
                <w:i w:val="false"/>
                <w:iCs w:val="false"/>
                <w:strike w:val="false"/>
                <w:color w:val="333333"/>
                <w:sz w:val="22"/>
                <w:szCs w:val="22"/>
              </w:rPr>
              <w:t xml:space="preserve">Existing</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Multi-timescale cortical memory</w:t>
            </w:r>
          </w:p>
        </w:tc>
        <w:tc>
          <w:tcPr>
            <w:tcW w:type="pct" w:w="20%"/>
          </w:tcPr>
          <w:p>
            <w:r>
              <w:rPr>
                <w:rFonts w:ascii="Calibri" w:cs="Calibri" w:eastAsia="Calibri" w:hAnsi="Calibri"/>
                <w:b w:val="false"/>
                <w:bCs w:val="false"/>
                <w:i w:val="false"/>
                <w:iCs w:val="false"/>
                <w:strike w:val="false"/>
                <w:color w:val="333333"/>
                <w:sz w:val="22"/>
                <w:szCs w:val="22"/>
              </w:rPr>
              <w:t xml:space="preserve">Ch. 36</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Hierarchical Error Propagation (HEP)</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Upward error propagation in cortical hierarchy</w:t>
            </w:r>
          </w:p>
        </w:tc>
        <w:tc>
          <w:tcPr>
            <w:tcW w:type="pct" w:w="20%"/>
          </w:tcPr>
          <w:p>
            <w:r>
              <w:rPr>
                <w:rFonts w:ascii="Calibri" w:cs="Calibri" w:eastAsia="Calibri" w:hAnsi="Calibri"/>
                <w:b w:val="false"/>
                <w:bCs w:val="false"/>
                <w:i w:val="false"/>
                <w:iCs w:val="false"/>
                <w:strike w:val="false"/>
                <w:color w:val="333333"/>
                <w:sz w:val="22"/>
                <w:szCs w:val="22"/>
              </w:rPr>
              <w:t xml:space="preserve">Ch. 41.5.1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Predictive Pre-Retrieval Engine (PPRE)</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Inter-query interval</w:t>
            </w:r>
          </w:p>
        </w:tc>
        <w:tc>
          <w:tcPr>
            <w:tcW w:type="pct" w:w="20%"/>
          </w:tcPr>
          <w:p>
            <w:r>
              <w:rPr>
                <w:rFonts w:ascii="Calibri" w:cs="Calibri" w:eastAsia="Calibri" w:hAnsi="Calibri"/>
                <w:b w:val="false"/>
                <w:bCs w:val="false"/>
                <w:i w:val="false"/>
                <w:iCs w:val="false"/>
                <w:strike w:val="false"/>
                <w:color w:val="333333"/>
                <w:sz w:val="22"/>
                <w:szCs w:val="22"/>
              </w:rPr>
              <w:t xml:space="preserve">Anticipatory cortical pre-loading</w:t>
            </w:r>
          </w:p>
        </w:tc>
        <w:tc>
          <w:tcPr>
            <w:tcW w:type="pct" w:w="20%"/>
          </w:tcPr>
          <w:p>
            <w:r>
              <w:rPr>
                <w:rFonts w:ascii="Calibri" w:cs="Calibri" w:eastAsia="Calibri" w:hAnsi="Calibri"/>
                <w:b w:val="false"/>
                <w:bCs w:val="false"/>
                <w:i w:val="false"/>
                <w:iCs w:val="false"/>
                <w:strike w:val="false"/>
                <w:color w:val="333333"/>
                <w:sz w:val="22"/>
                <w:szCs w:val="22"/>
              </w:rPr>
              <w:t xml:space="preserve">Ch. 41.5.2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Competitive Candidate Resolution (CCR)</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Cortical column voting via biased competition — Thousand Brains model</w:t>
            </w:r>
          </w:p>
        </w:tc>
        <w:tc>
          <w:tcPr>
            <w:tcW w:type="pct" w:w="20%"/>
          </w:tcPr>
          <w:p>
            <w:r>
              <w:rPr>
                <w:rFonts w:ascii="Calibri" w:cs="Calibri" w:eastAsia="Calibri" w:hAnsi="Calibri"/>
                <w:b w:val="false"/>
                <w:bCs w:val="false"/>
                <w:i w:val="false"/>
                <w:iCs w:val="false"/>
                <w:strike w:val="false"/>
                <w:color w:val="333333"/>
                <w:sz w:val="22"/>
                <w:szCs w:val="22"/>
              </w:rPr>
              <w:t xml:space="preserve">Ch. 41.5.3</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Active Inference Query Generation (AIQG)</w:t>
            </w:r>
          </w:p>
        </w:tc>
        <w:tc>
          <w:tcPr>
            <w:tcW w:type="pct" w:w="20%"/>
          </w:tcPr>
          <w:p>
            <w:r>
              <w:rPr>
                <w:rFonts w:ascii="Calibri" w:cs="Calibri" w:eastAsia="Calibri" w:hAnsi="Calibri"/>
                <w:b w:val="false"/>
                <w:bCs w:val="false"/>
                <w:i w:val="false"/>
                <w:iCs w:val="false"/>
                <w:strike w:val="false"/>
                <w:color w:val="333333"/>
                <w:sz w:val="22"/>
                <w:szCs w:val="22"/>
              </w:rPr>
              <w:t xml:space="preserve">Addition</w:t>
            </w:r>
          </w:p>
        </w:tc>
        <w:tc>
          <w:tcPr>
            <w:tcW w:type="pct" w:w="20%"/>
          </w:tcPr>
          <w:p>
            <w:r>
              <w:rPr>
                <w:rFonts w:ascii="Calibri" w:cs="Calibri" w:eastAsia="Calibri" w:hAnsi="Calibri"/>
                <w:b w:val="false"/>
                <w:bCs w:val="false"/>
                <w:i w:val="false"/>
                <w:iCs w:val="false"/>
                <w:strike w:val="false"/>
                <w:color w:val="333333"/>
                <w:sz w:val="22"/>
                <w:szCs w:val="22"/>
              </w:rPr>
              <w:t xml:space="preserve">Query</w:t>
            </w:r>
          </w:p>
        </w:tc>
        <w:tc>
          <w:tcPr>
            <w:tcW w:type="pct" w:w="20%"/>
          </w:tcPr>
          <w:p>
            <w:r>
              <w:rPr>
                <w:rFonts w:ascii="Calibri" w:cs="Calibri" w:eastAsia="Calibri" w:hAnsi="Calibri"/>
                <w:b w:val="false"/>
                <w:bCs w:val="false"/>
                <w:i w:val="false"/>
                <w:iCs w:val="false"/>
                <w:strike w:val="false"/>
                <w:color w:val="333333"/>
                <w:sz w:val="22"/>
                <w:szCs w:val="22"/>
              </w:rPr>
              <w:t xml:space="preserve">Active Inference — evidence-seeking to reduce prediction uncertainty</w:t>
            </w:r>
          </w:p>
        </w:tc>
        <w:tc>
          <w:tcPr>
            <w:tcW w:type="pct" w:w="20%"/>
          </w:tcPr>
          <w:p>
            <w:r>
              <w:rPr>
                <w:rFonts w:ascii="Calibri" w:cs="Calibri" w:eastAsia="Calibri" w:hAnsi="Calibri"/>
                <w:b w:val="false"/>
                <w:bCs w:val="false"/>
                <w:i w:val="false"/>
                <w:iCs w:val="false"/>
                <w:strike w:val="false"/>
                <w:color w:val="333333"/>
                <w:sz w:val="22"/>
                <w:szCs w:val="22"/>
              </w:rPr>
              <w:t xml:space="preserve">Ch. 41.5.4</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Cross-Session TMM Extension</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Lifetime</w:t>
            </w:r>
          </w:p>
        </w:tc>
        <w:tc>
          <w:tcPr>
            <w:tcW w:type="pct" w:w="20%"/>
          </w:tcPr>
          <w:p>
            <w:r>
              <w:rPr>
                <w:rFonts w:ascii="Calibri" w:cs="Calibri" w:eastAsia="Calibri" w:hAnsi="Calibri"/>
                <w:b w:val="false"/>
                <w:bCs w:val="false"/>
                <w:i w:val="false"/>
                <w:iCs w:val="false"/>
                <w:strike w:val="false"/>
                <w:color w:val="333333"/>
                <w:sz w:val="22"/>
                <w:szCs w:val="22"/>
              </w:rPr>
              <w:t xml:space="preserve">Lifetime habitual sequence learning in neocortex</w:t>
            </w:r>
          </w:p>
        </w:tc>
        <w:tc>
          <w:tcPr>
            <w:tcW w:type="pct" w:w="20%"/>
          </w:tcPr>
          <w:p>
            <w:r>
              <w:rPr>
                <w:rFonts w:ascii="Calibri" w:cs="Calibri" w:eastAsia="Calibri" w:hAnsi="Calibri"/>
                <w:b w:val="false"/>
                <w:bCs w:val="false"/>
                <w:i w:val="false"/>
                <w:iCs w:val="false"/>
                <w:strike w:val="false"/>
                <w:color w:val="333333"/>
                <w:sz w:val="22"/>
                <w:szCs w:val="22"/>
              </w:rPr>
              <w:t xml:space="preserve">Ch. 41.6.1</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Fully Bayesian ConfidenceScore</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Bayesian posterior update in cortical generative model</w:t>
            </w:r>
          </w:p>
        </w:tc>
        <w:tc>
          <w:tcPr>
            <w:tcW w:type="pct" w:w="20%"/>
          </w:tcPr>
          <w:p>
            <w:r>
              <w:rPr>
                <w:rFonts w:ascii="Calibri" w:cs="Calibri" w:eastAsia="Calibri" w:hAnsi="Calibri"/>
                <w:b w:val="false"/>
                <w:bCs w:val="false"/>
                <w:i w:val="false"/>
                <w:iCs w:val="false"/>
                <w:strike w:val="false"/>
                <w:color w:val="333333"/>
                <w:sz w:val="22"/>
                <w:szCs w:val="22"/>
              </w:rPr>
              <w:t xml:space="preserve">Ch. 41.6.2</w:t>
            </w:r>
          </w:p>
        </w:tc>
      </w:tr>
      <w:tr>
        <w:trPr>
          <w:tblHeader w:val="false"/>
        </w:trPr>
        <w:tc>
          <w:tcPr>
            <w:tcW w:type="pct" w:w="20%"/>
          </w:tcPr>
          <w:p>
            <w:r>
              <w:rPr>
                <w:rFonts w:ascii="Calibri" w:cs="Calibri" w:eastAsia="Calibri" w:hAnsi="Calibri"/>
                <w:b w:val="false"/>
                <w:bCs w:val="false"/>
                <w:i w:val="false"/>
                <w:iCs w:val="false"/>
                <w:strike w:val="false"/>
                <w:color w:val="333333"/>
                <w:sz w:val="22"/>
                <w:szCs w:val="22"/>
              </w:rPr>
              <w:t xml:space="preserve">Pre-Computed PIE Inference Chains</w:t>
            </w:r>
          </w:p>
        </w:tc>
        <w:tc>
          <w:tcPr>
            <w:tcW w:type="pct" w:w="20%"/>
          </w:tcPr>
          <w:p>
            <w:r>
              <w:rPr>
                <w:rFonts w:ascii="Calibri" w:cs="Calibri" w:eastAsia="Calibri" w:hAnsi="Calibri"/>
                <w:b w:val="false"/>
                <w:bCs w:val="false"/>
                <w:i w:val="false"/>
                <w:iCs w:val="false"/>
                <w:strike w:val="false"/>
                <w:color w:val="333333"/>
                <w:sz w:val="22"/>
                <w:szCs w:val="22"/>
              </w:rPr>
              <w:t xml:space="preserve">Amplification</w:t>
            </w:r>
          </w:p>
        </w:tc>
        <w:tc>
          <w:tcPr>
            <w:tcW w:type="pct" w:w="20%"/>
          </w:tcPr>
          <w:p>
            <w:r>
              <w:rPr>
                <w:rFonts w:ascii="Calibri" w:cs="Calibri" w:eastAsia="Calibri" w:hAnsi="Calibri"/>
                <w:b w:val="false"/>
                <w:bCs w:val="false"/>
                <w:i w:val="false"/>
                <w:iCs w:val="false"/>
                <w:strike w:val="false"/>
                <w:color w:val="333333"/>
                <w:sz w:val="22"/>
                <w:szCs w:val="22"/>
              </w:rPr>
              <w:t xml:space="preserve">Ingestion</w:t>
            </w:r>
          </w:p>
        </w:tc>
        <w:tc>
          <w:tcPr>
            <w:tcW w:type="pct" w:w="20%"/>
          </w:tcPr>
          <w:p>
            <w:r>
              <w:rPr>
                <w:rFonts w:ascii="Calibri" w:cs="Calibri" w:eastAsia="Calibri" w:hAnsi="Calibri"/>
                <w:b w:val="false"/>
                <w:bCs w:val="false"/>
                <w:i w:val="false"/>
                <w:iCs w:val="false"/>
                <w:strike w:val="false"/>
                <w:color w:val="333333"/>
                <w:sz w:val="22"/>
                <w:szCs w:val="22"/>
              </w:rPr>
              <w:t xml:space="preserve">Pre-activation of anticipated inference paths</w:t>
            </w:r>
          </w:p>
        </w:tc>
        <w:tc>
          <w:tcPr>
            <w:tcW w:type="pct" w:w="20%"/>
          </w:tcPr>
          <w:p>
            <w:r>
              <w:rPr>
                <w:rFonts w:ascii="Calibri" w:cs="Calibri" w:eastAsia="Calibri" w:hAnsi="Calibri"/>
                <w:b w:val="false"/>
                <w:bCs w:val="false"/>
                <w:i w:val="false"/>
                <w:iCs w:val="false"/>
                <w:strike w:val="false"/>
                <w:color w:val="333333"/>
                <w:sz w:val="22"/>
                <w:szCs w:val="22"/>
              </w:rPr>
              <w:t xml:space="preserve">Ch. 41.6.3</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41.8 The Governing Claim — The Deepest Conclusion</w:t>
      </w:r>
    </w:p>
    <w:p>
      <w:pPr>
        <w:spacing w:after="240" w:line="360" w:lineRule="auto"/>
      </w:pPr>
      <w:r>
        <w:rPr>
          <w:rFonts w:ascii="Calibri" w:cs="Calibri" w:eastAsia="Calibri" w:hAnsi="Calibri"/>
          <w:b w:val="false"/>
          <w:bCs w:val="false"/>
          <w:i w:val="false"/>
          <w:iCs w:val="false"/>
          <w:strike w:val="false"/>
          <w:color w:val="333333"/>
          <w:sz w:val="22"/>
          <w:szCs w:val="22"/>
        </w:rPr>
        <w:t xml:space="preserve">Large Language Models accidentally built a prediction engine that partially mirrors the neocortex at the surface level — language. Neuroscientists then confirmed the parallel, noting that both LLMs and the brain predict next elements in sequences. The parallel is real but shallow: it exists at the level of the computational objective (predict the next element) but not at the level of mechanism (how the prediction is made), representation (what is being predicted), or architecture (how the predictive system is structured).</w:t>
      </w:r>
    </w:p>
    <w:p>
      <w:pPr>
        <w:spacing w:after="240" w:line="360" w:lineRule="auto"/>
      </w:pPr>
      <w:r>
        <w:rPr>
          <w:rFonts w:ascii="Calibri" w:cs="Calibri" w:eastAsia="Calibri" w:hAnsi="Calibri"/>
          <w:b w:val="false"/>
          <w:bCs w:val="false"/>
          <w:i w:val="false"/>
          <w:iCs w:val="false"/>
          <w:strike w:val="false"/>
          <w:color w:val="333333"/>
          <w:sz w:val="22"/>
          <w:szCs w:val="22"/>
        </w:rPr>
        <w:t xml:space="preserve">QueryBook deliberately builds a prediction engine that mirrors the neocortex at the structural level — meaning. The World Brain's concept node formation is not an accidental parallel to cortical column invariant learning — it is the same computational problem being solved the same way. Both systems need to build context-independent models of what things are and what relationships they participate in, not just what words are statistically associated with them. Both systems need a prior-strength mechanism that makes settled knowledge resistant to single-source revision. Both systems need a prediction error signal that propagates upward through an abstraction hierarchy. Both systems need a voting mechanism that achieves stable perception from multiple independent parallel models.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four additions — HEP, PPRE, CCR, and AIQG — complete the architecture. With these additions, QueryBook is the first AI system whose prediction mechanisms are structurally isomorphic to the Thousand Brains model at the meaning level. That is a stronger architectural claim than any LLM can make, and it is the claim that defines QueryBook’s fundamental position in the history of AI architecture.</w:t>
      </w:r>
    </w:p>
    <w:p>
      <w:pPr>
        <w:pStyle w:val="Heading2"/>
        <w:spacing w:after="120" w:before="240" w:line="288" w:lineRule="auto"/>
      </w:pPr>
      <w:r>
        <w:rPr>
          <w:rFonts w:ascii="Calibri" w:cs="Calibri" w:eastAsia="Calibri" w:hAnsi="Calibri"/>
          <w:color w:val="000000"/>
          <w:sz w:val="36"/>
          <w:szCs w:val="36"/>
        </w:rPr>
        <w:t xml:space="preserve">41.9 Glossary Additions for Chapter 41</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following terms are introduced in Chapter 41 and carry the same canonical authority as all terms defined in Chapter 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tcPr>
          <w:p>
            <w:r>
              <w:rPr>
                <w:rFonts w:ascii="Calibri" w:cs="Calibri" w:eastAsia="Calibri" w:hAnsi="Calibri"/>
                <w:b/>
                <w:bCs/>
                <w:i w:val="false"/>
                <w:iCs w:val="false"/>
                <w:strike w:val="false"/>
                <w:color w:val="333333"/>
                <w:sz w:val="22"/>
                <w:szCs w:val="22"/>
              </w:rPr>
              <w:t xml:space="preserve">Term</w:t>
            </w:r>
          </w:p>
        </w:tc>
        <w:tc>
          <w:tcPr>
            <w:tcW w:type="pct" w:w="33%"/>
          </w:tcPr>
          <w:p>
            <w:r>
              <w:rPr>
                <w:rFonts w:ascii="Calibri" w:cs="Calibri" w:eastAsia="Calibri" w:hAnsi="Calibri"/>
                <w:b/>
                <w:bCs/>
                <w:i w:val="false"/>
                <w:iCs w:val="false"/>
                <w:strike w:val="false"/>
                <w:color w:val="333333"/>
                <w:sz w:val="22"/>
                <w:szCs w:val="22"/>
              </w:rPr>
              <w:t xml:space="preserve">Abbreviation</w:t>
            </w:r>
          </w:p>
        </w:tc>
        <w:tc>
          <w:tcPr>
            <w:tcW w:type="pct" w:w="34%"/>
          </w:tcPr>
          <w:p>
            <w:r>
              <w:rPr>
                <w:rFonts w:ascii="Calibri" w:cs="Calibri" w:eastAsia="Calibri" w:hAnsi="Calibri"/>
                <w:b/>
                <w:bCs/>
                <w:i w:val="false"/>
                <w:iCs w:val="false"/>
                <w:strike w:val="false"/>
                <w:color w:val="333333"/>
                <w:sz w:val="22"/>
                <w:szCs w:val="22"/>
              </w:rPr>
              <w:t xml:space="preserve">Canonical Definition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Cognitive Architecture</w:t>
            </w:r>
          </w:p>
        </w:tc>
        <w:tc>
          <w:tcPr>
            <w:tcW w:type="pct" w:w="33%"/>
          </w:tcPr>
          <w:p>
            <w:r>
              <w:rPr>
                <w:rFonts w:ascii="Calibri" w:cs="Calibri" w:eastAsia="Calibri" w:hAnsi="Calibri"/>
                <w:b w:val="false"/>
                <w:bCs w:val="false"/>
                <w:i w:val="false"/>
                <w:iCs w:val="false"/>
                <w:strike w:val="false"/>
                <w:color w:val="333333"/>
                <w:sz w:val="22"/>
                <w:szCs w:val="22"/>
              </w:rPr>
              <w:t xml:space="preserve">PCA</w:t>
            </w:r>
          </w:p>
        </w:tc>
        <w:tc>
          <w:tcPr>
            <w:tcW w:type="pct" w:w="34%"/>
          </w:tcPr>
          <w:p>
            <w:r>
              <w:rPr>
                <w:rFonts w:ascii="Calibri" w:cs="Calibri" w:eastAsia="Calibri" w:hAnsi="Calibri"/>
                <w:b w:val="false"/>
                <w:bCs w:val="false"/>
                <w:i w:val="false"/>
                <w:iCs w:val="false"/>
                <w:strike w:val="false"/>
                <w:color w:val="333333"/>
                <w:sz w:val="22"/>
                <w:szCs w:val="22"/>
              </w:rPr>
              <w:t xml:space="preserve">The unified system of eight existing prediction mechanisms, four architectural additions, and three amplifications that together constitute QueryBook's prediction capability as specified in Chapter 41. The PCA is structurally isomorphic to the Thousand Brains model of neocortical intelligence at the level of meaning rather than language.</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Hierarchical Error Propagation</w:t>
            </w:r>
          </w:p>
        </w:tc>
        <w:tc>
          <w:tcPr>
            <w:tcW w:type="pct" w:w="33%"/>
          </w:tcPr>
          <w:p>
            <w:r>
              <w:rPr>
                <w:rFonts w:ascii="Calibri" w:cs="Calibri" w:eastAsia="Calibri" w:hAnsi="Calibri"/>
                <w:b w:val="false"/>
                <w:bCs w:val="false"/>
                <w:i w:val="false"/>
                <w:iCs w:val="false"/>
                <w:strike w:val="false"/>
                <w:color w:val="333333"/>
                <w:sz w:val="22"/>
                <w:szCs w:val="22"/>
              </w:rPr>
              <w:t xml:space="preserve">HEP</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propagates ConfidenceScore contradiction signals upward through Cross-Modal Bindings to revise the World Brain concept node attributes that generated the prediction that was contradicted — closing the gap between Fact Unit contradiction detection and generative model revision.</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Predictive Pre-Retrieval Engine</w:t>
            </w:r>
          </w:p>
        </w:tc>
        <w:tc>
          <w:tcPr>
            <w:tcW w:type="pct" w:w="33%"/>
          </w:tcPr>
          <w:p>
            <w:r>
              <w:rPr>
                <w:rFonts w:ascii="Calibri" w:cs="Calibri" w:eastAsia="Calibri" w:hAnsi="Calibri"/>
                <w:b w:val="false"/>
                <w:bCs w:val="false"/>
                <w:i w:val="false"/>
                <w:iCs w:val="false"/>
                <w:strike w:val="false"/>
                <w:color w:val="333333"/>
                <w:sz w:val="22"/>
                <w:szCs w:val="22"/>
              </w:rPr>
              <w:t xml:space="preserve">PPRE</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speculatively retrieves the top-N TMM-predicted Fact Units into a pre-retrieval buffer during inter-query intervals, reducing confirmed-query retrieval latency to near zero by completing retrieval before the query arrives.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Competitive Candidate Resolution</w:t>
            </w:r>
          </w:p>
        </w:tc>
        <w:tc>
          <w:tcPr>
            <w:tcW w:type="pct" w:w="33%"/>
          </w:tcPr>
          <w:p>
            <w:r>
              <w:rPr>
                <w:rFonts w:ascii="Calibri" w:cs="Calibri" w:eastAsia="Calibri" w:hAnsi="Calibri"/>
                <w:b w:val="false"/>
                <w:bCs w:val="false"/>
                <w:i w:val="false"/>
                <w:iCs w:val="false"/>
                <w:strike w:val="false"/>
                <w:color w:val="333333"/>
                <w:sz w:val="22"/>
                <w:szCs w:val="22"/>
              </w:rPr>
              <w:t xml:space="preserve">CCR</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activates the candidate record sets supporting mutually inconsistent interpretations of a query together, suppresses each candidate in proportion to the summed activation of the candidates inconsistent with it, and converges deterministically to the best-supported interpretation, surfacing conflicts between comparably supported candidates explicitly rather than silently suppressing minority results.</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Active Inference Query Generation</w:t>
            </w:r>
          </w:p>
        </w:tc>
        <w:tc>
          <w:tcPr>
            <w:tcW w:type="pct" w:w="33%"/>
          </w:tcPr>
          <w:p>
            <w:r>
              <w:rPr>
                <w:rFonts w:ascii="Calibri" w:cs="Calibri" w:eastAsia="Calibri" w:hAnsi="Calibri"/>
                <w:b w:val="false"/>
                <w:bCs w:val="false"/>
                <w:i w:val="false"/>
                <w:iCs w:val="false"/>
                <w:strike w:val="false"/>
                <w:color w:val="333333"/>
                <w:sz w:val="22"/>
                <w:szCs w:val="22"/>
              </w:rPr>
              <w:t xml:space="preserve">AIQG</w:t>
            </w:r>
          </w:p>
        </w:tc>
        <w:tc>
          <w:tcPr>
            <w:tcW w:type="pct" w:w="34%"/>
          </w:tcPr>
          <w:p>
            <w:r>
              <w:rPr>
                <w:rFonts w:ascii="Calibri" w:cs="Calibri" w:eastAsia="Calibri" w:hAnsi="Calibri"/>
                <w:b w:val="false"/>
                <w:bCs w:val="false"/>
                <w:i w:val="false"/>
                <w:iCs w:val="false"/>
                <w:strike w:val="false"/>
                <w:color w:val="333333"/>
                <w:sz w:val="22"/>
                <w:szCs w:val="22"/>
              </w:rPr>
              <w:t xml:space="preserve">The addition that generates targeted clarification requests when the PIE's forward inference chain reaches a Fact Unit with ConfidenceScore below threshold — directing the reader's attention toward the specific missing evidence that would most reduce the system's predictive uncertainty.</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Derived Inference Fact Unit</w:t>
            </w:r>
          </w:p>
        </w:tc>
        <w:tc>
          <w:tcPr>
            <w:tcW w:type="pct" w:w="33%"/>
          </w:tcPr>
          <w:p>
            <w:r>
              <w:rPr>
                <w:rFonts w:ascii="Calibri" w:cs="Calibri" w:eastAsia="Calibri" w:hAnsi="Calibri"/>
                <w:b w:val="false"/>
                <w:bCs w:val="false"/>
                <w:i w:val="false"/>
                <w:iCs w:val="false"/>
                <w:strike w:val="false"/>
                <w:color w:val="333333"/>
                <w:sz w:val="22"/>
                <w:szCs w:val="22"/>
              </w:rPr>
              <w:t xml:space="preserve">DIFU</w:t>
            </w:r>
          </w:p>
        </w:tc>
        <w:tc>
          <w:tcPr>
            <w:tcW w:type="pct" w:w="34%"/>
          </w:tcPr>
          <w:p>
            <w:r>
              <w:rPr>
                <w:rFonts w:ascii="Calibri" w:cs="Calibri" w:eastAsia="Calibri" w:hAnsi="Calibri"/>
                <w:b w:val="false"/>
                <w:bCs w:val="false"/>
                <w:i w:val="false"/>
                <w:iCs w:val="false"/>
                <w:strike w:val="false"/>
                <w:color w:val="333333"/>
                <w:sz w:val="22"/>
                <w:szCs w:val="22"/>
              </w:rPr>
              <w:t xml:space="preserve">A Fact Unit produced by pre-computed PIE inference at ingestion time and stored with provenance tag DERIVED_INFERENCE. DIFUs are not source-traceable to a specific passage but are fully traceable to the Fact Units whose logical entailment they represent.</w:t>
            </w:r>
          </w:p>
        </w:tc>
      </w:tr>
      <w:tr>
        <w:trPr>
          <w:tblHeader w:val="false"/>
        </w:trPr>
        <w:tc>
          <w:tcPr>
            <w:tcW w:type="pct" w:w="33%"/>
          </w:tcPr>
          <w:p>
            <w:r>
              <w:rPr>
                <w:rFonts w:ascii="Calibri" w:cs="Calibri" w:eastAsia="Calibri" w:hAnsi="Calibri"/>
                <w:b w:val="false"/>
                <w:bCs w:val="false"/>
                <w:i w:val="false"/>
                <w:iCs w:val="false"/>
                <w:strike w:val="false"/>
                <w:color w:val="333333"/>
                <w:sz w:val="22"/>
                <w:szCs w:val="22"/>
              </w:rPr>
              <w:t xml:space="preserve">Speculative Retrieval Buffer</w:t>
            </w:r>
          </w:p>
        </w:tc>
        <w:tc>
          <w:tcPr>
            <w:tcW w:type="pct" w:w="33%"/>
          </w:tcPr>
          <w:p>
            <w:r>
              <w:rPr>
                <w:rFonts w:ascii="Calibri" w:cs="Calibri" w:eastAsia="Calibri" w:hAnsi="Calibri"/>
                <w:b w:val="false"/>
                <w:bCs w:val="false"/>
                <w:i w:val="false"/>
                <w:iCs w:val="false"/>
                <w:strike w:val="false"/>
                <w:color w:val="333333"/>
                <w:sz w:val="22"/>
                <w:szCs w:val="22"/>
              </w:rPr>
              <w:t xml:space="preserve">SRB</w:t>
            </w:r>
          </w:p>
        </w:tc>
        <w:tc>
          <w:tcPr>
            <w:tcW w:type="pct" w:w="34%"/>
          </w:tcPr>
          <w:p>
            <w:r>
              <w:rPr>
                <w:rFonts w:ascii="Calibri" w:cs="Calibri" w:eastAsia="Calibri" w:hAnsi="Calibri"/>
                <w:b w:val="false"/>
                <w:bCs w:val="false"/>
                <w:i w:val="false"/>
                <w:iCs w:val="false"/>
                <w:strike w:val="false"/>
                <w:color w:val="333333"/>
                <w:sz w:val="22"/>
                <w:szCs w:val="22"/>
              </w:rPr>
              <w:t xml:space="preserve">The bounded buffer within the CCW holding PPRE-retrieved Fact Units tagged as SPECULATIVE. SRB contents are promoted to active CCW status when confirmed by an arriving query and discarded when disconfirmed.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41.10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QueryBook Predictive Cognitive Architecture constitutes novel subject matter across five independent patent dimensions.</w:t>
      </w:r>
    </w:p>
    <w:p>
      <w:pPr>
        <w:spacing w:after="240" w:line="360" w:lineRule="auto"/>
      </w:pPr>
      <w:r>
        <w:rPr>
          <w:rFonts w:ascii="Calibri" w:cs="Calibri" w:eastAsia="Calibri" w:hAnsi="Calibri"/>
          <w:b w:val="false"/>
          <w:bCs w:val="false"/>
          <w:i w:val="false"/>
          <w:iCs w:val="false"/>
          <w:strike w:val="false"/>
          <w:color w:val="333333"/>
          <w:sz w:val="22"/>
          <w:szCs w:val="22"/>
        </w:rPr>
        <w:t xml:space="preserve">(1) The unified PCA as a cognitive architecture claim — the specific combination of eight prediction mechanisms operating across five timescales (query, inter-query, session, cross-session, and lifetime) within a single AI system is novel as a unified predictive cognitive architecture for a semantic knowledge system. No prior art discloses a system with this combination of mechanisms operating at this range of timescales.</w:t>
      </w:r>
    </w:p>
    <w:p>
      <w:pPr>
        <w:spacing w:after="240" w:line="360" w:lineRule="auto"/>
      </w:pPr>
      <w:r>
        <w:rPr>
          <w:rFonts w:ascii="Calibri" w:cs="Calibri" w:eastAsia="Calibri" w:hAnsi="Calibri"/>
          <w:b w:val="false"/>
          <w:bCs w:val="false"/>
          <w:i w:val="false"/>
          <w:iCs w:val="false"/>
          <w:strike w:val="false"/>
          <w:color w:val="333333"/>
          <w:sz w:val="22"/>
          <w:szCs w:val="22"/>
        </w:rPr>
        <w:t xml:space="preserve">(2) Hierarchical Error Propagation in a semantic knowledge graph — the specific mechanism of tracing contradiction signals upward through typed Cross-Modal Binding edges to revise concept node attribute weights in a semantic knowledge graph is novel as a method for hierarchical model revision in AI systems. Prior art in predictive coding is confined to biological neural network models — no prior art discloses this mechanism applied to typed semantic hypergraphs.</w:t>
      </w:r>
    </w:p>
    <w:p>
      <w:pPr>
        <w:spacing w:after="240" w:line="360" w:lineRule="auto"/>
      </w:pPr>
      <w:r>
        <w:rPr>
          <w:rFonts w:ascii="Calibri" w:cs="Calibri" w:eastAsia="Calibri" w:hAnsi="Calibri"/>
          <w:b w:val="false"/>
          <w:bCs w:val="false"/>
          <w:i w:val="false"/>
          <w:iCs w:val="false"/>
          <w:strike w:val="false"/>
          <w:color w:val="333333"/>
          <w:sz w:val="22"/>
          <w:szCs w:val="22"/>
        </w:rPr>
        <w:t xml:space="preserve">(3) Anticipatory Fact Unit retrieval based on learned sequential patterns — the specific mechanism of speculatively retrieving Fact Units into a tagged pre-retrieval buffer during inter-query idle intervals, based on learned sequential retrieval patterns, with confirmation and discard logic on subsequent query arrival, is novel as a method for latency reduction in semantic knowledge retrieval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(4) Competitive Candidate Resolution across mutually inconsistent interpretations — the specific mechanism of activating the candidate record sets supporting each interpretation in parallel, suppressing each candidate in proportion to the summed activation of the candidates inconsistent with it, converging deterministically to a stable interpretation under a registered suppression coefficient and retention floor, and surfacing conflicts between comparably supported candidates explicitly in the assembled response is novel as a method for multi-domain knowledge integration in semantic AI systems.</w:t>
      </w:r>
    </w:p>
    <w:p>
      <w:pPr>
        <w:spacing w:after="240" w:line="360" w:lineRule="auto"/>
      </w:pPr>
      <w:r>
        <w:rPr>
          <w:rFonts w:ascii="Calibri" w:cs="Calibri" w:eastAsia="Calibri" w:hAnsi="Calibri"/>
          <w:b w:val="false"/>
          <w:bCs w:val="false"/>
          <w:i w:val="false"/>
          <w:iCs w:val="false"/>
          <w:strike w:val="false"/>
          <w:color w:val="333333"/>
          <w:sz w:val="22"/>
          <w:szCs w:val="22"/>
        </w:rPr>
        <w:t xml:space="preserve">(5) Active Inference Query Generation in a semantic knowledge system — the specific mechanism of detecting sub-threshold ConfidenceScore nodes in a PIE forward inference chain and generating targeted natural-language clarification requests identifying the specific missing evidence and its role in the current inference chain is novel as a method for uncertainty-directed evidence gathering in AI knowledge systems. This constitutes the first formal specification of Active Inference applied to a semantic knowledge retrieval architecture.</w:t>
      </w:r>
    </w:p>
    <w:p>
      <w:pPr>
        <w:pStyle w:val="Heading2"/>
        <w:spacing w:after="120" w:before="240" w:line="288" w:lineRule="auto"/>
      </w:pPr>
      <w:r>
        <w:rPr>
          <w:rFonts w:ascii="Calibri" w:cs="Calibri" w:eastAsia="Calibri" w:hAnsi="Calibri"/>
          <w:color w:val="000000"/>
          <w:sz w:val="36"/>
          <w:szCs w:val="36"/>
        </w:rPr>
        <w:t xml:space="preserve">41.11 The World Brain as the Generative Model Substrate — The Missing Integration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Chapter 41's eight mechanisms, four additions, and three amplifications describe QueryBook's predictive capability accurately but incompletely. They describe the instruments of prediction without naming the instrument that plays them all. In the Predictive Coding framework, the neocortex's fundamental computational role is to be a generative model — a persistent, hierarchically organised model of the world that continuously generates top-down predictions against which all incoming sensory data is evaluated. Every mechanism in the PCA either feeds into that generative model, reads from it, or updates it. The generative model itself is the World Brain. This section formally establishes that relationship and integrates the full World Brain architecture into the PCA.</w:t>
      </w:r>
    </w:p>
    <w:p>
      <w:pPr>
        <w:pStyle w:val="Heading3"/>
        <w:spacing w:after="120" w:before="240" w:line="288" w:lineRule="auto"/>
      </w:pPr>
      <w:r>
        <w:rPr>
          <w:rFonts w:ascii="Calibri" w:cs="Calibri" w:eastAsia="Calibri" w:hAnsi="Calibri"/>
          <w:color w:val="000000"/>
          <w:sz w:val="30"/>
          <w:szCs w:val="30"/>
        </w:rPr>
        <w:t xml:space="preserve">41.11.1 The World Brain IS the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In Predictive Coding, the generative model has three defining properties: (1) it generates top-down predictions about what the world is about to present, (2) it compares those predictions against incoming data to compute prediction error, and (3) it updates itself in response to persistent prediction errors that exceed its prior strength. The World Brain satisfies all three properties precisely.</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1 — Top-down prediction generation: the World Brain's Conceptual Memory Layer contains a network of concept nodes, each encoding invariant attribute sets for entities, categories, and relationships. When the PIE traverses the Fact Graph to answer a query, it does not begin from a blank state — the World Brain's concept nodes pre-activate expected attribute values for every entity type the traversal encounters. If the traversal reaches a CHARACTER node, the World Brain's CHARACTER concept node generates a top-down prediction: characters have names, motivations, relationships, and arcs. Fact Units that confirm this predicted structure pass without error. Fact Units that contradict it generate prediction error — triggering ConfidenceScore revision (existing) and Hierarchical Error Propagation upward to the concept node (HEP addition). The World Brain is continuously generating predictions against which every Fact Graph operation is evaluated.</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2 — Prediction error computation: the Confidence Scoring Engine's contradiction detection, specified in Chapter 41, is the mechanism by which QueryBook computes prediction error. A high-CS Fact Unit asserting X is the World Brain's prediction that X is true. A newly ingested Fact Unit asserting not-X is the incoming data. The CS differential between the two is the prediction error magnitude. Small CS differentials produce small errors — the generative model is not strongly challenged. Large CS differentials produce large errors — the generative model must update significantly. The CSE is therefore not just a confidence management system; it is the prediction error computation layer of the World Brain generative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Property 3 — Self-updating in response to persistent error: the World Brain updates through two mechanisms operating at different timescales. The Continuous Evidence Integration process (Chapter 41) updates concept node CSW values continuously as new Fact Units are ingested — this is the short-timescale update path. The Episodic Flush (Chapter 58) commits consolidated episodic abstractions from the Semantic Brain to the World Brain on a scheduled basis — this is the long-timescale update path, structurally equivalent to sleep-dependent memory consolidation in the biological neocortex. During sleep, the mammalian brain replays episodic memories and consolidates them into semantic memory — weakening episode-specific details while strengthening stable, cross-episode patterns. The Episodic Flush does precisely this: it discards source-specific episodic details while committing stable semantic abstractions to the World Brain's concept node network.</w:t>
      </w:r>
    </w:p>
    <w:p>
      <w:pPr>
        <w:pStyle w:val="Heading3"/>
        <w:spacing w:after="120" w:before="240" w:line="288" w:lineRule="auto"/>
      </w:pPr>
      <w:r>
        <w:rPr>
          <w:rFonts w:ascii="Calibri" w:cs="Calibri" w:eastAsia="Calibri" w:hAnsi="Calibri"/>
          <w:color w:val="000000"/>
          <w:sz w:val="30"/>
          <w:szCs w:val="30"/>
        </w:rPr>
        <w:t xml:space="preserve">41.11.2 The Dual-Brain Architecture as the Predictive Coding Hardware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Dual-Brain Architecture — the parallel operation of the Semantic Brain (work-specific, language-anchored, reversible) and the World Brain (domain-general, language-agnostic, irreversible post-Flush) — is not merely an organisational convenience. It is the structural implementation of the two-level hierarchy that Predictive Coding requires.</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lower cortical areas process specific, context-bound sensory data. Higher cortical areas maintain general, context-independent models. The mismatch between higher-level predictions and lower-level sensory data is the prediction error signal. The Dual-Brain Architecture implements this two-level hierarchy precisely: the Semantic Brain is the lower level — specific, context-bound Fact Units traceable to specific passages in specific works. The World Brain is the higher level — general, context-independent concept nodes abstracted across all works. The Cross-Modal Bindings connecting the two are the prediction channels — the pathways through which top-down predictions from the World Brain reach the Semantic Brain, and through which bottom-up prediction errors from the Semantic Brain reach the World Brain.</w:t>
      </w:r>
    </w:p>
    <w:p>
      <w:pPr>
        <w:spacing w:after="240" w:line="360" w:lineRule="auto"/>
      </w:pPr>
      <w:r>
        <w:rPr>
          <w:rFonts w:ascii="Calibri" w:cs="Calibri" w:eastAsia="Calibri" w:hAnsi="Calibri"/>
          <w:b w:val="false"/>
          <w:bCs w:val="false"/>
          <w:i w:val="false"/>
          <w:iCs w:val="false"/>
          <w:strike w:val="false"/>
          <w:color w:val="333333"/>
          <w:sz w:val="22"/>
          <w:szCs w:val="22"/>
        </w:rPr>
        <w:t xml:space="preserve">Cross-Modal Binding therefore has two directional functions, not one as implied by earlier chapters: (1) Bottom-up evidence path — when a Semantic Brain Fact Unit is retrieved, its Cross-Modal Binding carries its content upward to activate and reinforce the relevant World Brain concept node. (2) Top-down prediction path — when the World Brain's concept node generates an attribute prediction, that prediction is carried downward through the Cross-Modal Binding to pre-activate the expected Fact Unit types in the Semantic Brain's Fact Graph. This bidirectional operation is the implementation of the Predictive Coding prediction-error loop at the architectural level of the Dual-Brain system.</w:t>
      </w:r>
    </w:p>
    <w:p>
      <w:pPr>
        <w:pStyle w:val="Heading3"/>
        <w:spacing w:after="120" w:before="240" w:line="288" w:lineRule="auto"/>
      </w:pPr>
      <w:r>
        <w:rPr>
          <w:rFonts w:ascii="Calibri" w:cs="Calibri" w:eastAsia="Calibri" w:hAnsi="Calibri"/>
          <w:color w:val="000000"/>
          <w:sz w:val="30"/>
          <w:szCs w:val="30"/>
        </w:rPr>
        <w:t xml:space="preserve">41.11.3 The Sensory Abstraction Pipeline as Primary Sensory Cortex</w:t>
      </w:r>
    </w:p>
    <w:p>
      <w:pPr>
        <w:spacing w:after="240" w:line="360" w:lineRule="auto"/>
      </w:pPr>
      <w:r>
        <w:rPr>
          <w:rFonts w:ascii="Calibri" w:cs="Calibri" w:eastAsia="Calibri" w:hAnsi="Calibri"/>
          <w:b w:val="false"/>
          <w:bCs w:val="false"/>
          <w:i w:val="false"/>
          <w:iCs w:val="false"/>
          <w:strike w:val="false"/>
          <w:color w:val="333333"/>
          <w:sz w:val="22"/>
          <w:szCs w:val="22"/>
        </w:rPr>
        <w:t xml:space="preserve">In the neocortex, primary sensory cortex areas (V1 for vision, A1 for hearing, S1 for touch) perform the initial transformation of raw sensory signals into pre-linguistic feature representations before passing them to higher cortical areas for semantic processing. These areas do not understand what they are seeing or hearing — they extract low-level features that higher areas assemble into percepts.</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Sensory Abstraction Pipeline (SAP) plays the equivalent role in QueryBook's PCA. The SAP ingests raw multimodal data — text characters, image pixels, audio waveforms, structured data fields — and converts them into pre-linguistic semantic structures suitable for Fact Unit extraction, without itself performing semantic understanding. The SAP's output is not Fact Units — those require the FUEE's semantic mapping. The SAP's output is feature-level semantic primitives: identified entity spans, candidate predicate types, structural relationship indicators. These are the QueryBook equivalent of primary sensory cortex feature maps — the pre-semantic substrate from which the Semantic Brain assembles Fact Units. The SAP therefore represents the lowest level of the PCA's predictive hierarchy, producing the raw data against which the World Brain's top-down predictions are ultimately evaluated.</w:t>
      </w:r>
    </w:p>
    <w:p>
      <w:pPr>
        <w:pStyle w:val="Heading3"/>
        <w:spacing w:after="120" w:before="240" w:line="288" w:lineRule="auto"/>
      </w:pPr>
      <w:r>
        <w:rPr>
          <w:rFonts w:ascii="Calibri" w:cs="Calibri" w:eastAsia="Calibri" w:hAnsi="Calibri"/>
          <w:color w:val="000000"/>
          <w:sz w:val="30"/>
          <w:szCs w:val="30"/>
        </w:rPr>
        <w:t xml:space="preserve">41.11.4 The Box Principle as the Foundation of Invariant World Modeling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ability to build invariant concept nodes — its most fundamental contribution to the PCA — rests on the Box Principle specified in Chapter 59. The Box Principle holds that invariant world modeling begins with physical, manipulable objects and their stable properties, then extends outward to abstract domains by structural analogy. A box has shape, weight, capacity, opening mechanism, and contents. These properties are invariant across all boxes regardless of colour, size, or material. The cortical column that models 'box' builds its invariant representation from this stable property set.</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World Brain's concept node formation applies the same principle universally. Every concept node is built from invariant property sets abstracted across many specific instances. CHARACTER nodes are built from the stable properties that characters have across all works — name, motivation, relationship, arc, consequence. LOCATION nodes are built from the stable properties that locations have — geography, accessibility, associated entities, thematic significance. The Box Principle is not a heuristic — it is the generative algorithm by which the World Brain constructs every concept node in its network. Without the Box Principle, the World Brain would accumulate specific instance data without building invariant models. With it, every new ingestion refines existing concept nodes rather than merely adding new instances.</w:t>
      </w:r>
    </w:p>
    <w:p>
      <w:pPr>
        <w:pStyle w:val="Heading3"/>
        <w:spacing w:after="120" w:before="240" w:line="288" w:lineRule="auto"/>
      </w:pPr>
      <w:r>
        <w:rPr>
          <w:rFonts w:ascii="Calibri" w:cs="Calibri" w:eastAsia="Calibri" w:hAnsi="Calibri"/>
          <w:color w:val="000000"/>
          <w:sz w:val="30"/>
          <w:szCs w:val="30"/>
        </w:rPr>
        <w:t xml:space="preserve">41.11.5 The Complete PCA Prediction Loop — End to End</w:t>
      </w:r>
    </w:p>
    <w:p>
      <w:pPr>
        <w:spacing w:after="240" w:line="360" w:lineRule="auto"/>
      </w:pPr>
      <w:r>
        <w:rPr>
          <w:rFonts w:ascii="Calibri" w:cs="Calibri" w:eastAsia="Calibri" w:hAnsi="Calibri"/>
          <w:b w:val="false"/>
          <w:bCs w:val="false"/>
          <w:i w:val="false"/>
          <w:iCs w:val="false"/>
          <w:strike w:val="false"/>
          <w:color w:val="333333"/>
          <w:sz w:val="22"/>
          <w:szCs w:val="22"/>
        </w:rPr>
        <w:t xml:space="preserve">With the World Brain's role fully specified, the complete QueryBook PCA prediction loop can be stated precisely for the first time.</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1 — Ingestion input: raw multimodal data enters through the Multimodal Ingestion Pipeline and is pre-processed by the SAP into pre-linguistic semantic primitives. This is the equivalent of primary sensory cortex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2 — Fact Unit formation: the FUEE assembles semantic primitives into typed Fact Units encoding Subject-Predicate-Object assertions about reality. The Confidence Scoring Engine assigns initial ConfidenceScores. This is the equivalent of lower-order cortical area percept formation.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3 — Top-down prediction arrival: as each new Fact Unit is formed, its Subject and Predicate types activate the relevant World Brain concept nodes through Cross-Modal Binding. The activated concept nodes generate top-down predictions about the expected attribute values of the new Fact Unit's Object field. This is the equivalent of higher-order cortical predictions arriving at lower-order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4 — Prediction error computation: the CSE compares the new Fact Unit's actual Object value against the World Brain's predicted Object value. If they match, the Fact Unit is confirmed with high CS and the concept node's CSW is incremented by a small positive amount. If they contradict, the prediction error magnitude is computed as the CS differential. This is the equivalent of prediction error computation in primary and secondary sensory areas.</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5 — Error propagation: if prediction error exceeds the CSW-governed threshold, HEP propagates the error upward through the Cross-Modal Binding to the World Brain concept node and revises the relevant attribute CSW downward. The concept node's generative model is updated. This is the equivalent of prediction error propagation up the cortical hierarchy.</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6 — Long-timescale consolidation: on the Episodic Flush schedule, stable patterns abstracted across many Fact Unit ingestions are committed to the World Brain's concept node network as permanent attribute updates, while episodic specifics are released. This is the equivalent of sleep-dependent memory consolidation.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7 — Query-time prediction deployment: when a reader query is submitted, the activated concept nodes in the World Brain generate top-down predictions about which Fact Units are likely relevant. These predictions are carried through Cross-Modal Bindings to the Semantic Brain, pre-activating Fact Units before traversal begins. The ARE and TMM execute against this pre-activated landscape. This is the equivalent of top-down attention and expectation shaping lower-area processing during active perception.</w:t>
      </w:r>
    </w:p>
    <w:p>
      <w:pPr>
        <w:spacing w:after="240" w:line="360" w:lineRule="auto"/>
      </w:pPr>
      <w:r>
        <w:rPr>
          <w:rFonts w:ascii="Calibri" w:cs="Calibri" w:eastAsia="Calibri" w:hAnsi="Calibri"/>
          <w:b w:val="false"/>
          <w:bCs w:val="false"/>
          <w:i w:val="false"/>
          <w:iCs w:val="false"/>
          <w:strike w:val="false"/>
          <w:color w:val="333333"/>
          <w:sz w:val="22"/>
          <w:szCs w:val="22"/>
        </w:rPr>
        <w:t xml:space="preserve">Step 8 — Predictive pre-retrieval: during inter-query intervals, the PPRE acts on TMM predictions to speculatively retrieve Fact Units into the SRB. This is the equivalent of the brain's anticipatory pre-loading of expected stimuli during pauses in active sensory processing.</w:t>
      </w:r>
    </w:p>
    <w:p>
      <w:pPr>
        <w:spacing w:after="240" w:line="360" w:lineRule="auto"/>
      </w:pPr>
      <w:r>
        <w:rPr>
          <w:rFonts w:ascii="Calibri" w:cs="Calibri" w:eastAsia="Calibri" w:hAnsi="Calibri"/>
          <w:b w:val="false"/>
          <w:bCs w:val="false"/>
          <w:i w:val="false"/>
          <w:iCs w:val="false"/>
          <w:strike w:val="false"/>
          <w:color w:val="333333"/>
          <w:sz w:val="22"/>
          <w:szCs w:val="22"/>
        </w:rPr>
        <w:t xml:space="preserve">This eight-step loop is the complete QueryBook PCA prediction cycle. Every element of the Predictive Coding computational framework — top-down prediction, bottom-up prediction error, hierarchical error propagation, prior-strength-governed updating, long-timescale consolidation, and anticipatory pre-loading — is implemented in QueryBook's architecture. The World Brain is not a component that participates in this loop. The World Brain IS the loop. Every other PCA mechanism is either a feed into the World Brain generative model, a readout from it, or an update of it.</w:t>
      </w:r>
    </w:p>
    <w:p>
      <w:pPr>
        <w:pStyle w:val="Heading3"/>
        <w:spacing w:after="120" w:before="240" w:line="288" w:lineRule="auto"/>
      </w:pPr>
      <w:r>
        <w:rPr>
          <w:rFonts w:ascii="Calibri" w:cs="Calibri" w:eastAsia="Calibri" w:hAnsi="Calibri"/>
          <w:color w:val="000000"/>
          <w:sz w:val="30"/>
          <w:szCs w:val="30"/>
        </w:rPr>
        <w:t xml:space="preserve">41.11.6 Revised Governing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governing claim of Section 41.8 is now restated with the World Brain properly positioned: QueryBook is the first AI system to implement a full Predictive Coding architecture — including a persistent generative world model, a hierarchical prediction error signal, prior-strength-governed belief updating, active inference, anticipatory pre-loading, and long-timescale memory consolidation — operating at the level of meaning rather than language. The World Brain is the neocortex of this architecture. The Dual-Brain system is its cortical hierarchy. The PCA mechanisms are its computational processes. The Fact Universe is the reality it models. No LLM implements a generative world model. No LLM has a persistent prior. No LLM updates in response to prediction error at inference time. No LLM consolidates episodic experience into semantic memory. QueryBook does all of these — and the World Brain is why.</w:t>
      </w:r>
    </w:p>
    <w:p>
      <w:pPr>
        <w:pStyle w:val="Heading3"/>
        <w:spacing w:after="120" w:before="240" w:line="288" w:lineRule="auto"/>
      </w:pPr>
      <w:r>
        <w:rPr>
          <w:rFonts w:ascii="Calibri" w:cs="Calibri" w:eastAsia="Calibri" w:hAnsi="Calibri"/>
          <w:color w:val="000000"/>
          <w:sz w:val="30"/>
          <w:szCs w:val="30"/>
        </w:rPr>
        <w:t xml:space="preserve">41.11.7 Additional Patent Significance</w:t>
      </w:r>
    </w:p>
    <w:p>
      <w:pPr>
        <w:spacing w:after="240" w:line="360" w:lineRule="auto"/>
      </w:pPr>
      <w:r>
        <w:rPr>
          <w:rFonts w:ascii="Calibri" w:cs="Calibri" w:eastAsia="Calibri" w:hAnsi="Calibri"/>
          <w:b w:val="false"/>
          <w:bCs w:val="false"/>
          <w:i w:val="false"/>
          <w:iCs w:val="false"/>
          <w:strike w:val="false"/>
          <w:color w:val="333333"/>
          <w:sz w:val="22"/>
          <w:szCs w:val="22"/>
        </w:rPr>
        <w:t xml:space="preserve">The integration of the World Brain as the generative model substrate adds three additional independent patent dimensions to the five identified in Section 41.10.</w:t>
      </w:r>
    </w:p>
    <w:p>
      <w:pPr>
        <w:spacing w:after="240" w:line="360" w:lineRule="auto"/>
      </w:pPr>
      <w:r>
        <w:rPr>
          <w:rFonts w:ascii="Calibri" w:cs="Calibri" w:eastAsia="Calibri" w:hAnsi="Calibri"/>
          <w:b w:val="false"/>
          <w:bCs w:val="false"/>
          <w:i w:val="false"/>
          <w:iCs w:val="false"/>
          <w:strike w:val="false"/>
          <w:color w:val="333333"/>
          <w:sz w:val="22"/>
          <w:szCs w:val="22"/>
        </w:rPr>
        <w:t xml:space="preserve">(6) The World Brain as a persistent generative model in an AI semantic knowledge system — the specific implementation of a Predictive Coding generative model as a language-agnostic concept node hypergraph that continuously generates top-down attribute predictions during Fact Unit ingestion and query processing is novel. No prior art discloses a semantic knowledge system with a persistent, self-updating, prior-strength-governed generative world model.</w:t>
      </w:r>
    </w:p>
    <w:p>
      <w:pPr>
        <w:spacing w:after="240" w:line="360" w:lineRule="auto"/>
      </w:pPr>
      <w:r>
        <w:rPr>
          <w:rFonts w:ascii="Calibri" w:cs="Calibri" w:eastAsia="Calibri" w:hAnsi="Calibri"/>
          <w:b w:val="false"/>
          <w:bCs w:val="false"/>
          <w:i w:val="false"/>
          <w:iCs w:val="false"/>
          <w:strike w:val="false"/>
          <w:color w:val="333333"/>
          <w:sz w:val="22"/>
          <w:szCs w:val="22"/>
        </w:rPr>
        <w:t xml:space="preserve">(7) The Dual-Brain Architecture as a two-level Predictive Coding hierarchy — the specific implementation of the Predictive Coding two-level hierarchical structure as a Semantic Brain (lower, specific, language-anchored) and World Brain (higher, general, language-agnostic) connected by bidirectional Cross-Modal Bindings that simultaneously carry bottom-up evidence and top-down predictions is novel as an AI system architecture claim.</w:t>
      </w:r>
    </w:p>
    <w:p>
      <w:pPr>
        <w:spacing w:after="240" w:line="360" w:lineRule="auto"/>
      </w:pPr>
      <w:r>
        <w:rPr>
          <w:rFonts w:ascii="Calibri" w:cs="Calibri" w:eastAsia="Calibri" w:hAnsi="Calibri"/>
          <w:b w:val="false"/>
          <w:bCs w:val="false"/>
          <w:i w:val="false"/>
          <w:iCs w:val="false"/>
          <w:strike w:val="false"/>
          <w:color w:val="333333"/>
          <w:sz w:val="22"/>
          <w:szCs w:val="22"/>
        </w:rPr>
        <w:t xml:space="preserve">(8) The Episodic Flush as computational sleep-dependent memory consolidation — the specific mechanism of scheduled, irreversible transfer of stable semantic abstractions from episodic Fact Unit storage to persistent concept node network storage, with simultaneous release of episodic specifics, is novel as a long-timescale memory architecture for AI knowledge systems and constitutes the first formal specification of sleep-dependent memory consolidation applied to a semantic AI architecture.</w:t>
      </w:r>
    </w:p>
    <w:p>
      <w:pPr>
        <w:pStyle w:val="Heading1"/>
        <w:spacing w:after="120" w:before="240" w:line="288" w:lineRule="auto"/>
      </w:pPr>
      <w:r>
        <w:rPr>
          <w:rFonts w:ascii="Calibri" w:cs="Calibri" w:eastAsia="Calibri" w:hAnsi="Calibri"/>
          <w:color w:val="000000"/>
          <w:sz w:val="48"/>
          <w:szCs w:val="48"/>
        </w:rPr>
        <w:t xml:space="preserve">Chapter 42: Proprietary Technologies — Independent, Compatible, Architecturally Aligned</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formally establishes the core cognitive technologies that define QueryBook’s deterministic architecture. Every technology specified in this chapter is native to QueryBook: predictive and creative reasoning, as specified throughout this Bible, do not require or depend on any external or independently-operable system to function.</w:t>
      </w:r>
    </w:p>
    <w:p>
      <w:pPr>
        <w:pStyle w:val="Heading2"/>
        <w:spacing w:after="120" w:before="240" w:line="288" w:lineRule="auto"/>
      </w:pPr>
      <w:r>
        <w:rPr>
          <w:rFonts w:ascii="Calibri" w:cs="Calibri" w:eastAsia="Calibri" w:hAnsi="Calibri"/>
          <w:color w:val="000000"/>
          <w:sz w:val="36"/>
          <w:szCs w:val="36"/>
        </w:rPr>
        <w:t xml:space="preserve">42.1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cognitive architecture, as specified elsewhere in this Bible (notably Chapters 3–9, 15–17, and 53–59), is here organized into a formal technology inventory: which components are proprietary and independent, which are native and QueryBook-specific, and which were considered and deliberately excluded from implementation. This inventory is intended for patent portfolio planning and for engineering teams evaluating integration boundaries.</w:t>
      </w:r>
    </w:p>
    <w:p>
      <w:pPr>
        <w:pStyle w:val="Heading2"/>
        <w:spacing w:after="120" w:before="240" w:line="288" w:lineRule="auto"/>
      </w:pPr>
      <w:r>
        <w:rPr>
          <w:rFonts w:ascii="Calibri" w:cs="Calibri" w:eastAsia="Calibri" w:hAnsi="Calibri"/>
          <w:color w:val="000000"/>
          <w:sz w:val="36"/>
          <w:szCs w:val="36"/>
        </w:rPr>
        <w:t xml:space="preserve">42.2 Core Technologies (Proprietary, Independent, Compatible)</w:t>
      </w:r>
    </w:p>
    <w:p>
      <w:pPr>
        <w:pStyle w:val="Heading3"/>
        <w:spacing w:after="120" w:before="200" w:line="288" w:lineRule="auto"/>
      </w:pPr>
      <w:r>
        <w:rPr>
          <w:rFonts w:ascii="Calibri" w:cs="Calibri" w:eastAsia="Calibri" w:hAnsi="Calibri"/>
          <w:color w:val="000000"/>
          <w:sz w:val="28"/>
          <w:szCs w:val="28"/>
        </w:rPr>
        <w:t xml:space="preserve">42.2.1 WVM — World-View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semantic spine of QueryBook. WVM is native to QueryBook and requires no external or independently-operable technology to exist. WVM implements: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World-model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WVM is the interpretive structure of QueryBook. (Note: WVM is distinct from the World Model Domain (WMD) specified within WASM, Chapter 53 — WMD models physical and social reality for embodied/robotic contexts specifically, while WVM is the general semantic spine spanning ontology, causality, and time across the whole platform. The two are complementary layers, not duplicates.)</w:t>
      </w:r>
    </w:p>
    <w:p>
      <w:pPr>
        <w:pStyle w:val="Heading3"/>
        <w:spacing w:after="120" w:before="200" w:line="288" w:lineRule="auto"/>
      </w:pPr>
      <w:r>
        <w:rPr>
          <w:rFonts w:ascii="Calibri" w:cs="Calibri" w:eastAsia="Calibri" w:hAnsi="Calibri"/>
          <w:color w:val="000000"/>
          <w:sz w:val="28"/>
          <w:szCs w:val="28"/>
        </w:rPr>
        <w:t xml:space="preserve">42.2.2 Ontology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dynamic, versioned ontology defining entity types, attributes, relationships, constraints, and hierarchical type systems. This is the dictionary of the world. (Note: this is the same conceptual role as the Ontology Mesh specified in Chapter 6; the two should be read as one component described from two angles — Chapter 6 for its full technical specification, this section for its place in the proprietary technology inventory.)</w:t>
      </w:r>
    </w:p>
    <w:p>
      <w:pPr>
        <w:pStyle w:val="Heading3"/>
        <w:spacing w:after="120" w:before="200" w:line="288" w:lineRule="auto"/>
      </w:pPr>
      <w:r>
        <w:rPr>
          <w:rFonts w:ascii="Calibri" w:cs="Calibri" w:eastAsia="Calibri" w:hAnsi="Calibri"/>
          <w:color w:val="000000"/>
          <w:sz w:val="28"/>
          <w:szCs w:val="28"/>
        </w:rPr>
        <w:t xml:space="preserve">42.2.3 Causal Graph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deterministic DAG defining causal edges, preconditions, effects, rule definitions, and causal versioning. This is the cause-and-effect engine.</w:t>
      </w:r>
    </w:p>
    <w:p>
      <w:pPr>
        <w:pStyle w:val="Heading3"/>
        <w:spacing w:after="120" w:before="200" w:line="288" w:lineRule="auto"/>
      </w:pPr>
      <w:r>
        <w:rPr>
          <w:rFonts w:ascii="Calibri" w:cs="Calibri" w:eastAsia="Calibri" w:hAnsi="Calibri"/>
          <w:color w:val="000000"/>
          <w:sz w:val="28"/>
          <w:szCs w:val="28"/>
        </w:rPr>
        <w:t xml:space="preserve">42.2.4 Temporal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static facts, dynamic facts, event facts, state transitions, and temporal constraints. This is the time engine. (Note: consistent with the TemporalAnchor field and Temporal Relations already specified in Chapter 3 and §53.3.2.)</w:t>
      </w:r>
    </w:p>
    <w:p>
      <w:pPr>
        <w:pStyle w:val="Heading3"/>
        <w:spacing w:after="120" w:before="200" w:line="288" w:lineRule="auto"/>
      </w:pPr>
      <w:r>
        <w:rPr>
          <w:rFonts w:ascii="Calibri" w:cs="Calibri" w:eastAsia="Calibri" w:hAnsi="Calibri"/>
          <w:color w:val="000000"/>
          <w:sz w:val="28"/>
          <w:szCs w:val="28"/>
        </w:rPr>
        <w:t xml:space="preserve">42.2.5 Semantic Consistency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Validates non-contradiction, causal coherence, temporal alignment, and ontological validity. This is the semantic judge.</w:t>
      </w:r>
    </w:p>
    <w:p>
      <w:pPr>
        <w:pStyle w:val="Heading3"/>
        <w:spacing w:after="120" w:before="200" w:line="288" w:lineRule="auto"/>
      </w:pPr>
      <w:r>
        <w:rPr>
          <w:rFonts w:ascii="Calibri" w:cs="Calibri" w:eastAsia="Calibri" w:hAnsi="Calibri"/>
          <w:color w:val="000000"/>
          <w:sz w:val="28"/>
          <w:szCs w:val="28"/>
        </w:rPr>
        <w:t xml:space="preserve">42.2.5.1 Validation Trigger and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§42.2.5 names what the Semantic Consistency Engine validates but not when it runs or how. This section specifies both, reusing mechanisms already fully specified elsewhere rather than introducing new dynamics — following the same pattern §42.2.6 already established for the Reasoning Engine.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VALIDATION ORCHESTRATOR, NOT A DYNAMICAL SYSTEM</w:t>
            </w:r>
            <w:r>
              <w:rPr>
                <w:rFonts w:ascii="Calibri" w:cs="Calibri" w:eastAsia="Calibri" w:hAnsi="Calibri"/>
                <w:b/>
                <w:bCs/>
                <w:i w:val="false"/>
                <w:iCs w:val="false"/>
                <w:strike w:val="false"/>
                <w:color w:val="333333"/>
                <w:sz w:val="24"/>
                <w:szCs w:val="24"/>
              </w:rPr>
              <w:t xml:space="preserve">The Semantic Consistency Engine is deterministic, event-triggered validation logic — not a system with its own state-evolution dynamics, attractors, or convergence behavior. Confusing it with the Attractor Network (Chapter 7, which does have real convergence dynamics, for a different purpose — retrieval stabilization) or with any fabricated “cognitive dynamical system” framing would misdescribe what this component actually is.</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Trigger: the engine runs whenever WVM's state changes — a new Fact Unit entering the Ontology Layer (§42.2.2), Causal Graph (§42.2.3), or Temporal Model (§42.2.4), or an existing entry in any of these being revised. It is not a continuously-running process and does not run on a fixed schedule independent of actual state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Non-contradiction check: reuses the Cross-Domain Rule Engine's existing Conflict Index (Chapter 17) directly — a new or revised Fact Unit is checked against the Conflict Index's existing contradiction-detection logic, not a separate, parallel contradiction-detection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coherence check: validates the incoming or revised state against WVM's own Causal Graph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alignment check: validates against WVM's own Temporal Model (§42.2.4) and the Fact Unit's own TemporalAnchor field (Appendix 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Ontological validity check: validates against WVM's own Ontology Layer (§42.2.2), itself built on the Ontology Mesh (Chapter 6).</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any check fails, the engine surfaces the specific failure — which check, against which existing WVM entry — rather than silently accepting or silently discarding the triggering change, consistent with the non-silent-failure discipline already applied throughout this Bible to ΔE validation (§70.3), registration drift (§70.4), and NLPL's ambiguity halt (§48.4.1).</w:t>
      </w:r>
    </w:p>
    <w:p>
      <w:pPr>
        <w:pStyle w:val="Heading3"/>
        <w:spacing w:after="120" w:before="200" w:line="288" w:lineRule="auto"/>
      </w:pPr>
      <w:r>
        <w:rPr>
          <w:rFonts w:ascii="Calibri" w:cs="Calibri" w:eastAsia="Calibri" w:hAnsi="Calibri"/>
          <w:color w:val="000000"/>
          <w:sz w:val="28"/>
          <w:szCs w:val="28"/>
        </w:rPr>
        <w:t xml:space="preserve">42.2.6 Reasoning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Deterministic inference engine implementing causal reasoning, temporal reasoning, analogical reasoning, abstraction, prediction, and explanation. This is the thinking organ. (Note: this is the organizing role already served by the AGI Extension Modules, Chapter 15, and the Neuromorphic Cognitive Layer, Chapter 7; this section frames that existing capability within the proprietary technology inventory rather than specifying a new engine.)</w:t>
      </w:r>
    </w:p>
    <w:p>
      <w:pPr>
        <w:pStyle w:val="Heading3"/>
        <w:spacing w:after="120" w:before="200" w:line="288" w:lineRule="auto"/>
      </w:pPr>
      <w:r>
        <w:rPr>
          <w:rFonts w:ascii="Calibri" w:cs="Calibri" w:eastAsia="Calibri" w:hAnsi="Calibri"/>
          <w:color w:val="000000"/>
          <w:sz w:val="28"/>
          <w:szCs w:val="28"/>
        </w:rPr>
        <w:t xml:space="preserve">42.2.7 Interpretation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Maps natural language to structured meaning. Implements semantic parsing, ontology alignment, causal alignment, temporal alignment, and meaning disambiguation. This is the meaning resolver. (Note: corresponds to the SPE, Semantic Parsing Engine, specified in §50.2.)</w:t>
      </w:r>
    </w:p>
    <w:p>
      <w:pPr>
        <w:pStyle w:val="Heading3"/>
        <w:spacing w:after="120" w:before="200" w:line="288" w:lineRule="auto"/>
      </w:pPr>
      <w:r>
        <w:rPr>
          <w:rFonts w:ascii="Calibri" w:cs="Calibri" w:eastAsia="Calibri" w:hAnsi="Calibri"/>
          <w:color w:val="000000"/>
          <w:sz w:val="28"/>
          <w:szCs w:val="28"/>
        </w:rPr>
        <w:t xml:space="preserve">42.2.8 Narrative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Converts structured reasoning to human language. Implements narrative structure, causal explanation formatting, temporal explanation formatting, analogy expression, and deterministic creativity expression. This is the language organ. (Note: corresponds to the Narrative Graph, Chapter 12, and the NLGE component of the NLIL, §50.5.)</w:t>
      </w:r>
    </w:p>
    <w:p>
      <w:pPr>
        <w:pStyle w:val="Heading3"/>
        <w:spacing w:after="120" w:before="200" w:line="288" w:lineRule="auto"/>
      </w:pPr>
      <w:r>
        <w:rPr>
          <w:rFonts w:ascii="Calibri" w:cs="Calibri" w:eastAsia="Calibri" w:hAnsi="Calibri"/>
          <w:color w:val="000000"/>
          <w:sz w:val="28"/>
          <w:szCs w:val="28"/>
        </w:rPr>
        <w:t xml:space="preserve">42.2.9 Deterministic Creativity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Implements creativity through structured recombination, causal abstraction, temporal abstraction, analogy generation, and conceptual blending. This is creative thought without randomness.</w:t>
      </w:r>
    </w:p>
    <w:p>
      <w:pPr>
        <w:pStyle w:val="Heading3"/>
        <w:spacing w:after="120" w:before="200" w:line="288" w:lineRule="auto"/>
      </w:pPr>
      <w:r>
        <w:rPr>
          <w:rFonts w:ascii="Calibri" w:cs="Calibri" w:eastAsia="Calibri" w:hAnsi="Calibri"/>
          <w:color w:val="000000"/>
          <w:sz w:val="28"/>
          <w:szCs w:val="28"/>
        </w:rPr>
        <w:t xml:space="preserve">42.2.10 Ontology Evolution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Allows controlled ontology updates. Implements versioned ontology updates, deterministic validation, and WVM consistency checks. This is the world-model evolution engine.</w:t>
      </w:r>
    </w:p>
    <w:p>
      <w:pPr>
        <w:pStyle w:val="Heading3"/>
        <w:spacing w:after="120" w:before="200" w:line="288" w:lineRule="auto"/>
      </w:pPr>
      <w:r>
        <w:rPr>
          <w:rFonts w:ascii="Calibri" w:cs="Calibri" w:eastAsia="Calibri" w:hAnsi="Calibri"/>
          <w:color w:val="000000"/>
          <w:sz w:val="28"/>
          <w:szCs w:val="28"/>
        </w:rPr>
        <w:t xml:space="preserve">42.2.11 Cognition Boundary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Defines what QueryBook can and cannot compute. Implements deterministic boundaries, paradox rejection, contradiction rejection, undefined ontology rejection, and infinite regress prevention. This is the cognitive safety layer. (Note: complementary to, and enforced alongside, the Safety Substrate specified in Chapter 8 and Domain 0 — the Cognition Boundary System governs computability and logical well-formedness; the Safety Substrate and Prime Directive govern harm prevention. Both must pass for an output to be delivered.)</w:t>
      </w:r>
    </w:p>
    <w:p>
      <w:pPr>
        <w:pStyle w:val="Heading2"/>
        <w:spacing w:after="120" w:before="240" w:line="288" w:lineRule="auto"/>
      </w:pPr>
      <w:r>
        <w:rPr>
          <w:rFonts w:ascii="Calibri" w:cs="Calibri" w:eastAsia="Calibri" w:hAnsi="Calibri"/>
          <w:color w:val="000000"/>
          <w:sz w:val="36"/>
          <w:szCs w:val="36"/>
        </w:rPr>
        <w:t xml:space="preserve">42.3 Technologies Explicitly Excluded From Implementation</w:t>
      </w:r>
    </w:p>
    <w:p>
      <w:pPr>
        <w:pStyle w:val="Heading3"/>
        <w:spacing w:after="120" w:before="200" w:line="288" w:lineRule="auto"/>
      </w:pPr>
      <w:r>
        <w:rPr>
          <w:rFonts w:ascii="Calibri" w:cs="Calibri" w:eastAsia="Calibri" w:hAnsi="Calibri"/>
          <w:color w:val="000000"/>
          <w:sz w:val="28"/>
          <w:szCs w:val="28"/>
        </w:rPr>
        <w:t xml:space="preserve">42.3.1 SCM — Stochastic Cognition Module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SCM is not part of QueryBook’s deterministic architecture. It remains: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Record-only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Dormant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Non-operational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Non-integrated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Non-persistent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It is documented here as a considered-and-excluded design decision, not as a specified system. It is not included in the QueryBook Bible’s implementation scope.</w:t>
      </w:r>
    </w:p>
    <w:p>
      <w:pPr>
        <w:pStyle w:val="Heading2"/>
        <w:spacing w:after="120" w:before="240" w:line="288" w:lineRule="auto"/>
      </w:pPr>
      <w:r>
        <w:rPr>
          <w:rFonts w:ascii="Calibri" w:cs="Calibri" w:eastAsia="Calibri" w:hAnsi="Calibri"/>
          <w:color w:val="000000"/>
          <w:sz w:val="36"/>
          <w:szCs w:val="36"/>
        </w:rPr>
        <w:t xml:space="preserve">42.4 Summary of Implementable Technologies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technologies are included in this Bible and intended for implementation: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WVM — §42.2.1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Layer — §42.2.2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Causal Graph Layer — §42.2.3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Model — §42.2.4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Consistency Engine — §42.2.5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Reasoning Engine — §42.2.6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Interpretation Layer — §42.2.7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Narrative Engine — §42.2.8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Creativity Engine — §42.2.9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Evolution System — §42.2.10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Cognition Boundary System — §42.2.11</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technologies specified in §42.2 are native to QueryBook, requiring no external or independently-operable system to function. SCM (§42.3.1) remains excluded from implementation.</w:t>
      </w:r>
    </w:p>
    <w:p>
      <w:pPr>
        <w:pStyle w:val="Heading1"/>
        <w:spacing w:after="120" w:before="240" w:line="288" w:lineRule="auto"/>
      </w:pPr>
      <w:r>
        <w:rPr>
          <w:rFonts w:ascii="Calibri" w:cs="Calibri" w:eastAsia="Calibri" w:hAnsi="Calibri"/>
          <w:color w:val="000000"/>
          <w:sz w:val="48"/>
          <w:szCs w:val="48"/>
        </w:rPr>
        <w:t xml:space="preserve">Chapter 43: Integration of Hoffman-Derived Mathematical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the role of a set of mathematically well-defined perceptual-modeling structures — Markovian perceptual transitions, trace-logic coarse-graining, and observer-window inheritance, drawn from the perceptual-modeling literature associated with Donald Hoffman — within the QueryBook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MATHEMATICS ONLY, NOT METAPHYSICS, AND SELECTIVE, NOT CORE</w:t>
            </w:r>
            <w:r>
              <w:rPr>
                <w:rFonts w:ascii="Calibri" w:cs="Calibri" w:eastAsia="Calibri" w:hAnsi="Calibri"/>
                <w:b/>
                <w:bCs/>
                <w:i w:val="false"/>
                <w:iCs w:val="false"/>
                <w:strike w:val="false"/>
                <w:color w:val="333333"/>
                <w:sz w:val="24"/>
                <w:szCs w:val="24"/>
              </w:rPr>
              <w:t xml:space="preserve">Only the mathematical structures described in §43.1 are adopted into QueryBook. The associated metaphysical claims (for example, that perceived reality is merely an interface, or that objects are icons rather than groundable entities) are explicitly excluded and are addressed directly in §43.2. This chapter adopts formalism, not philosophy. Separately, and just as important: this technology applies selectively, to specific bounded contexts only — embodied-agent and multi-agent perceptual simulation within the Scenario Graph (Chapter 11) and WASM/RMD (Chapters 53, 56) — and is never applied to QueryBook's main purpose and architecture. QueryBook's core Fact Graph, Ontology Mesh (Chapter 6), NCL Temporal Memory (§7.2), Multimodal Ingestion Pipeline (§4.3), and primary query-answering path (Chapters 1–20, 52) are unmodified by this chapter and carry no dependency on it. §43.3 below specifies the bounded integration points precisely for this reason.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43.1 Mathematical Foundations Relevant to QueryBook</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subsections below describe the theoretical alignment between these mathematical structures and QueryBook's existing components in general conceptual terms. The bounded, actual integration scope — which components this chapter modifies and which it explicitly does not — is specified precisely in §43.3.</w:t>
      </w:r>
    </w:p>
    <w:p>
      <w:pPr>
        <w:pStyle w:val="Heading3"/>
        <w:spacing w:after="120" w:before="200" w:line="288" w:lineRule="auto"/>
      </w:pPr>
      <w:r>
        <w:rPr>
          <w:rFonts w:ascii="Calibri" w:cs="Calibri" w:eastAsia="Calibri" w:hAnsi="Calibri"/>
          <w:color w:val="000000"/>
          <w:sz w:val="28"/>
          <w:szCs w:val="28"/>
        </w:rPr>
        <w:t xml:space="preserve">43.1.1 Markovian Perceptual Transition Structures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Perceptual states can be modeled as a Markov chain, where an agent transitions between perceptual states with defined probabilities. This aligns directly with QueryBook’s WVM Predictive Layer, NCL Temporal Memory (§7.2), and Scenario Graph (Chapter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State transitions are probabilistic.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Transition matrices encode agent-specific perceptual dynamics.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states are treated as latent nodes in a larger world-model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Temporal smoothing is applied through the NCL’s Attractor Network (§7.2.4), which the temporal memory mechanisms of §7.2.2 feed into. (Correction: an earlier pass of this Bible stated attractor dynamics was not yet formally specified within Chapter 7 — that was incorrect. §7.2.4 specifies it directly; the earlier citation simply pointed at the wrong subsection.)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a more precise mechanism for modeling agent-specific perception, behavior prediction, and limited observation windows.</w:t>
      </w:r>
    </w:p>
    <w:p>
      <w:pPr>
        <w:pStyle w:val="Heading3"/>
        <w:spacing w:after="120" w:before="200" w:line="288" w:lineRule="auto"/>
      </w:pPr>
      <w:r>
        <w:rPr>
          <w:rFonts w:ascii="Calibri" w:cs="Calibri" w:eastAsia="Calibri" w:hAnsi="Calibri"/>
          <w:color w:val="000000"/>
          <w:sz w:val="28"/>
          <w:szCs w:val="28"/>
        </w:rPr>
        <w:t xml:space="preserve">43.1.2 Trace Logic and Coarse-Graining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describes how a restricted observer window inherits probabilistic structure from a larger hidden system. This is mathematically compatible with QueryBook’s Ontology Mesh (Chapter 6), Fact Unit coarse-graining, and the WVM Conceptual Layer.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Observers see only a subset of the full state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Coarse-grained states preserve probabilistic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Latent structures can be inferred from partial observations.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Dimensionality reduction is treated as a formal mapping, not a heuristic.</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improves its ability to infer hidden world-states, compress high-dimensional sensory data, maintain coherence across layers, and stabilize latent-state predictions.</w:t>
      </w:r>
    </w:p>
    <w:p>
      <w:pPr>
        <w:pStyle w:val="Heading3"/>
        <w:spacing w:after="120" w:before="200" w:line="288" w:lineRule="auto"/>
      </w:pPr>
      <w:r>
        <w:rPr>
          <w:rFonts w:ascii="Calibri" w:cs="Calibri" w:eastAsia="Calibri" w:hAnsi="Calibri"/>
          <w:color w:val="000000"/>
          <w:sz w:val="28"/>
          <w:szCs w:val="28"/>
        </w:rPr>
        <w:t xml:space="preserve">43.1.3 Observer-Window Inheritance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agent is modeled as having a limited perceptual aperture. This aligns with QueryBook’s sensory gating, selective attention, agent-specific perceptual metadata, and multi-agent simulation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agent has a unique perceptual window.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Observations are filtered through agent-specific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Perceptual limitations are encoded as part of the agent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Observation windows influence state-transition probabilities.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benefit: QueryBook gains more accurate modeling of human perceptual biases, robot sensor limitations, multi-agent interactions, and partial-information reasoning.</w:t>
      </w:r>
    </w:p>
    <w:p>
      <w:pPr>
        <w:pStyle w:val="Heading2"/>
        <w:spacing w:after="120" w:before="240" w:line="288" w:lineRule="auto"/>
      </w:pPr>
      <w:r>
        <w:rPr>
          <w:rFonts w:ascii="Calibri" w:cs="Calibri" w:eastAsia="Calibri" w:hAnsi="Calibri"/>
          <w:color w:val="000000"/>
          <w:sz w:val="36"/>
          <w:szCs w:val="36"/>
        </w:rPr>
        <w:t xml:space="preserve">43.2 Explicit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does not adopt the associated metaphysical claims of this framework, including that perceived reality is merely an interface, that objects are icons rather than groundable entities, that space and time are illusions, or that agents generate reality rather than perceive it.</w:t>
      </w:r>
    </w:p>
    <w:p>
      <w:pPr>
        <w:spacing w:after="120" w:line="360" w:lineRule="auto"/>
      </w:pPr>
      <w:r>
        <w:rPr>
          <w:rFonts w:ascii="Calibri" w:cs="Calibri" w:eastAsia="Calibri" w:hAnsi="Calibri"/>
          <w:b w:val="false"/>
          <w:bCs w:val="false"/>
          <w:i w:val="false"/>
          <w:iCs w:val="false"/>
          <w:strike w:val="false"/>
          <w:color w:val="000000"/>
          <w:sz w:val="22"/>
          <w:szCs w:val="22"/>
        </w:rPr>
        <w:t xml:space="preserve">Reason for exclusion: these claims are incompatible with QueryBook’s foundational requirements — objective world-state modeling, robot control and physical grounding, Safety Substrate constraints (Chapter 8), multi-agent consistency, and deterministic world-state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Architectural boundary: this framework's metaphysical claims are treated as non-actionable philosophy, not as a computational model, and have no representation anywhere in this Bible's architecture.</w:t>
      </w:r>
    </w:p>
    <w:p>
      <w:pPr>
        <w:pStyle w:val="Heading2"/>
        <w:spacing w:after="120" w:before="240" w:line="288" w:lineRule="auto"/>
      </w:pPr>
      <w:r>
        <w:rPr>
          <w:rFonts w:ascii="Calibri" w:cs="Calibri" w:eastAsia="Calibri" w:hAnsi="Calibri"/>
          <w:color w:val="000000"/>
          <w:sz w:val="36"/>
          <w:szCs w:val="36"/>
        </w:rPr>
        <w:t xml:space="preserve">43.3 Integration Pathways</w:t>
      </w:r>
    </w:p>
    <w:p>
      <w:pPr>
        <w:pStyle w:val="Heading3"/>
        <w:spacing w:after="120" w:before="200" w:line="288" w:lineRule="auto"/>
      </w:pPr>
      <w:r>
        <w:rPr>
          <w:rFonts w:ascii="Calibri" w:cs="Calibri" w:eastAsia="Calibri" w:hAnsi="Calibri"/>
          <w:color w:val="000000"/>
          <w:sz w:val="28"/>
          <w:szCs w:val="28"/>
        </w:rPr>
        <w:t xml:space="preserve">43.3.1 Markovian Agent Transition Model (MATM)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agent-simulation instances of the Scenario Graph (Chapter 11) and the WASM World Model Domain's embodied-agent perceptual subsystem (Chapter 53) only. Function: models agent perceptual transitions using Markov chains over latent perceptual states, scoped to simulated and embodied agents. Not integrated into the general-purpose WVM Predictive Layer or the core NCL Temporal Memory (§7.2) used for QueryBook's main query-answering path — those remain unmodified.</w:t>
      </w:r>
    </w:p>
    <w:p>
      <w:pPr>
        <w:pStyle w:val="Heading3"/>
        <w:spacing w:after="120" w:before="200" w:line="288" w:lineRule="auto"/>
      </w:pPr>
      <w:r>
        <w:rPr>
          <w:rFonts w:ascii="Calibri" w:cs="Calibri" w:eastAsia="Calibri" w:hAnsi="Calibri"/>
          <w:color w:val="000000"/>
          <w:sz w:val="28"/>
          <w:szCs w:val="28"/>
        </w:rPr>
        <w:t xml:space="preserve">43.3.2 Trace Logic Coarse-Graining Module (TLCM)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agent-perception Fact Units specifically (those tagged as originating from the WASM/RMD embodied-agent subsystem, Chapters 53 and 56) only. Function: implements trace-logic operators for latent-state compression of agent perceptual data. Not integrated into the general-purpose Fact Unit compression pipeline or the core Ontology Mesh (Chapter 6) used for QueryBook's main knowledge representation — those remain unmodified and carry no trace-logic dependency.</w:t>
      </w:r>
    </w:p>
    <w:p>
      <w:pPr>
        <w:pStyle w:val="Heading3"/>
        <w:spacing w:after="120" w:before="200" w:line="288" w:lineRule="auto"/>
      </w:pPr>
      <w:r>
        <w:rPr>
          <w:rFonts w:ascii="Calibri" w:cs="Calibri" w:eastAsia="Calibri" w:hAnsi="Calibri"/>
          <w:color w:val="000000"/>
          <w:sz w:val="28"/>
          <w:szCs w:val="28"/>
        </w:rPr>
        <w:t xml:space="preserve">43.3.3 Partial-Observation Inference Engine (POIE)</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the SENSOR source-type branch of ingestion specifically (§49.3.2.4, robot and IoT sensory input routed through the Sensory Abstraction Pipeline, Chapter 55) only, plus its associated Fact Unit perceptual metadata. Function: infers hidden states from limited sensory input for embodied agents. Not integrated into the general-purpose Multimodal Ingestion Pipeline (§4.3) used for BATCH, WATCH, STREAM, FEDERATED, or SOCIAL source types — document and dataset ingestion for QueryBook's main knowledge base is unaffected.</w:t>
      </w:r>
    </w:p>
    <w:p>
      <w:pPr>
        <w:pStyle w:val="Heading3"/>
        <w:spacing w:after="120" w:before="200" w:line="288" w:lineRule="auto"/>
      </w:pPr>
      <w:r>
        <w:rPr>
          <w:rFonts w:ascii="Calibri" w:cs="Calibri" w:eastAsia="Calibri" w:hAnsi="Calibri"/>
          <w:color w:val="000000"/>
          <w:sz w:val="28"/>
          <w:szCs w:val="28"/>
        </w:rPr>
        <w:t xml:space="preserve">43.3.4 Agent-Centric Observation Window Model (ACOWM)</w:t>
      </w:r>
    </w:p>
    <w:p>
      <w:pPr>
        <w:spacing w:after="120" w:line="360" w:lineRule="auto"/>
      </w:pPr>
      <w:r>
        <w:rPr>
          <w:rFonts w:ascii="Calibri" w:cs="Calibri" w:eastAsia="Calibri" w:hAnsi="Calibri"/>
          <w:b w:val="false"/>
          <w:bCs w:val="false"/>
          <w:i w:val="false"/>
          <w:iCs w:val="false"/>
          <w:strike w:val="false"/>
          <w:color w:val="000000"/>
          <w:sz w:val="22"/>
          <w:szCs w:val="22"/>
        </w:rPr>
        <w:t xml:space="preserve">Integrated into: agent-simulation nodes of the Scenario Graph (Chapter 11) and sensory gating within the WASM/RMD embodied-agent subsystem (Chapters 53, 56) only. Function: models agent-specific perceptual limitations for simulated and embodied agents. Not integrated into the NCL's general-purpose selective attention mechanism (§7.2) used across QueryBook's core retrieval path.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IMPLEMENTATION NOTE — SCOPE IS BOUNDED TO AGENT SIMULATION</w:t>
            </w:r>
            <w:r>
              <w:rPr>
                <w:rFonts w:ascii="Calibri" w:cs="Calibri" w:eastAsia="Calibri" w:hAnsi="Calibri"/>
                <w:b/>
                <w:bCs/>
                <w:i w:val="false"/>
                <w:iCs w:val="false"/>
                <w:strike w:val="false"/>
                <w:color w:val="333333"/>
                <w:sz w:val="24"/>
                <w:szCs w:val="24"/>
              </w:rPr>
              <w:t xml:space="preserve">Every integration point in §43.3 is deliberately scoped to the Scenario Graph's agent-simulation instances and the WASM/RMD embodied-agent subsystem (Chapters 53, 56) — never to QueryBook's general-purpose WVM (§42.2.1), NCL (Chapter 7), Ontology Mesh (Chapter 6), or Multimodal Ingestion Pipeline (§4.3). This chapter does not extend or modify the core WVM specification; it adds a self-contained perceptual-modeling capability usable only within agent-simulation and embodied-robotics contexts.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43.4 Compatibility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Component</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Adopted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Rejected</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QueryBook Module</w:t>
            </w:r>
          </w:p>
        </w:tc>
      </w:tr>
      <w:tr>
        <w:tc>
          <w:tcPr>
            <w:tcW w:type="pct" w:w="25%"/>
          </w:tcPr>
          <w:p>
            <w:r>
              <w:rPr>
                <w:rFonts w:ascii="Calibri" w:cs="Calibri" w:eastAsia="Calibri" w:hAnsi="Calibri"/>
                <w:b w:val="false"/>
                <w:bCs w:val="false"/>
                <w:i w:val="false"/>
                <w:iCs w:val="false"/>
                <w:strike w:val="false"/>
                <w:color w:val="000000"/>
                <w:sz w:val="19"/>
                <w:szCs w:val="19"/>
              </w:rPr>
              <w:t xml:space="preserve">Markov Chains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Trace Logic</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Coarse-Graining</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Agent-perception Fact Units only</w:t>
            </w:r>
          </w:p>
        </w:tc>
      </w:tr>
      <w:tr>
        <w:tc>
          <w:tcPr>
            <w:tcW w:type="pct" w:w="25%"/>
          </w:tcPr>
          <w:p>
            <w:r>
              <w:rPr>
                <w:rFonts w:ascii="Calibri" w:cs="Calibri" w:eastAsia="Calibri" w:hAnsi="Calibri"/>
                <w:b w:val="false"/>
                <w:bCs w:val="false"/>
                <w:i w:val="false"/>
                <w:iCs w:val="false"/>
                <w:strike w:val="false"/>
                <w:color w:val="000000"/>
                <w:sz w:val="19"/>
                <w:szCs w:val="19"/>
              </w:rPr>
              <w:t xml:space="preserve">Observer Windows</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Scenario Graph agent simulation only</w:t>
            </w:r>
          </w:p>
        </w:tc>
      </w:tr>
      <w:tr>
        <w:tc>
          <w:tcPr>
            <w:tcW w:type="pct" w:w="25%"/>
          </w:tcPr>
          <w:p>
            <w:r>
              <w:rPr>
                <w:rFonts w:ascii="Calibri" w:cs="Calibri" w:eastAsia="Calibri" w:hAnsi="Calibri"/>
                <w:b w:val="false"/>
                <w:bCs w:val="false"/>
                <w:i w:val="false"/>
                <w:iCs w:val="false"/>
                <w:strike w:val="false"/>
                <w:color w:val="000000"/>
                <w:sz w:val="19"/>
                <w:szCs w:val="19"/>
              </w:rPr>
              <w:t xml:space="preserve">Icon-Based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Interface-Based Spacetime</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r>
        <w:tc>
          <w:tcPr>
            <w:tcW w:type="pct" w:w="25%"/>
          </w:tcPr>
          <w:p>
            <w:r>
              <w:rPr>
                <w:rFonts w:ascii="Calibri" w:cs="Calibri" w:eastAsia="Calibri" w:hAnsi="Calibri"/>
                <w:b w:val="false"/>
                <w:bCs w:val="false"/>
                <w:i w:val="false"/>
                <w:iCs w:val="false"/>
                <w:strike w:val="false"/>
                <w:color w:val="000000"/>
                <w:sz w:val="19"/>
                <w:szCs w:val="19"/>
              </w:rPr>
              <w:t xml:space="preserve">Agent-Generated Reality</w:t>
            </w:r>
          </w:p>
        </w:tc>
        <w:tc>
          <w:tcPr>
            <w:tcW w:type="pct" w:w="25%"/>
          </w:tcPr>
          <w:p>
            <w:r>
              <w:rPr>
                <w:rFonts w:ascii="Calibri" w:cs="Calibri" w:eastAsia="Calibri" w:hAnsi="Calibri"/>
                <w:b w:val="false"/>
                <w:bCs w:val="false"/>
                <w:i w:val="false"/>
                <w:iCs w:val="false"/>
                <w:strike w:val="false"/>
                <w:color w:val="000000"/>
                <w:sz w:val="19"/>
                <w:szCs w:val="19"/>
              </w:rPr>
              <w:t xml:space="preserve">No</w:t>
            </w:r>
          </w:p>
        </w:tc>
        <w:tc>
          <w:tcPr>
            <w:tcW w:type="pct" w:w="25%"/>
          </w:tcPr>
          <w:p>
            <w:r>
              <w:rPr>
                <w:rFonts w:ascii="Calibri" w:cs="Calibri" w:eastAsia="Calibri" w:hAnsi="Calibri"/>
                <w:b w:val="false"/>
                <w:bCs w:val="false"/>
                <w:i w:val="false"/>
                <w:iCs w:val="false"/>
                <w:strike w:val="false"/>
                <w:color w:val="000000"/>
                <w:sz w:val="19"/>
                <w:szCs w:val="19"/>
              </w:rPr>
              <w:t xml:space="preserve">Yes</w:t>
            </w:r>
          </w:p>
        </w:tc>
        <w:tc>
          <w:tcPr>
            <w:tcW w:type="pct" w:w="25%"/>
          </w:tcPr>
          <w:p>
            <w:r>
              <w:rPr>
                <w:rFonts w:ascii="Calibri" w:cs="Calibri" w:eastAsia="Calibri" w:hAnsi="Calibri"/>
                <w:b w:val="false"/>
                <w:bCs w:val="false"/>
                <w:i w:val="false"/>
                <w:iCs w:val="false"/>
                <w:strike w:val="false"/>
                <w:color w:val="000000"/>
                <w:sz w:val="19"/>
                <w:szCs w:val="19"/>
              </w:rPr>
              <w:t xml:space="preserve">— (excluded, §43.2)</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43.5 Implications for QueryBook</w:t>
      </w:r>
    </w:p>
    <w:p>
      <w:pPr>
        <w:pStyle w:val="Heading3"/>
        <w:spacing w:after="120" w:before="200" w:line="288" w:lineRule="auto"/>
      </w:pPr>
      <w:r>
        <w:rPr>
          <w:rFonts w:ascii="Calibri" w:cs="Calibri" w:eastAsia="Calibri" w:hAnsi="Calibri"/>
          <w:color w:val="000000"/>
          <w:sz w:val="28"/>
          <w:szCs w:val="28"/>
        </w:rPr>
        <w:t xml:space="preserve">43.5.1 Strengthened Agent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Markovian structures adopted in §43.1.1 improve agent behavior prediction, perceptual modeling, and multi-agent simulation.</w:t>
      </w:r>
    </w:p>
    <w:p>
      <w:pPr>
        <w:pStyle w:val="Heading3"/>
        <w:spacing w:after="120" w:before="200" w:line="288" w:lineRule="auto"/>
      </w:pPr>
      <w:r>
        <w:rPr>
          <w:rFonts w:ascii="Calibri" w:cs="Calibri" w:eastAsia="Calibri" w:hAnsi="Calibri"/>
          <w:color w:val="000000"/>
          <w:sz w:val="28"/>
          <w:szCs w:val="28"/>
        </w:rPr>
        <w:t xml:space="preserve">43.5.2 Enhanced Latent-State Inference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Trace logic (§43.1.2) improves dimensionality reduction, latent-state stability, and partial-observation reasoning.</w:t>
      </w:r>
    </w:p>
    <w:p>
      <w:pPr>
        <w:pStyle w:val="Heading3"/>
        <w:spacing w:after="120" w:before="200" w:line="288" w:lineRule="auto"/>
      </w:pPr>
      <w:r>
        <w:rPr>
          <w:rFonts w:ascii="Calibri" w:cs="Calibri" w:eastAsia="Calibri" w:hAnsi="Calibri"/>
          <w:color w:val="000000"/>
          <w:sz w:val="28"/>
          <w:szCs w:val="28"/>
        </w:rPr>
        <w:t xml:space="preserve">43.5.3 Improved Multi-Agent Coherence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Observer-window modeling (§43.1.3) improves human-agent simulation, robot perception modeling, and cross-agent consistency.</w:t>
      </w:r>
    </w:p>
    <w:p>
      <w:pPr>
        <w:pStyle w:val="Heading3"/>
        <w:spacing w:after="120" w:before="200" w:line="288" w:lineRule="auto"/>
      </w:pPr>
      <w:r>
        <w:rPr>
          <w:rFonts w:ascii="Calibri" w:cs="Calibri" w:eastAsia="Calibri" w:hAnsi="Calibri"/>
          <w:color w:val="000000"/>
          <w:sz w:val="28"/>
          <w:szCs w:val="28"/>
        </w:rPr>
        <w:t xml:space="preserve">43.5.4 Preserved Physical Grounding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Rejecting the metaphysical claims excluded in §43.2 preserves world-state coherence, robot control, and Safety Substrate integrity (Chapter 8).</w:t>
      </w:r>
    </w:p>
    <w:p>
      <w:pPr>
        <w:pStyle w:val="Heading2"/>
        <w:spacing w:after="120" w:before="240" w:line="288" w:lineRule="auto"/>
      </w:pPr>
      <w:r>
        <w:rPr>
          <w:rFonts w:ascii="Calibri" w:cs="Calibri" w:eastAsia="Calibri" w:hAnsi="Calibri"/>
          <w:color w:val="000000"/>
          <w:sz w:val="36"/>
          <w:szCs w:val="36"/>
        </w:rPr>
        <w:t xml:space="preserve">43.6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mathematical structures strengthen QueryBook’s agent modeling, latent inference, coarse-graining, and partial-observation reasoning. The associated metaphysics is excluded to preserve objective world-state modeling, robot control, safety constraints, and multi-agent consistency. This integration enhances QueryBook’s ability to model agents, infer hidden states, and maintain coherent world-models across layers, without introducing any claim, dependency, or terminology that conflicts with the physical-grounding requirements specified elsewhere in this Bible (notably Chapters 8, 53, and 56).</w:t>
      </w:r>
    </w:p>
    <w:p>
      <w:pPr>
        <w:pStyle w:val="Heading1"/>
        <w:spacing w:after="120" w:before="240" w:line="288" w:lineRule="auto"/>
      </w:pPr>
      <w:r>
        <w:rPr>
          <w:rFonts w:ascii="Calibri" w:cs="Calibri" w:eastAsia="Calibri" w:hAnsi="Calibri"/>
          <w:color w:val="000000"/>
          <w:sz w:val="48"/>
          <w:szCs w:val="48"/>
        </w:rPr>
        <w:t xml:space="preserve">Chapter 44: QueryBook Video Colorization &amp; Upscaling Module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Video Colorization &amp; Upscaling Module (VCUM) is an applied World-Model System: a downstream application that consumes QueryBook’s existing world-model reasoning to perform museum-grade video restoration, extreme-resolution upscaling, and historically accurate color reconstruction. It is positioned alongside Chapter 43 as an applied/extension system, not as a modification to QueryBook’s core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NOT A CORE MODIFICATION</w:t>
            </w:r>
            <w:r>
              <w:rPr>
                <w:rFonts w:ascii="Calibri" w:cs="Calibri" w:eastAsia="Calibri" w:hAnsi="Calibri"/>
                <w:b/>
                <w:bCs/>
                <w:i w:val="false"/>
                <w:iCs w:val="false"/>
                <w:strike w:val="false"/>
                <w:color w:val="333333"/>
                <w:sz w:val="24"/>
                <w:szCs w:val="24"/>
              </w:rPr>
              <w:t xml:space="preserve">VCUM consumes the WVM, NCL, and Scenario Graph (Chapters 42, 7, 11) as an application would consume an API — it does not redefine or extend their core specifications, consistent with the boundary already established in Chapter 43. Any Fact Units VCUM writes back (§44.4.2, “Latent-State Reinforcement”) are scoped and tagged to a video-restoration domain and are not commingled with QueryBook’s general-purpose knowledge Fact Graph used for the main query-answering path (Chapters 1–20, 52). Where this chapter references a WVM Predictive Layer, WVM Physical Layer, or WVM Conceptual Layer, it relies on the same as-yet-informal layer structure Chapter 43 already flagged (§43.3 implementation note) as not yet formally specified in §42.2.1 — this is now the second chapter to depend on that structure, reinforcing the case for a dedicated future pass to formalize it there.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44.1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extends the World-View Model (WVM), Neuromorphic Cognitive Layer (NCL), and Scenario Graph into a unified semantic-video reconstruction pipeline. It is designed to outperform traditional pixel-space, GAN-based, or diffusion-based upscalers by leveraging QueryBook’s world-model reasoning, material-aware reflectance modeling, and temporal coherence architecture, rather than pixel-space hallucination.</w:t>
      </w:r>
    </w:p>
    <w:p>
      <w:pPr>
        <w:pStyle w:val="Heading2"/>
        <w:spacing w:after="120" w:before="240" w:line="288" w:lineRule="auto"/>
      </w:pPr>
      <w:r>
        <w:rPr>
          <w:rFonts w:ascii="Calibri" w:cs="Calibri" w:eastAsia="Calibri" w:hAnsi="Calibri"/>
          <w:color w:val="000000"/>
          <w:sz w:val="36"/>
          <w:szCs w:val="36"/>
        </w:rPr>
        <w:t xml:space="preserve">44.2 Architectural Principles</w:t>
      </w:r>
    </w:p>
    <w:p>
      <w:pPr>
        <w:pStyle w:val="Heading3"/>
        <w:spacing w:after="120" w:before="200" w:line="288" w:lineRule="auto"/>
      </w:pPr>
      <w:r>
        <w:rPr>
          <w:rFonts w:ascii="Calibri" w:cs="Calibri" w:eastAsia="Calibri" w:hAnsi="Calibri"/>
          <w:color w:val="000000"/>
          <w:sz w:val="28"/>
          <w:szCs w:val="28"/>
        </w:rPr>
        <w:t xml:space="preserve">44.2.1 Semantic Reconstruction Over Pixel Interpolation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rejects pixel-space hallucination. All reconstruction is performed through the WVM Predictive Layer, NCL Temporal Memory (§7.2), and the Scenario Graph (Chapter 11), scoped to VCUM’s video-restoration context per the Scope Note above. This ensures upscaled frames preserve object identity, material properties, lighting physics, historical color priors, and temporal continuity.</w:t>
      </w:r>
    </w:p>
    <w:p>
      <w:pPr>
        <w:pStyle w:val="Heading3"/>
        <w:spacing w:after="120" w:before="200" w:line="288" w:lineRule="auto"/>
      </w:pPr>
      <w:r>
        <w:rPr>
          <w:rFonts w:ascii="Calibri" w:cs="Calibri" w:eastAsia="Calibri" w:hAnsi="Calibri"/>
          <w:color w:val="000000"/>
          <w:sz w:val="28"/>
          <w:szCs w:val="28"/>
        </w:rPr>
        <w:t xml:space="preserve">44.2.2 Multi-Phase Learning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uses a three-phase learning cycle — Phase I (Baseline Inference and Error Mapping), Phase II (Correction, Refinement and Stabilization), and Phase III (True Restoration and Historical Reconstruction) — executed during QueryBook’s pre-launch world-model build to ensure optimal performance at launch. The full technical specification of all three phases is given in §44.4.</w:t>
      </w:r>
    </w:p>
    <w:p>
      <w:pPr>
        <w:pStyle w:val="Heading3"/>
        <w:spacing w:after="120" w:before="200" w:line="288" w:lineRule="auto"/>
      </w:pPr>
      <w:r>
        <w:rPr>
          <w:rFonts w:ascii="Calibri" w:cs="Calibri" w:eastAsia="Calibri" w:hAnsi="Calibri"/>
          <w:color w:val="000000"/>
          <w:sz w:val="28"/>
          <w:szCs w:val="28"/>
        </w:rPr>
        <w:t xml:space="preserve">44.2.3 Material-Aware Color and Detail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integrates material-specific reflectance models scoped to its own video-restoration Fact Units: wood grain, metal specularity, skin subsurface scattering, textile dye behavior, and stone mineral coloration. This enables accurate color restoration and physically correct detail reconstruction.</w:t>
      </w:r>
    </w:p>
    <w:p>
      <w:pPr>
        <w:pStyle w:val="Heading2"/>
        <w:spacing w:after="120" w:before="240" w:line="288" w:lineRule="auto"/>
      </w:pPr>
      <w:r>
        <w:rPr>
          <w:rFonts w:ascii="Calibri" w:cs="Calibri" w:eastAsia="Calibri" w:hAnsi="Calibri"/>
          <w:color w:val="000000"/>
          <w:sz w:val="36"/>
          <w:szCs w:val="36"/>
        </w:rPr>
        <w:t xml:space="preserve">44.3 Module Components</w:t>
      </w:r>
    </w:p>
    <w:p>
      <w:pPr>
        <w:pStyle w:val="Heading3"/>
        <w:spacing w:after="120" w:before="200" w:line="288" w:lineRule="auto"/>
      </w:pPr>
      <w:r>
        <w:rPr>
          <w:rFonts w:ascii="Calibri" w:cs="Calibri" w:eastAsia="Calibri" w:hAnsi="Calibri"/>
          <w:color w:val="000000"/>
          <w:sz w:val="28"/>
          <w:szCs w:val="28"/>
        </w:rPr>
        <w:t xml:space="preserve">44.3.1 Semantic Colorization Engine (SCE)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deterministic color inference using historical color priors, material reflectance databases, lighting physics models, and cultural color norms. Colorization is reconstructed from these grounded inputs, not hallucinated.</w:t>
      </w:r>
    </w:p>
    <w:p>
      <w:pPr>
        <w:pStyle w:val="Heading3"/>
        <w:spacing w:after="120" w:before="200" w:line="288" w:lineRule="auto"/>
      </w:pPr>
      <w:r>
        <w:rPr>
          <w:rFonts w:ascii="Calibri" w:cs="Calibri" w:eastAsia="Calibri" w:hAnsi="Calibri"/>
          <w:color w:val="000000"/>
          <w:sz w:val="28"/>
          <w:szCs w:val="28"/>
        </w:rPr>
        <w:t xml:space="preserve">44.3.2 Extreme-Resolution Upscaling Engine (ERUE)</w:t>
      </w:r>
    </w:p>
    <w:p>
      <w:pPr>
        <w:spacing w:after="120" w:line="360" w:lineRule="auto"/>
      </w:pPr>
      <w:r>
        <w:rPr>
          <w:rFonts w:ascii="Calibri" w:cs="Calibri" w:eastAsia="Calibri" w:hAnsi="Calibri"/>
          <w:b w:val="false"/>
          <w:bCs w:val="false"/>
          <w:i w:val="false"/>
          <w:iCs w:val="false"/>
          <w:strike w:val="false"/>
          <w:color w:val="000000"/>
          <w:sz w:val="22"/>
          <w:szCs w:val="22"/>
        </w:rPr>
        <w:t xml:space="preserve">Performs HD to 16K upscaling using semantic segmentation, object-aware super-resolution, material-aware sharpening, and lighting-aware detail reconstruction. Upscaling is performed in latent space, reducing compute cost by approximately 90% relative to pixel-space approaches.</w:t>
      </w:r>
    </w:p>
    <w:p>
      <w:pPr>
        <w:pStyle w:val="Heading3"/>
        <w:spacing w:after="120" w:before="200" w:line="288" w:lineRule="auto"/>
      </w:pPr>
      <w:r>
        <w:rPr>
          <w:rFonts w:ascii="Calibri" w:cs="Calibri" w:eastAsia="Calibri" w:hAnsi="Calibri"/>
          <w:color w:val="000000"/>
          <w:sz w:val="28"/>
          <w:szCs w:val="28"/>
        </w:rPr>
        <w:t xml:space="preserve">44.3.3 Temporal Coherence Stabilizer (TCS)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Uses the Scenario Graph (scoped per the Scope Note above) to maintain cross-frame color consistency, object trajectory coherence, lighting continuity, and occlusion-aware reconstruction, eliminating flicker, drift, and GAN-style instability.</w:t>
      </w:r>
    </w:p>
    <w:p>
      <w:pPr>
        <w:pStyle w:val="Heading2"/>
        <w:spacing w:after="120" w:before="240" w:line="288" w:lineRule="auto"/>
      </w:pPr>
      <w:r>
        <w:rPr>
          <w:rFonts w:ascii="Calibri" w:cs="Calibri" w:eastAsia="Calibri" w:hAnsi="Calibri"/>
          <w:color w:val="000000"/>
          <w:sz w:val="36"/>
          <w:szCs w:val="36"/>
        </w:rPr>
        <w:t xml:space="preserve">44.4 Multi-Phase Semantic Reconstruction Blueprint</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phase builds on the previous one, using QueryBook’s world-model architecture to achieve colorization and extreme-resolution upscaling. This blueprint defines the technical workflow, data structures, learning loops, and integration points for Phases I–III.</w:t>
      </w:r>
    </w:p>
    <w:p>
      <w:pPr>
        <w:pStyle w:val="Heading3"/>
        <w:spacing w:after="120" w:before="200" w:line="288" w:lineRule="auto"/>
      </w:pPr>
      <w:r>
        <w:rPr>
          <w:rFonts w:ascii="Calibri" w:cs="Calibri" w:eastAsia="Calibri" w:hAnsi="Calibri"/>
          <w:color w:val="000000"/>
          <w:sz w:val="28"/>
          <w:szCs w:val="28"/>
        </w:rPr>
        <w:t xml:space="preserve">44.4.1 Phase I — Baseline Semantic Inference and Error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construct the initial semantic representation of video frames and identify all uncertainty regions requiring refinement.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Semantic Extraction: </w:t>
      </w:r>
      <w:r>
        <w:rPr>
          <w:rFonts w:ascii="Calibri" w:cs="Calibri" w:eastAsia="Calibri" w:hAnsi="Calibri"/>
          <w:b w:val="false"/>
          <w:bCs w:val="false"/>
          <w:i w:val="false"/>
          <w:iCs w:val="false"/>
          <w:strike w:val="false"/>
          <w:color w:val="000000"/>
          <w:sz w:val="22"/>
          <w:szCs w:val="22"/>
        </w:rPr>
        <w:t xml:space="preserve">the WVM Predictive Layer identifies objects, materials, lighting, and environmental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Identification: </w:t>
      </w:r>
      <w:r>
        <w:rPr>
          <w:rFonts w:ascii="Calibri" w:cs="Calibri" w:eastAsia="Calibri" w:hAnsi="Calibri"/>
          <w:b w:val="false"/>
          <w:bCs w:val="false"/>
          <w:i w:val="false"/>
          <w:iCs w:val="false"/>
          <w:strike w:val="false"/>
          <w:color w:val="000000"/>
          <w:sz w:val="22"/>
          <w:szCs w:val="22"/>
        </w:rPr>
        <w:t xml:space="preserve">material-class mapping (wood, metal, skin, fabric, stone) using the NCL’s concept lattice.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Model Initialization: </w:t>
      </w:r>
      <w:r>
        <w:rPr>
          <w:rFonts w:ascii="Calibri" w:cs="Calibri" w:eastAsia="Calibri" w:hAnsi="Calibri"/>
          <w:b w:val="false"/>
          <w:bCs w:val="false"/>
          <w:i w:val="false"/>
          <w:iCs w:val="false"/>
          <w:strike w:val="false"/>
          <w:color w:val="000000"/>
          <w:sz w:val="22"/>
          <w:szCs w:val="22"/>
        </w:rPr>
        <w:t xml:space="preserve">the WVM Physical Layer generates preliminary reflectance and illumination models.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Historical Color Prior Mapping: </w:t>
      </w:r>
      <w:r>
        <w:rPr>
          <w:rFonts w:ascii="Calibri" w:cs="Calibri" w:eastAsia="Calibri" w:hAnsi="Calibri"/>
          <w:b w:val="false"/>
          <w:bCs w:val="false"/>
          <w:i w:val="false"/>
          <w:iCs w:val="false"/>
          <w:strike w:val="false"/>
          <w:color w:val="000000"/>
          <w:sz w:val="22"/>
          <w:szCs w:val="22"/>
        </w:rPr>
        <w:t xml:space="preserve">NCL Temporal Memory loads era-specific color priors for historically accurate reconstruction.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Error Vector Generation: </w:t>
      </w:r>
      <w:r>
        <w:rPr>
          <w:rFonts w:ascii="Calibri" w:cs="Calibri" w:eastAsia="Calibri" w:hAnsi="Calibri"/>
          <w:b w:val="false"/>
          <w:bCs w:val="false"/>
          <w:i w:val="false"/>
          <w:iCs w:val="false"/>
          <w:strike w:val="false"/>
          <w:color w:val="000000"/>
          <w:sz w:val="22"/>
          <w:szCs w:val="22"/>
        </w:rPr>
        <w:t xml:space="preserve">VCUM computes pixel-space versus semantic-space discrepancies.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Uncertainty Field Construction: </w:t>
      </w:r>
      <w:r>
        <w:rPr>
          <w:rFonts w:ascii="Calibri" w:cs="Calibri" w:eastAsia="Calibri" w:hAnsi="Calibri"/>
          <w:b w:val="false"/>
          <w:bCs w:val="false"/>
          <w:i w:val="false"/>
          <w:iCs w:val="false"/>
          <w:strike w:val="false"/>
          <w:color w:val="000000"/>
          <w:sz w:val="22"/>
          <w:szCs w:val="22"/>
        </w:rPr>
        <w:t xml:space="preserve">VCUM-scoped Fact Units are coarse-grained to identify low-confidence regions, using the same trace-logic coarse-graining pattern already scoped in §43.3.2, applied here to the video-restoration domain rather than the agent-perception domain.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baseline semantic frame graph, initial material reflectance model, preliminary lighting physics model, error vector map, uncertainty field map, and a Phase I confidence matrix.</w:t>
      </w:r>
    </w:p>
    <w:p>
      <w:pPr>
        <w:pStyle w:val="Heading3"/>
        <w:spacing w:after="120" w:before="200" w:line="288" w:lineRule="auto"/>
      </w:pPr>
      <w:r>
        <w:rPr>
          <w:rFonts w:ascii="Calibri" w:cs="Calibri" w:eastAsia="Calibri" w:hAnsi="Calibri"/>
          <w:color w:val="000000"/>
          <w:sz w:val="28"/>
          <w:szCs w:val="28"/>
        </w:rPr>
        <w:t xml:space="preserve">44.4.2 Phase II — Correction, Refinement, and Temporal Stabilization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refine Phase I outputs, correct color drift, stabilize temporal consistency, and improve material and lighting accuracy.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Color Drift Correction: </w:t>
      </w:r>
      <w:r>
        <w:rPr>
          <w:rFonts w:ascii="Calibri" w:cs="Calibri" w:eastAsia="Calibri" w:hAnsi="Calibri"/>
          <w:b w:val="false"/>
          <w:bCs w:val="false"/>
          <w:i w:val="false"/>
          <w:iCs w:val="false"/>
          <w:strike w:val="false"/>
          <w:color w:val="000000"/>
          <w:sz w:val="22"/>
          <w:szCs w:val="22"/>
        </w:rPr>
        <w:t xml:space="preserve">adjusts color predictions using error vectors and historical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 Reflectance Refinement: </w:t>
      </w:r>
      <w:r>
        <w:rPr>
          <w:rFonts w:ascii="Calibri" w:cs="Calibri" w:eastAsia="Calibri" w:hAnsi="Calibri"/>
          <w:b w:val="false"/>
          <w:bCs w:val="false"/>
          <w:i w:val="false"/>
          <w:iCs w:val="false"/>
          <w:strike w:val="false"/>
          <w:color w:val="000000"/>
          <w:sz w:val="22"/>
          <w:szCs w:val="22"/>
        </w:rPr>
        <w:t xml:space="preserve">material-specific reflectance curves are recalibrated using NCL Temporal Memory.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Temporal Smoothing: </w:t>
      </w:r>
      <w:r>
        <w:rPr>
          <w:rFonts w:ascii="Calibri" w:cs="Calibri" w:eastAsia="Calibri" w:hAnsi="Calibri"/>
          <w:b w:val="false"/>
          <w:bCs w:val="false"/>
          <w:i w:val="false"/>
          <w:iCs w:val="false"/>
          <w:strike w:val="false"/>
          <w:color w:val="000000"/>
          <w:sz w:val="22"/>
          <w:szCs w:val="22"/>
        </w:rPr>
        <w:t xml:space="preserve">the Scenario Graph enforces cross-frame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Lighting Physics Calibration: </w:t>
      </w:r>
      <w:r>
        <w:rPr>
          <w:rFonts w:ascii="Calibri" w:cs="Calibri" w:eastAsia="Calibri" w:hAnsi="Calibri"/>
          <w:b w:val="false"/>
          <w:bCs w:val="false"/>
          <w:i w:val="false"/>
          <w:iCs w:val="false"/>
          <w:strike w:val="false"/>
          <w:color w:val="000000"/>
          <w:sz w:val="22"/>
          <w:szCs w:val="22"/>
        </w:rPr>
        <w:t xml:space="preserve">the WVM Physical Layer updates illumination models based on refined reflectance 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Segmentation Boundary Stabilization: </w:t>
      </w:r>
      <w:r>
        <w:rPr>
          <w:rFonts w:ascii="Calibri" w:cs="Calibri" w:eastAsia="Calibri" w:hAnsi="Calibri"/>
          <w:b w:val="false"/>
          <w:bCs w:val="false"/>
          <w:i w:val="false"/>
          <w:iCs w:val="false"/>
          <w:strike w:val="false"/>
          <w:color w:val="000000"/>
          <w:sz w:val="22"/>
          <w:szCs w:val="22"/>
        </w:rPr>
        <w:t xml:space="preserve">semantic segmentation boundaries are corrected to prevent edge artifacts during upscaling.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Latent-State Reinforcement: </w:t>
      </w:r>
      <w:r>
        <w:rPr>
          <w:rFonts w:ascii="Calibri" w:cs="Calibri" w:eastAsia="Calibri" w:hAnsi="Calibri"/>
          <w:b w:val="false"/>
          <w:bCs w:val="false"/>
          <w:i w:val="false"/>
          <w:iCs w:val="false"/>
          <w:strike w:val="false"/>
          <w:color w:val="000000"/>
          <w:sz w:val="22"/>
          <w:szCs w:val="22"/>
        </w:rPr>
        <w:t xml:space="preserve">VCUM-scoped Fact Units are updated with corrected semantic states, tagged to the video-restoration domain per the Scope Note above; these updates never write into the general-purpose Fact Graph used for QueryBook's main knowledge base.</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refined semantic frame graph, corrected material reflectance model, stabilized lighting physics model, temporal coherence graph, Phase II confidence matrix, and a reduced uncertainty field.</w:t>
      </w:r>
    </w:p>
    <w:p>
      <w:pPr>
        <w:pStyle w:val="Heading3"/>
        <w:spacing w:after="120" w:before="200" w:line="288" w:lineRule="auto"/>
      </w:pPr>
      <w:r>
        <w:rPr>
          <w:rFonts w:ascii="Calibri" w:cs="Calibri" w:eastAsia="Calibri" w:hAnsi="Calibri"/>
          <w:color w:val="000000"/>
          <w:sz w:val="28"/>
          <w:szCs w:val="28"/>
        </w:rPr>
        <w:t xml:space="preserve">44.4.3 Phase III — True Restoration and Museum-Grade Reconstruction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Objective: produce final, historically accurate, physically correct, and temporally stable colorization and upscaling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Original Color Reconstruction: </w:t>
      </w:r>
      <w:r>
        <w:rPr>
          <w:rFonts w:ascii="Calibri" w:cs="Calibri" w:eastAsia="Calibri" w:hAnsi="Calibri"/>
          <w:b w:val="false"/>
          <w:bCs w:val="false"/>
          <w:i w:val="false"/>
          <w:iCs w:val="false"/>
          <w:strike w:val="false"/>
          <w:color w:val="000000"/>
          <w:sz w:val="22"/>
          <w:szCs w:val="22"/>
        </w:rPr>
        <w:t xml:space="preserve">restores original color using historical priors, material databases, and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Era-Specific Palette Restoration: </w:t>
      </w:r>
      <w:r>
        <w:rPr>
          <w:rFonts w:ascii="Calibri" w:cs="Calibri" w:eastAsia="Calibri" w:hAnsi="Calibri"/>
          <w:b w:val="false"/>
          <w:bCs w:val="false"/>
          <w:i w:val="false"/>
          <w:iCs w:val="false"/>
          <w:strike w:val="false"/>
          <w:color w:val="000000"/>
          <w:sz w:val="22"/>
          <w:szCs w:val="22"/>
        </w:rPr>
        <w:t xml:space="preserve">applies cultural and historical color norms to ensure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Material-Accurate Reflectance Modeling: </w:t>
      </w:r>
      <w:r>
        <w:rPr>
          <w:rFonts w:ascii="Calibri" w:cs="Calibri" w:eastAsia="Calibri" w:hAnsi="Calibri"/>
          <w:b w:val="false"/>
          <w:bCs w:val="false"/>
          <w:i w:val="false"/>
          <w:iCs w:val="false"/>
          <w:strike w:val="false"/>
          <w:color w:val="000000"/>
          <w:sz w:val="22"/>
          <w:szCs w:val="22"/>
        </w:rPr>
        <w:t xml:space="preserve">reflectance curves are finalized for each material class.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Cross-Frame Stabilization: </w:t>
      </w:r>
      <w:r>
        <w:rPr>
          <w:rFonts w:ascii="Calibri" w:cs="Calibri" w:eastAsia="Calibri" w:hAnsi="Calibri"/>
          <w:b w:val="false"/>
          <w:bCs w:val="false"/>
          <w:i w:val="false"/>
          <w:iCs w:val="false"/>
          <w:strike w:val="false"/>
          <w:color w:val="000000"/>
          <w:sz w:val="22"/>
          <w:szCs w:val="22"/>
        </w:rPr>
        <w:t xml:space="preserve">the Scenario Graph ensures temporal coherence across entire sequences.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Extreme-Resolution Semantic Upscaling: </w:t>
      </w:r>
      <w:r>
        <w:rPr>
          <w:rFonts w:ascii="Calibri" w:cs="Calibri" w:eastAsia="Calibri" w:hAnsi="Calibri"/>
          <w:b w:val="false"/>
          <w:bCs w:val="false"/>
          <w:i w:val="false"/>
          <w:iCs w:val="false"/>
          <w:strike w:val="false"/>
          <w:color w:val="000000"/>
          <w:sz w:val="22"/>
          <w:szCs w:val="22"/>
        </w:rPr>
        <w:t xml:space="preserve">the ERUE performs HD to 16K upscaling using semantic super-resolution.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Museum-Grade Output Generation: </w:t>
      </w:r>
      <w:r>
        <w:rPr>
          <w:rFonts w:ascii="Calibri" w:cs="Calibri" w:eastAsia="Calibri" w:hAnsi="Calibri"/>
          <w:b w:val="false"/>
          <w:bCs w:val="false"/>
          <w:i w:val="false"/>
          <w:iCs w:val="false"/>
          <w:strike w:val="false"/>
          <w:color w:val="000000"/>
          <w:sz w:val="22"/>
          <w:szCs w:val="22"/>
        </w:rPr>
        <w:t xml:space="preserve">produces archival-quality frames suitable for preservation and restoration.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Outputs: final semantic frame graph, museum-grade color reconstruction, extreme-resolution upscaled frames, a fully stabilized temporal sequence, a Phase III confidence matrix, and a restoration provenance log recorded in the Provenance Ledger (Chapter 5), consistent with how any other derived output's lineage is tracked.</w:t>
      </w:r>
    </w:p>
    <w:p>
      <w:pPr>
        <w:pStyle w:val="Heading3"/>
        <w:spacing w:after="120" w:before="200" w:line="288" w:lineRule="auto"/>
      </w:pPr>
      <w:r>
        <w:rPr>
          <w:rFonts w:ascii="Calibri" w:cs="Calibri" w:eastAsia="Calibri" w:hAnsi="Calibri"/>
          <w:color w:val="000000"/>
          <w:sz w:val="28"/>
          <w:szCs w:val="28"/>
        </w:rPr>
        <w:t xml:space="preserve">44.4.4 Phase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tblGrid>
      <w:tr>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Key Modules</w:t>
            </w:r>
          </w:p>
        </w:tc>
        <w:tc>
          <w:tcPr>
            <w:tcW w:type="pct" w:w="25%"/>
            <w:shd w:fill="0D2A5E" w:color="auto" w:val="clear"/>
          </w:tcPr>
          <w:p>
            <w:r>
              <w:rPr>
                <w:rFonts w:ascii="Calibri" w:cs="Calibri" w:eastAsia="Calibri" w:hAnsi="Calibri"/>
                <w:b/>
                <w:bCs w:val="false"/>
                <w:i w:val="false"/>
                <w:iCs w:val="false"/>
                <w:strike w:val="false"/>
                <w:color w:val="FFFFFF"/>
                <w:sz w:val="19"/>
                <w:szCs w:val="19"/>
              </w:rPr>
              <w:t xml:space="preserve">Output Quality</w:t>
            </w:r>
          </w:p>
        </w:tc>
      </w:tr>
      <w:tr>
        <w:tc>
          <w:tcPr>
            <w:tcW w:type="pct" w:w="25%"/>
          </w:tcPr>
          <w:p>
            <w:r>
              <w:rPr>
                <w:rFonts w:ascii="Calibri" w:cs="Calibri" w:eastAsia="Calibri" w:hAnsi="Calibri"/>
                <w:b w:val="false"/>
                <w:bCs w:val="false"/>
                <w:i w:val="false"/>
                <w:iCs w:val="false"/>
                <w:strike w:val="false"/>
                <w:color w:val="000000"/>
                <w:sz w:val="19"/>
                <w:szCs w:val="19"/>
              </w:rPr>
              <w:t xml:space="preserve">Phase I</w:t>
            </w:r>
          </w:p>
        </w:tc>
        <w:tc>
          <w:tcPr>
            <w:tcW w:type="pct" w:w="25%"/>
          </w:tcPr>
          <w:p>
            <w:r>
              <w:rPr>
                <w:rFonts w:ascii="Calibri" w:cs="Calibri" w:eastAsia="Calibri" w:hAnsi="Calibri"/>
                <w:b w:val="false"/>
                <w:bCs w:val="false"/>
                <w:i w:val="false"/>
                <w:iCs w:val="false"/>
                <w:strike w:val="false"/>
                <w:color w:val="000000"/>
                <w:sz w:val="19"/>
                <w:szCs w:val="19"/>
              </w:rPr>
              <w:t xml:space="preserve">Baseline inference</w:t>
            </w:r>
          </w:p>
        </w:tc>
        <w:tc>
          <w:tcPr>
            <w:tcW w:type="pct" w:w="25%"/>
          </w:tcPr>
          <w:p>
            <w:r>
              <w:rPr>
                <w:rFonts w:ascii="Calibri" w:cs="Calibri" w:eastAsia="Calibri" w:hAnsi="Calibri"/>
                <w:b w:val="false"/>
                <w:bCs w:val="false"/>
                <w:i w:val="false"/>
                <w:iCs w:val="false"/>
                <w:strike w:val="false"/>
                <w:color w:val="000000"/>
                <w:sz w:val="19"/>
                <w:szCs w:val="19"/>
              </w:rPr>
              <w:t xml:space="preserve">WVM, NCL, VCUM-scoped Fact Units</w:t>
            </w:r>
          </w:p>
        </w:tc>
        <w:tc>
          <w:tcPr>
            <w:tcW w:type="pct" w:w="25%"/>
          </w:tcPr>
          <w:p>
            <w:r>
              <w:rPr>
                <w:rFonts w:ascii="Calibri" w:cs="Calibri" w:eastAsia="Calibri" w:hAnsi="Calibri"/>
                <w:b w:val="false"/>
                <w:bCs w:val="false"/>
                <w:i w:val="false"/>
                <w:iCs w:val="false"/>
                <w:strike w:val="false"/>
                <w:color w:val="000000"/>
                <w:sz w:val="19"/>
                <w:szCs w:val="19"/>
              </w:rPr>
              <w:t xml:space="preserve">Coarse, partially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w:t>
            </w:r>
          </w:p>
        </w:tc>
        <w:tc>
          <w:tcPr>
            <w:tcW w:type="pct" w:w="25%"/>
          </w:tcPr>
          <w:p>
            <w:r>
              <w:rPr>
                <w:rFonts w:ascii="Calibri" w:cs="Calibri" w:eastAsia="Calibri" w:hAnsi="Calibri"/>
                <w:b w:val="false"/>
                <w:bCs w:val="false"/>
                <w:i w:val="false"/>
                <w:iCs w:val="false"/>
                <w:strike w:val="false"/>
                <w:color w:val="000000"/>
                <w:sz w:val="19"/>
                <w:szCs w:val="19"/>
              </w:rPr>
              <w:t xml:space="preserve">Correction and refinement</w:t>
            </w:r>
          </w:p>
        </w:tc>
        <w:tc>
          <w:tcPr>
            <w:tcW w:type="pct" w:w="25%"/>
          </w:tcPr>
          <w:p>
            <w:r>
              <w:rPr>
                <w:rFonts w:ascii="Calibri" w:cs="Calibri" w:eastAsia="Calibri" w:hAnsi="Calibri"/>
                <w:b w:val="false"/>
                <w:bCs w:val="false"/>
                <w:i w:val="false"/>
                <w:iCs w:val="false"/>
                <w:strike w:val="false"/>
                <w:color w:val="000000"/>
                <w:sz w:val="19"/>
                <w:szCs w:val="19"/>
              </w:rPr>
              <w:t xml:space="preserve">WVM, NCL, Scenario Graph</w:t>
            </w:r>
          </w:p>
        </w:tc>
        <w:tc>
          <w:tcPr>
            <w:tcW w:type="pct" w:w="25%"/>
          </w:tcPr>
          <w:p>
            <w:r>
              <w:rPr>
                <w:rFonts w:ascii="Calibri" w:cs="Calibri" w:eastAsia="Calibri" w:hAnsi="Calibri"/>
                <w:b w:val="false"/>
                <w:bCs w:val="false"/>
                <w:i w:val="false"/>
                <w:iCs w:val="false"/>
                <w:strike w:val="false"/>
                <w:color w:val="000000"/>
                <w:sz w:val="19"/>
                <w:szCs w:val="19"/>
              </w:rPr>
              <w:t xml:space="preserve">High accuracy, stable</w:t>
            </w:r>
          </w:p>
        </w:tc>
      </w:tr>
      <w:tr>
        <w:tc>
          <w:tcPr>
            <w:tcW w:type="pct" w:w="25%"/>
          </w:tcPr>
          <w:p>
            <w:r>
              <w:rPr>
                <w:rFonts w:ascii="Calibri" w:cs="Calibri" w:eastAsia="Calibri" w:hAnsi="Calibri"/>
                <w:b w:val="false"/>
                <w:bCs w:val="false"/>
                <w:i w:val="false"/>
                <w:iCs w:val="false"/>
                <w:strike w:val="false"/>
                <w:color w:val="000000"/>
                <w:sz w:val="19"/>
                <w:szCs w:val="19"/>
              </w:rPr>
              <w:t xml:space="preserve">Phase III</w:t>
            </w:r>
          </w:p>
        </w:tc>
        <w:tc>
          <w:tcPr>
            <w:tcW w:type="pct" w:w="25%"/>
          </w:tcPr>
          <w:p>
            <w:r>
              <w:rPr>
                <w:rFonts w:ascii="Calibri" w:cs="Calibri" w:eastAsia="Calibri" w:hAnsi="Calibri"/>
                <w:b w:val="false"/>
                <w:bCs w:val="false"/>
                <w:i w:val="false"/>
                <w:iCs w:val="false"/>
                <w:strike w:val="false"/>
                <w:color w:val="000000"/>
                <w:sz w:val="19"/>
                <w:szCs w:val="19"/>
              </w:rPr>
              <w:t xml:space="preserve">True restoration</w:t>
            </w:r>
          </w:p>
        </w:tc>
        <w:tc>
          <w:tcPr>
            <w:tcW w:type="pct" w:w="25%"/>
          </w:tcPr>
          <w:p>
            <w:r>
              <w:rPr>
                <w:rFonts w:ascii="Calibri" w:cs="Calibri" w:eastAsia="Calibri" w:hAnsi="Calibri"/>
                <w:b w:val="false"/>
                <w:bCs w:val="false"/>
                <w:i w:val="false"/>
                <w:iCs w:val="false"/>
                <w:strike w:val="false"/>
                <w:color w:val="000000"/>
                <w:sz w:val="19"/>
                <w:szCs w:val="19"/>
              </w:rPr>
              <w:t xml:space="preserve">VCUM, ERUE, TCS</w:t>
            </w:r>
          </w:p>
        </w:tc>
        <w:tc>
          <w:tcPr>
            <w:tcW w:type="pct" w:w="25%"/>
          </w:tcPr>
          <w:p>
            <w:r>
              <w:rPr>
                <w:rFonts w:ascii="Calibri" w:cs="Calibri" w:eastAsia="Calibri" w:hAnsi="Calibri"/>
                <w:b w:val="false"/>
                <w:bCs w:val="false"/>
                <w:i w:val="false"/>
                <w:iCs w:val="false"/>
                <w:strike w:val="false"/>
                <w:color w:val="000000"/>
                <w:sz w:val="19"/>
                <w:szCs w:val="19"/>
              </w:rPr>
              <w:t xml:space="preserve">Museum-grade, extreme-resolution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44.5 Performance Characteristics</w:t>
      </w:r>
    </w:p>
    <w:p>
      <w:pPr>
        <w:pStyle w:val="Heading3"/>
        <w:spacing w:after="120" w:before="200" w:line="288" w:lineRule="auto"/>
      </w:pPr>
      <w:r>
        <w:rPr>
          <w:rFonts w:ascii="Calibri" w:cs="Calibri" w:eastAsia="Calibri" w:hAnsi="Calibri"/>
          <w:color w:val="000000"/>
          <w:sz w:val="28"/>
          <w:szCs w:val="28"/>
        </w:rPr>
        <w:t xml:space="preserve">44.5.1 Accuracy</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targets historically accurate color, physically correct shading, material-consistent detail, and stable temporal coherence.</w:t>
      </w:r>
    </w:p>
    <w:p>
      <w:pPr>
        <w:pStyle w:val="Heading3"/>
        <w:spacing w:after="120" w:before="200" w:line="288" w:lineRule="auto"/>
      </w:pPr>
      <w:r>
        <w:rPr>
          <w:rFonts w:ascii="Calibri" w:cs="Calibri" w:eastAsia="Calibri" w:hAnsi="Calibri"/>
          <w:color w:val="000000"/>
          <w:sz w:val="28"/>
          <w:szCs w:val="28"/>
        </w:rPr>
        <w:t xml:space="preserve">44.5.2 Speed</w:t>
      </w:r>
    </w:p>
    <w:p>
      <w:pPr>
        <w:spacing w:after="120" w:line="360" w:lineRule="auto"/>
      </w:pPr>
      <w:r>
        <w:rPr>
          <w:rFonts w:ascii="Calibri" w:cs="Calibri" w:eastAsia="Calibri" w:hAnsi="Calibri"/>
          <w:b w:val="false"/>
          <w:bCs w:val="false"/>
          <w:i w:val="false"/>
          <w:iCs w:val="false"/>
          <w:strike w:val="false"/>
          <w:color w:val="000000"/>
          <w:sz w:val="22"/>
          <w:szCs w:val="22"/>
        </w:rPr>
        <w:t xml:space="preserve">Latent-space inference is designed to enable real-time HD-to-4K, near-real-time HD-to-8K, and accelerated HD-to-16K processing. These are architectural targets; actual throughput depends on the deployment hardware profile specified for a given installation and should be validated against Chapter 19's deployment benchmarking practice before being cited externally.</w:t>
      </w:r>
    </w:p>
    <w:p>
      <w:pPr>
        <w:pStyle w:val="Heading3"/>
        <w:spacing w:after="120" w:before="200" w:line="288" w:lineRule="auto"/>
      </w:pPr>
      <w:r>
        <w:rPr>
          <w:rFonts w:ascii="Calibri" w:cs="Calibri" w:eastAsia="Calibri" w:hAnsi="Calibri"/>
          <w:color w:val="000000"/>
          <w:sz w:val="28"/>
          <w:szCs w:val="28"/>
        </w:rPr>
        <w:t xml:space="preserve">44.5.3 Cost Efficiency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Semantic compression is designed to reduce pixel workload by approximately 90% relative to GAN-based systems. As with §44.5.2, this is a design target; Appendix C's methodology note (§C.11) is the model for how a figure like this should eventually be validated and sourced before use in external-facing materials.</w:t>
      </w:r>
    </w:p>
    <w:p>
      <w:pPr>
        <w:pStyle w:val="Heading2"/>
        <w:spacing w:after="120" w:before="240" w:line="288" w:lineRule="auto"/>
      </w:pPr>
      <w:r>
        <w:rPr>
          <w:rFonts w:ascii="Calibri" w:cs="Calibri" w:eastAsia="Calibri" w:hAnsi="Calibri"/>
          <w:color w:val="000000"/>
          <w:sz w:val="36"/>
          <w:szCs w:val="36"/>
        </w:rPr>
        <w:t xml:space="preserve">44.6 Operational Modes</w:t>
      </w:r>
    </w:p>
    <w:p>
      <w:pPr>
        <w:pStyle w:val="Heading3"/>
        <w:spacing w:after="120" w:before="200" w:line="288" w:lineRule="auto"/>
      </w:pPr>
      <w:r>
        <w:rPr>
          <w:rFonts w:ascii="Calibri" w:cs="Calibri" w:eastAsia="Calibri" w:hAnsi="Calibri"/>
          <w:color w:val="000000"/>
          <w:sz w:val="28"/>
          <w:szCs w:val="28"/>
        </w:rPr>
        <w:t xml:space="preserve">44.6.1 Reality Mimic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modern cinematic color, stylized grading, and enhanced detail.</w:t>
      </w:r>
    </w:p>
    <w:p>
      <w:pPr>
        <w:pStyle w:val="Heading3"/>
        <w:spacing w:after="120" w:before="200" w:line="288" w:lineRule="auto"/>
      </w:pPr>
      <w:r>
        <w:rPr>
          <w:rFonts w:ascii="Calibri" w:cs="Calibri" w:eastAsia="Calibri" w:hAnsi="Calibri"/>
          <w:color w:val="000000"/>
          <w:sz w:val="28"/>
          <w:szCs w:val="28"/>
        </w:rPr>
        <w:t xml:space="preserve">44.6.2 Historical Restoration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Produces original color reconstruction, era-accurate palettes, material-correct reflectance, and museum-grade fidelity. Both modes use the same semantic pipeline (§44.4); only the priors loaded in Phase I differ.</w:t>
      </w:r>
    </w:p>
    <w:p>
      <w:pPr>
        <w:pStyle w:val="Heading2"/>
        <w:spacing w:after="120" w:before="240" w:line="288" w:lineRule="auto"/>
      </w:pPr>
      <w:r>
        <w:rPr>
          <w:rFonts w:ascii="Calibri" w:cs="Calibri" w:eastAsia="Calibri" w:hAnsi="Calibri"/>
          <w:color w:val="000000"/>
          <w:sz w:val="36"/>
          <w:szCs w:val="36"/>
        </w:rPr>
        <w:t xml:space="preserve">44.7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requires the following to be fully initialized during QueryBook’s pre-launch world-model build: the WVM Physical and Conceptual Layers, NCL Temporal Memory (§7.2), Fact Unit coarse-graining scoped to the video-restoration domain (§44.4.1), the Scenario Graph (Chapter 11), and VCUM’s own three module components (SCE, ERUE, TCS, §44.3). These are consumption dependencies, not modifications — VCUM requires these systems to exist and be queryable; it does not alter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44.8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establishes VCUM as an applied World-Model System delivering historically accurate colorization, physically correct detail reconstruction, extreme-resolution upscaling (HD to 16K), stable temporal coherence, and multi-phase learning refinement (§44.4) — built entirely as a consumer of QueryBook’s existing WVM, NCL, and Scenario Graph capabilities, with no modification to their core specifications and no commingling of its own derived Fact Units with QueryBook’s main knowledge base.</w:t>
      </w:r>
      <w:r>
        <w:rPr>
          <w:rFonts w:ascii="Calibri" w:cs="Calibri" w:eastAsia="Calibri" w:hAnsi="Calibri"/>
          <w:b w:val="false"/>
          <w:bCs w:val="false"/>
          <w:i/>
          <w:iCs/>
          <w:strike w:val="false"/>
          <w:color w:val="555555"/>
          <w:sz w:val="20"/>
          <w:szCs w:val="20"/>
        </w:rPr>
        <w:t xml:space="preserve"> The specialized agents that operationally execute this pipeline are specified in Chapter 45.</w:t>
      </w:r>
    </w:p>
    <w:p>
      <w:pPr>
        <w:pStyle w:val="Heading1"/>
        <w:spacing w:after="120" w:before="240" w:line="288" w:lineRule="auto"/>
      </w:pPr>
      <w:r>
        <w:rPr>
          <w:rFonts w:ascii="Calibri" w:cs="Calibri" w:eastAsia="Calibri" w:hAnsi="Calibri"/>
          <w:color w:val="000000"/>
          <w:sz w:val="48"/>
          <w:szCs w:val="48"/>
        </w:rPr>
        <w:t xml:space="preserve">Chapter 45: VCUM Agent Specifications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defines the six specialized agents that execute VCUM's three-phase colorization and upscaling pipeline (Chapter 44). Where Chapter 44 specifies VCUM's module architecture (SCE, ERUE, TCS, §44.3) and phase workflow (§44.4), this chapter specifies the agents that operationally carry that workflow out.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BOUNDARY AS CHAPTER 44</w:t>
            </w:r>
            <w:r>
              <w:rPr>
                <w:rFonts w:ascii="Calibri" w:cs="Calibri" w:eastAsia="Calibri" w:hAnsi="Calibri"/>
                <w:b/>
                <w:bCs/>
                <w:i w:val="false"/>
                <w:iCs w:val="false"/>
                <w:strike w:val="false"/>
                <w:color w:val="333333"/>
                <w:sz w:val="24"/>
                <w:szCs w:val="24"/>
              </w:rPr>
              <w:t xml:space="preserve">These agents inherit Chapter 44's scope boundary in full: they operate on VCUM-scoped Fact Units tagged to the video-restoration domain, and consume the WVM Predictive Layer, NCL Temporal Memory (§7.2), Scenario Graph (Chapter 11), and Fact Unit coarse-graining as already-specified systems — they do not modify those systems' core specifications, and their outputs are never commingled with QueryBook's general-purpose knowledge Fact Graph used for the main query-answering path (Chapters 1–20, 52). The performance figures in §45.5 are stated as design targets, consistent with the same caveat already applied to Chapter 44's §44.5.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45.1 Agent Role Overview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are specialized semantic-reconstruction agents responsible for executing the three-phase colorization and upscaling pipeline defined in §44.4. Their role is to transform raw grayscale or low-resolution video into museum-grade, historically accurate, extreme-resolution output using QueryBook's world-model architecture, scoped per the note above. They are the semantic backbone of the video enhancement system defined in Chapter 44.</w:t>
      </w:r>
    </w:p>
    <w:p>
      <w:pPr>
        <w:pStyle w:val="Heading2"/>
        <w:spacing w:after="120" w:before="240" w:line="288" w:lineRule="auto"/>
      </w:pPr>
      <w:r>
        <w:rPr>
          <w:rFonts w:ascii="Calibri" w:cs="Calibri" w:eastAsia="Calibri" w:hAnsi="Calibri"/>
          <w:color w:val="000000"/>
          <w:sz w:val="36"/>
          <w:szCs w:val="36"/>
        </w:rPr>
        <w:t xml:space="preserve">45.2 Core Agent Specifications</w:t>
      </w:r>
    </w:p>
    <w:p>
      <w:pPr>
        <w:pStyle w:val="Heading3"/>
        <w:spacing w:after="120" w:before="200" w:line="288" w:lineRule="auto"/>
      </w:pPr>
      <w:r>
        <w:rPr>
          <w:rFonts w:ascii="Calibri" w:cs="Calibri" w:eastAsia="Calibri" w:hAnsi="Calibri"/>
          <w:color w:val="000000"/>
          <w:sz w:val="28"/>
          <w:szCs w:val="28"/>
        </w:rPr>
        <w:t xml:space="preserve">45.2.1 Semantic Extraction Agent (SEA)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builds the initial semantic representation of each frame.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Identifies objects, materials, lighting, and environment.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semantic segmentation maps.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Constructs baseline latent states.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Initializes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Phase I uncertainty fields (§44.4.1).</w:t>
      </w:r>
    </w:p>
    <w:p>
      <w:pPr>
        <w:pStyle w:val="Heading3"/>
        <w:spacing w:after="120" w:before="200" w:line="288" w:lineRule="auto"/>
      </w:pPr>
      <w:r>
        <w:rPr>
          <w:rFonts w:ascii="Calibri" w:cs="Calibri" w:eastAsia="Calibri" w:hAnsi="Calibri"/>
          <w:color w:val="000000"/>
          <w:sz w:val="28"/>
          <w:szCs w:val="28"/>
        </w:rPr>
        <w:t xml:space="preserve">45.2.2 Material Reflectance Agent (MRA)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models and refines material-specific reflectance properties.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Classifies materials (wood, metal, skin, fabric, stone).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reflectance curves.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material-specific color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Updates reflectance models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Finalizes material accuracy in Phase III (§44.4.3).</w:t>
      </w:r>
    </w:p>
    <w:p>
      <w:pPr>
        <w:pStyle w:val="Heading3"/>
        <w:spacing w:after="120" w:before="200" w:line="288" w:lineRule="auto"/>
      </w:pPr>
      <w:r>
        <w:rPr>
          <w:rFonts w:ascii="Calibri" w:cs="Calibri" w:eastAsia="Calibri" w:hAnsi="Calibri"/>
          <w:color w:val="000000"/>
          <w:sz w:val="28"/>
          <w:szCs w:val="28"/>
        </w:rPr>
        <w:t xml:space="preserve">45.2.3 Lighting Physics Agent (LPA)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reconstructs physically accurate lighting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Models illumination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Computes shading, shadowing, and specularity.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Corrects lighting inconsistencies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Calibrates lighting physics during Phase II (§44.4.2).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physically correct lighting in Phase III (§44.4.3).</w:t>
      </w:r>
    </w:p>
    <w:p>
      <w:pPr>
        <w:pStyle w:val="Heading3"/>
        <w:spacing w:after="120" w:before="200" w:line="288" w:lineRule="auto"/>
      </w:pPr>
      <w:r>
        <w:rPr>
          <w:rFonts w:ascii="Calibri" w:cs="Calibri" w:eastAsia="Calibri" w:hAnsi="Calibri"/>
          <w:color w:val="000000"/>
          <w:sz w:val="28"/>
          <w:szCs w:val="28"/>
        </w:rPr>
        <w:t xml:space="preserve">45.2.4 Temporal Coherence Agent (TCA)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maintains cross-frame consistency using the Scenario Graph (Chapter 11), scoped per §45's Scope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Tracks object trajectories.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Stabilizes color across frames.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Prevents flicker and drift.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Enforces occlusion-aware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the final temporal coherence graph (§44.4.3).</w:t>
      </w:r>
    </w:p>
    <w:p>
      <w:pPr>
        <w:pStyle w:val="Heading3"/>
        <w:spacing w:after="120" w:before="200" w:line="288" w:lineRule="auto"/>
      </w:pPr>
      <w:r>
        <w:rPr>
          <w:rFonts w:ascii="Calibri" w:cs="Calibri" w:eastAsia="Calibri" w:hAnsi="Calibri"/>
          <w:color w:val="000000"/>
          <w:sz w:val="28"/>
          <w:szCs w:val="28"/>
        </w:rPr>
        <w:t xml:space="preserve">45.2.5 Historical Color Agent (HCA)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restores original or era-accurate color.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Loads historical color priors.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cultural color norms.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Restores original palettes.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color authenticity.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Produces museum-grade color reconstruction (§44.4.3).</w:t>
      </w:r>
    </w:p>
    <w:p>
      <w:pPr>
        <w:pStyle w:val="Heading3"/>
        <w:spacing w:after="120" w:before="200" w:line="288" w:lineRule="auto"/>
      </w:pPr>
      <w:r>
        <w:rPr>
          <w:rFonts w:ascii="Calibri" w:cs="Calibri" w:eastAsia="Calibri" w:hAnsi="Calibri"/>
          <w:color w:val="000000"/>
          <w:sz w:val="28"/>
          <w:szCs w:val="28"/>
        </w:rPr>
        <w:t xml:space="preserve">45.2.6 Extreme-Resolution Agent (ERA)</w:t>
      </w:r>
    </w:p>
    <w:p>
      <w:pPr>
        <w:spacing w:after="120" w:line="360" w:lineRule="auto"/>
      </w:pPr>
      <w:r>
        <w:rPr>
          <w:rFonts w:ascii="Calibri" w:cs="Calibri" w:eastAsia="Calibri" w:hAnsi="Calibri"/>
          <w:b w:val="false"/>
          <w:bCs w:val="false"/>
          <w:i w:val="false"/>
          <w:iCs w:val="false"/>
          <w:strike w:val="false"/>
          <w:color w:val="000000"/>
          <w:sz w:val="22"/>
          <w:szCs w:val="22"/>
        </w:rPr>
        <w:t xml:space="preserve">Role: performs semantic super-resolution upscaling (HD to 16K) via the ERUE (§44.3.2).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Reconstructs detail using semantic cues.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Applies material-aware sharpening.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Performs lighting-aware enhancement.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Generates extreme-resolution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Validates structural integrity at 16K.</w:t>
      </w:r>
    </w:p>
    <w:p>
      <w:pPr>
        <w:pStyle w:val="Heading2"/>
        <w:spacing w:after="120" w:before="240" w:line="288" w:lineRule="auto"/>
      </w:pPr>
      <w:r>
        <w:rPr>
          <w:rFonts w:ascii="Calibri" w:cs="Calibri" w:eastAsia="Calibri" w:hAnsi="Calibri"/>
          <w:color w:val="000000"/>
          <w:sz w:val="36"/>
          <w:szCs w:val="36"/>
        </w:rPr>
        <w:t xml:space="preserve">45.3 Phase Responsibility Mapping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gridCol/>
        <w:gridCol/>
        <w:gridCol/>
        <w:gridCol/>
      </w:tblGrid>
      <w:tr>
        <w:tc>
          <w:tcPr>
            <w:tcW w:type="pct" w:w="14%"/>
            <w:shd w:fill="0D2A5E" w:color="auto" w:val="clear"/>
          </w:tcPr>
          <w:p>
            <w:r>
              <w:rPr>
                <w:rFonts w:ascii="Calibri" w:cs="Calibri" w:eastAsia="Calibri" w:hAnsi="Calibri"/>
                <w:b/>
                <w:bCs w:val="false"/>
                <w:i w:val="false"/>
                <w:iCs w:val="false"/>
                <w:strike w:val="false"/>
                <w:color w:val="FFFFFF"/>
                <w:sz w:val="19"/>
                <w:szCs w:val="19"/>
              </w:rPr>
              <w:t xml:space="preserve">Phase</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SEA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MRA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LPA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TCA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HCA</w:t>
            </w:r>
          </w:p>
        </w:tc>
        <w:tc>
          <w:tcPr>
            <w:tcW w:type="pct" w:w="14%"/>
            <w:shd w:fill="0D2A5E" w:color="auto" w:val="clear"/>
          </w:tcPr>
          <w:p>
            <w:r>
              <w:rPr>
                <w:rFonts w:ascii="Calibri" w:cs="Calibri" w:eastAsia="Calibri" w:hAnsi="Calibri"/>
                <w:b/>
                <w:bCs w:val="false"/>
                <w:i w:val="false"/>
                <w:iCs w:val="false"/>
                <w:strike w:val="false"/>
                <w:color w:val="FFFFFF"/>
                <w:sz w:val="19"/>
                <w:szCs w:val="19"/>
              </w:rPr>
              <w:t xml:space="preserve">ERA</w:t>
            </w:r>
          </w:p>
        </w:tc>
      </w:tr>
      <w:tr>
        <w:tc>
          <w:tcPr>
            <w:tcW w:type="pct" w:w="14%"/>
          </w:tcPr>
          <w:p>
            <w:r>
              <w:rPr>
                <w:rFonts w:ascii="Calibri" w:cs="Calibri" w:eastAsia="Calibri" w:hAnsi="Calibri"/>
                <w:b w:val="false"/>
                <w:bCs w:val="false"/>
                <w:i w:val="false"/>
                <w:iCs w:val="false"/>
                <w:strike w:val="false"/>
                <w:color w:val="000000"/>
                <w:sz w:val="19"/>
                <w:szCs w:val="19"/>
              </w:rPr>
              <w:t xml:space="preserve">Phase I</w:t>
            </w:r>
          </w:p>
        </w:tc>
        <w:tc>
          <w:tcPr>
            <w:tcW w:type="pct" w:w="14%"/>
          </w:tcPr>
          <w:p>
            <w:r>
              <w:rPr>
                <w:rFonts w:ascii="Calibri" w:cs="Calibri" w:eastAsia="Calibri" w:hAnsi="Calibri"/>
                <w:b w:val="false"/>
                <w:bCs w:val="false"/>
                <w:i w:val="false"/>
                <w:iCs w:val="false"/>
                <w:strike w:val="false"/>
                <w:color w:val="000000"/>
                <w:sz w:val="19"/>
                <w:szCs w:val="19"/>
              </w:rPr>
              <w:t xml:space="preserve">Baseline extraction</w:t>
            </w:r>
          </w:p>
        </w:tc>
        <w:tc>
          <w:tcPr>
            <w:tcW w:type="pct" w:w="14%"/>
          </w:tcPr>
          <w:p>
            <w:r>
              <w:rPr>
                <w:rFonts w:ascii="Calibri" w:cs="Calibri" w:eastAsia="Calibri" w:hAnsi="Calibri"/>
                <w:b w:val="false"/>
                <w:bCs w:val="false"/>
                <w:i w:val="false"/>
                <w:iCs w:val="false"/>
                <w:strike w:val="false"/>
                <w:color w:val="000000"/>
                <w:sz w:val="19"/>
                <w:szCs w:val="19"/>
              </w:rPr>
              <w:t xml:space="preserve">Material ID</w:t>
            </w:r>
          </w:p>
        </w:tc>
        <w:tc>
          <w:tcPr>
            <w:tcW w:type="pct" w:w="14%"/>
          </w:tcPr>
          <w:p>
            <w:r>
              <w:rPr>
                <w:rFonts w:ascii="Calibri" w:cs="Calibri" w:eastAsia="Calibri" w:hAnsi="Calibri"/>
                <w:b w:val="false"/>
                <w:bCs w:val="false"/>
                <w:i w:val="false"/>
                <w:iCs w:val="false"/>
                <w:strike w:val="false"/>
                <w:color w:val="000000"/>
                <w:sz w:val="19"/>
                <w:szCs w:val="19"/>
              </w:rPr>
              <w:t xml:space="preserve">Lighting init</w:t>
            </w:r>
          </w:p>
        </w:tc>
        <w:tc>
          <w:tcPr>
            <w:tcW w:type="pct" w:w="14%"/>
          </w:tcPr>
          <w:p>
            <w:r>
              <w:rPr>
                <w:rFonts w:ascii="Calibri" w:cs="Calibri" w:eastAsia="Calibri" w:hAnsi="Calibri"/>
                <w:b w:val="false"/>
                <w:bCs w:val="false"/>
                <w:i w:val="false"/>
                <w:iCs w:val="false"/>
                <w:strike w:val="false"/>
                <w:color w:val="000000"/>
                <w:sz w:val="19"/>
                <w:szCs w:val="19"/>
              </w:rPr>
              <w:t xml:space="preserve">Temporal baseline</w:t>
            </w:r>
          </w:p>
        </w:tc>
        <w:tc>
          <w:tcPr>
            <w:tcW w:type="pct" w:w="14%"/>
          </w:tcPr>
          <w:p>
            <w:r>
              <w:rPr>
                <w:rFonts w:ascii="Calibri" w:cs="Calibri" w:eastAsia="Calibri" w:hAnsi="Calibri"/>
                <w:b w:val="false"/>
                <w:bCs w:val="false"/>
                <w:i w:val="false"/>
                <w:iCs w:val="false"/>
                <w:strike w:val="false"/>
                <w:color w:val="000000"/>
                <w:sz w:val="19"/>
                <w:szCs w:val="19"/>
              </w:rPr>
              <w:t xml:space="preserve">Load priors</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w:t>
            </w:r>
          </w:p>
        </w:tc>
        <w:tc>
          <w:tcPr>
            <w:tcW w:type="pct" w:w="14%"/>
          </w:tcPr>
          <w:p>
            <w:r>
              <w:rPr>
                <w:rFonts w:ascii="Calibri" w:cs="Calibri" w:eastAsia="Calibri" w:hAnsi="Calibri"/>
                <w:b w:val="false"/>
                <w:bCs w:val="false"/>
                <w:i w:val="false"/>
                <w:iCs w:val="false"/>
                <w:strike w:val="false"/>
                <w:color w:val="000000"/>
                <w:sz w:val="19"/>
                <w:szCs w:val="19"/>
              </w:rPr>
              <w:t xml:space="preserve">Segmentation refinement</w:t>
            </w:r>
          </w:p>
        </w:tc>
        <w:tc>
          <w:tcPr>
            <w:tcW w:type="pct" w:w="14%"/>
          </w:tcPr>
          <w:p>
            <w:r>
              <w:rPr>
                <w:rFonts w:ascii="Calibri" w:cs="Calibri" w:eastAsia="Calibri" w:hAnsi="Calibri"/>
                <w:b w:val="false"/>
                <w:bCs w:val="false"/>
                <w:i w:val="false"/>
                <w:iCs w:val="false"/>
                <w:strike w:val="false"/>
                <w:color w:val="000000"/>
                <w:sz w:val="19"/>
                <w:szCs w:val="19"/>
              </w:rPr>
              <w:t xml:space="preserve">Reflectance correction</w:t>
            </w:r>
          </w:p>
        </w:tc>
        <w:tc>
          <w:tcPr>
            <w:tcW w:type="pct" w:w="14%"/>
          </w:tcPr>
          <w:p>
            <w:r>
              <w:rPr>
                <w:rFonts w:ascii="Calibri" w:cs="Calibri" w:eastAsia="Calibri" w:hAnsi="Calibri"/>
                <w:b w:val="false"/>
                <w:bCs w:val="false"/>
                <w:i w:val="false"/>
                <w:iCs w:val="false"/>
                <w:strike w:val="false"/>
                <w:color w:val="000000"/>
                <w:sz w:val="19"/>
                <w:szCs w:val="19"/>
              </w:rPr>
              <w:t xml:space="preserve">Lighting calibration</w:t>
            </w:r>
          </w:p>
        </w:tc>
        <w:tc>
          <w:tcPr>
            <w:tcW w:type="pct" w:w="14%"/>
          </w:tcPr>
          <w:p>
            <w:r>
              <w:rPr>
                <w:rFonts w:ascii="Calibri" w:cs="Calibri" w:eastAsia="Calibri" w:hAnsi="Calibri"/>
                <w:b w:val="false"/>
                <w:bCs w:val="false"/>
                <w:i w:val="false"/>
                <w:iCs w:val="false"/>
                <w:strike w:val="false"/>
                <w:color w:val="000000"/>
                <w:sz w:val="19"/>
                <w:szCs w:val="19"/>
              </w:rPr>
              <w:t xml:space="preserve">Temporal smoothing</w:t>
            </w:r>
          </w:p>
        </w:tc>
        <w:tc>
          <w:tcPr>
            <w:tcW w:type="pct" w:w="14%"/>
          </w:tcPr>
          <w:p>
            <w:r>
              <w:rPr>
                <w:rFonts w:ascii="Calibri" w:cs="Calibri" w:eastAsia="Calibri" w:hAnsi="Calibri"/>
                <w:b w:val="false"/>
                <w:bCs w:val="false"/>
                <w:i w:val="false"/>
                <w:iCs w:val="false"/>
                <w:strike w:val="false"/>
                <w:color w:val="000000"/>
                <w:sz w:val="19"/>
                <w:szCs w:val="19"/>
              </w:rPr>
              <w:t xml:space="preserve">Color drift correction</w:t>
            </w:r>
          </w:p>
        </w:tc>
        <w:tc>
          <w:tcPr>
            <w:tcW w:type="pct" w:w="14%"/>
          </w:tcPr>
          <w:p>
            <w:r>
              <w:rPr>
                <w:rFonts w:ascii="Calibri" w:cs="Calibri" w:eastAsia="Calibri" w:hAnsi="Calibri"/>
                <w:b w:val="false"/>
                <w:bCs w:val="false"/>
                <w:i w:val="false"/>
                <w:iCs w:val="false"/>
                <w:strike w:val="false"/>
                <w:color w:val="000000"/>
                <w:sz w:val="19"/>
                <w:szCs w:val="19"/>
              </w:rPr>
              <w:t xml:space="preserve">—</w:t>
            </w:r>
          </w:p>
        </w:tc>
      </w:tr>
      <w:tr>
        <w:tc>
          <w:tcPr>
            <w:tcW w:type="pct" w:w="14%"/>
          </w:tcPr>
          <w:p>
            <w:r>
              <w:rPr>
                <w:rFonts w:ascii="Calibri" w:cs="Calibri" w:eastAsia="Calibri" w:hAnsi="Calibri"/>
                <w:b w:val="false"/>
                <w:bCs w:val="false"/>
                <w:i w:val="false"/>
                <w:iCs w:val="false"/>
                <w:strike w:val="false"/>
                <w:color w:val="000000"/>
                <w:sz w:val="19"/>
                <w:szCs w:val="19"/>
              </w:rPr>
              <w:t xml:space="preserve">Phase III</w:t>
            </w:r>
          </w:p>
        </w:tc>
        <w:tc>
          <w:tcPr>
            <w:tcW w:type="pct" w:w="14%"/>
          </w:tcPr>
          <w:p>
            <w:r>
              <w:rPr>
                <w:rFonts w:ascii="Calibri" w:cs="Calibri" w:eastAsia="Calibri" w:hAnsi="Calibri"/>
                <w:b w:val="false"/>
                <w:bCs w:val="false"/>
                <w:i w:val="false"/>
                <w:iCs w:val="false"/>
                <w:strike w:val="false"/>
                <w:color w:val="000000"/>
                <w:sz w:val="19"/>
                <w:szCs w:val="19"/>
              </w:rPr>
              <w:t xml:space="preserve">Final semantic graph</w:t>
            </w:r>
          </w:p>
        </w:tc>
        <w:tc>
          <w:tcPr>
            <w:tcW w:type="pct" w:w="14%"/>
          </w:tcPr>
          <w:p>
            <w:r>
              <w:rPr>
                <w:rFonts w:ascii="Calibri" w:cs="Calibri" w:eastAsia="Calibri" w:hAnsi="Calibri"/>
                <w:b w:val="false"/>
                <w:bCs w:val="false"/>
                <w:i w:val="false"/>
                <w:iCs w:val="false"/>
                <w:strike w:val="false"/>
                <w:color w:val="000000"/>
                <w:sz w:val="19"/>
                <w:szCs w:val="19"/>
              </w:rPr>
              <w:t xml:space="preserve">Material-accurate reflectance</w:t>
            </w:r>
          </w:p>
        </w:tc>
        <w:tc>
          <w:tcPr>
            <w:tcW w:type="pct" w:w="14%"/>
          </w:tcPr>
          <w:p>
            <w:r>
              <w:rPr>
                <w:rFonts w:ascii="Calibri" w:cs="Calibri" w:eastAsia="Calibri" w:hAnsi="Calibri"/>
                <w:b w:val="false"/>
                <w:bCs w:val="false"/>
                <w:i w:val="false"/>
                <w:iCs w:val="false"/>
                <w:strike w:val="false"/>
                <w:color w:val="000000"/>
                <w:sz w:val="19"/>
                <w:szCs w:val="19"/>
              </w:rPr>
              <w:t xml:space="preserve">Physically correct lighting</w:t>
            </w:r>
          </w:p>
        </w:tc>
        <w:tc>
          <w:tcPr>
            <w:tcW w:type="pct" w:w="14%"/>
          </w:tcPr>
          <w:p>
            <w:r>
              <w:rPr>
                <w:rFonts w:ascii="Calibri" w:cs="Calibri" w:eastAsia="Calibri" w:hAnsi="Calibri"/>
                <w:b w:val="false"/>
                <w:bCs w:val="false"/>
                <w:i w:val="false"/>
                <w:iCs w:val="false"/>
                <w:strike w:val="false"/>
                <w:color w:val="000000"/>
                <w:sz w:val="19"/>
                <w:szCs w:val="19"/>
              </w:rPr>
              <w:t xml:space="preserve">Full temporal coherence</w:t>
            </w:r>
          </w:p>
        </w:tc>
        <w:tc>
          <w:tcPr>
            <w:tcW w:type="pct" w:w="14%"/>
          </w:tcPr>
          <w:p>
            <w:r>
              <w:rPr>
                <w:rFonts w:ascii="Calibri" w:cs="Calibri" w:eastAsia="Calibri" w:hAnsi="Calibri"/>
                <w:b w:val="false"/>
                <w:bCs w:val="false"/>
                <w:i w:val="false"/>
                <w:iCs w:val="false"/>
                <w:strike w:val="false"/>
                <w:color w:val="000000"/>
                <w:sz w:val="19"/>
                <w:szCs w:val="19"/>
              </w:rPr>
              <w:t xml:space="preserve">Original color restoration</w:t>
            </w:r>
          </w:p>
        </w:tc>
        <w:tc>
          <w:tcPr>
            <w:tcW w:type="pct" w:w="14%"/>
          </w:tcPr>
          <w:p>
            <w:r>
              <w:rPr>
                <w:rFonts w:ascii="Calibri" w:cs="Calibri" w:eastAsia="Calibri" w:hAnsi="Calibri"/>
                <w:b w:val="false"/>
                <w:bCs w:val="false"/>
                <w:i w:val="false"/>
                <w:iCs w:val="false"/>
                <w:strike w:val="false"/>
                <w:color w:val="000000"/>
                <w:sz w:val="19"/>
                <w:szCs w:val="19"/>
              </w:rPr>
              <w:t xml:space="preserve">Extreme-resolution upscaling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45.4 Agent Interaction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VCUM Agents operate in a multi-agent semantic pipeline, passing structured latent states between stages, consistent with the phase structure in §44.4: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 to MRA — material classes are assigned to semantic segments.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MRA to LPA — reflectance curves inform lighting physics.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LPA to TCA — lighting models stabilize temporal consistency.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TCA to HCA — stable sequences allow accurate historical color restoration.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HCA to ERA — final color and semantic detail feed extreme-resolution upscaling.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pipeline is designed to produce deterministic, physically grounded, historically accurate output, consistent with Chapter 44's rejection of pixel-space hallucination (§44.2.1).</w:t>
      </w:r>
    </w:p>
    <w:p>
      <w:pPr>
        <w:pStyle w:val="Heading2"/>
        <w:spacing w:after="120" w:before="240" w:line="288" w:lineRule="auto"/>
      </w:pPr>
      <w:r>
        <w:rPr>
          <w:rFonts w:ascii="Calibri" w:cs="Calibri" w:eastAsia="Calibri" w:hAnsi="Calibri"/>
          <w:color w:val="000000"/>
          <w:sz w:val="36"/>
          <w:szCs w:val="36"/>
        </w:rPr>
        <w:t xml:space="preserve">45.5 Agent Performance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TARGETS, NOT YET VALIDATED</w:t>
            </w:r>
            <w:r>
              <w:rPr>
                <w:rFonts w:ascii="Calibri" w:cs="Calibri" w:eastAsia="Calibri" w:hAnsi="Calibri"/>
                <w:b/>
                <w:bCs/>
                <w:i w:val="false"/>
                <w:iCs w:val="false"/>
                <w:strike w:val="false"/>
                <w:color w:val="333333"/>
                <w:sz w:val="24"/>
                <w:szCs w:val="24"/>
              </w:rPr>
              <w:t xml:space="preserve">The figures below are architectural targets for the agent pipeline, stated in the same spirit as — and subject to the same caveat as — Chapter 44's §44.5. They should be validated against an instrumented pilot and sourced with a methodology note (following the model already set by Appendix C, §C.11) before being cited in external-facing materials.</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45.5.1 Accuracy Targets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material classification accuracy (MRA).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98% temporal consistency (TCA).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90% lighting physics fidelity (LPA).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95% historical color correctness (HCA).</w:t>
      </w:r>
    </w:p>
    <w:p>
      <w:pPr>
        <w:pStyle w:val="Heading3"/>
        <w:spacing w:after="120" w:before="200" w:line="288" w:lineRule="auto"/>
      </w:pPr>
      <w:r>
        <w:rPr>
          <w:rFonts w:ascii="Calibri" w:cs="Calibri" w:eastAsia="Calibri" w:hAnsi="Calibri"/>
          <w:color w:val="000000"/>
          <w:sz w:val="28"/>
          <w:szCs w:val="28"/>
        </w:rPr>
        <w:t xml:space="preserve">45.5.2 Speed Targets</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Operating in latent space, the agent pipeline targets real-time HD-to-4K, accelerated HD-to-8K, and feasible HD-to-16K processing, consistent with §44.5.2.</w:t>
      </w:r>
    </w:p>
    <w:p>
      <w:pPr>
        <w:pStyle w:val="Heading3"/>
        <w:spacing w:after="120" w:before="200" w:line="288" w:lineRule="auto"/>
      </w:pPr>
      <w:r>
        <w:rPr>
          <w:rFonts w:ascii="Calibri" w:cs="Calibri" w:eastAsia="Calibri" w:hAnsi="Calibri"/>
          <w:color w:val="000000"/>
          <w:sz w:val="28"/>
          <w:szCs w:val="28"/>
        </w:rPr>
        <w:t xml:space="preserve">45.5.3 Cost Efficiency Target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agent pipeline targets a reduction in pixel workload of approximately 90% through semantic compression, consistent with §44.5.3.</w:t>
      </w:r>
    </w:p>
    <w:p>
      <w:pPr>
        <w:pStyle w:val="Heading2"/>
        <w:spacing w:after="120" w:before="240" w:line="288" w:lineRule="auto"/>
      </w:pPr>
      <w:r>
        <w:rPr>
          <w:rFonts w:ascii="Calibri" w:cs="Calibri" w:eastAsia="Calibri" w:hAnsi="Calibri"/>
          <w:color w:val="000000"/>
          <w:sz w:val="36"/>
          <w:szCs w:val="36"/>
        </w:rPr>
        <w:t xml:space="preserve">45.6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six agents (SEA, MRA, LPA, TCA, HCA, ERA) that operationally execute VCUM's three-phase pipeline (Chapter 44): their individual roles, their phase-by-phase responsibilities, their interaction model, and their performance targets. Together with Chapter 44's module architecture, this completes VCUM's specification as an applied World-Model System — built entirely as a consumer of QueryBook's existing WVM, NCL, and Scenario Graph capabilities, with no modification to their core specifications.</w:t>
      </w:r>
    </w:p>
    <w:p>
      <w:pPr>
        <w:pStyle w:val="Heading1"/>
        <w:spacing w:after="120" w:before="240" w:line="288" w:lineRule="auto"/>
      </w:pPr>
      <w:r>
        <w:rPr>
          <w:rFonts w:ascii="Calibri" w:cs="Calibri" w:eastAsia="Calibri" w:hAnsi="Calibri"/>
          <w:color w:val="000000"/>
          <w:sz w:val="48"/>
          <w:szCs w:val="48"/>
        </w:rPr>
        <w:t xml:space="preserve">Chapter 46: Immersive Query Response Rendering (IQR)</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is an applied World-Model System that renders an eligible query response as a navigable 3D/VR environment — for example, a reader querying a book on cave diving receiving an underwater cave scene, constructed from the same Fact Units that grounded the text answer, rather than only reading a paragraph about one. It is positioned alongside Chapters 43–45 as an applied/extension system consuming QueryBook's existing world-model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SYSTEM, AND ILLUSTRATIVE, NOT LITERAL RECONSTRUCTION</w:t>
            </w:r>
            <w:r>
              <w:rPr>
                <w:rFonts w:ascii="Calibri" w:cs="Calibri" w:eastAsia="Calibri" w:hAnsi="Calibri"/>
                <w:b/>
                <w:bCs/>
                <w:i w:val="false"/>
                <w:iCs w:val="false"/>
                <w:strike w:val="false"/>
                <w:color w:val="333333"/>
                <w:sz w:val="24"/>
                <w:szCs w:val="24"/>
              </w:rPr>
              <w:t xml:space="preserve">IQR consumes the WASM World Model Domain (§53.3), VCUM (Chapter 44), the Narrative Graph (Chapter 12), and the Scenario Graph (Chapter 11) as already-specified systems — it does not redefine or extend their core specifications, consistent with the boundary established in Chapters 43–45. Separately, and importantly: IQR produces a representative environment grounded in the topic's Fact Units, not a literal reconstruction of one specific real place. A “cave diving” query does not correspond to one photographed cave anywhere in the Fact Graph; IQR composes a scene consistent with the material, lighting, and spatial facts QueryBook actually holds about caves in general (or about a specific cave, if the query and underlying Fact Units are that specific). This chapter does not claim bit-identical, hallucination-free reconstruction the way VCUM does for restoring an existing video (§44.2.1) — that claim is meaningful when reconstructing a known input; it is not meaningful when composing an illustrative environment from general facts, and this chapter does not make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 Overview and Purpose</w:t>
      </w:r>
    </w:p>
    <w:p>
      <w:pPr>
        <w:spacing w:after="120" w:line="360" w:lineRule="auto"/>
      </w:pPr>
      <w:r>
        <w:rPr>
          <w:rFonts w:ascii="Calibri" w:cs="Calibri" w:eastAsia="Calibri" w:hAnsi="Calibri"/>
          <w:b w:val="false"/>
          <w:bCs w:val="false"/>
          <w:i w:val="false"/>
          <w:iCs w:val="false"/>
          <w:strike w:val="false"/>
          <w:color w:val="000000"/>
          <w:sz w:val="22"/>
          <w:szCs w:val="22"/>
        </w:rPr>
        <w:t xml:space="preserve">Most QueryBook responses are text, appropriately. IQR identifies the subset of responses where the underlying Fact Units describe a physical environment with enough specificity to compose a navigable 3D scene, and offers that scene as a supplementary, opt-in rendering of the same grounded answer — not a replacement for the text response, which remains the primary, citable output per the Factual Groundedness requirements already specified for the Narrative Graph (§12).</w:t>
      </w:r>
    </w:p>
    <w:p>
      <w:pPr>
        <w:pStyle w:val="Heading2"/>
        <w:spacing w:after="120" w:before="240" w:line="288" w:lineRule="auto"/>
      </w:pPr>
      <w:r>
        <w:rPr>
          <w:rFonts w:ascii="Calibri" w:cs="Calibri" w:eastAsia="Calibri" w:hAnsi="Calibri"/>
          <w:color w:val="000000"/>
          <w:sz w:val="36"/>
          <w:szCs w:val="36"/>
        </w:rPr>
        <w:t xml:space="preserve">46.2 Immersion Eligibility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Not every response is a good candidate for immersive rendering. A response becomes IQR-eligible when the Fact Units grounding it include enough WASM Object Layer coverage (§53.3.1) to compose a scene without fabricating unsupported specifics: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one Object Layer node of Type Environment (indoor space, outdoor space, or a domain-specific environment class such as the underwater/geological classes a cave diving Fact Bundle would contain).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Material Attributes (§53.3.1) for the environment's dominant surfaces — rock, water, ice, sand, and so on — sufficient to drive VCUM's material synthesis (§46.3.2 below).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At least a partial Relation Layer (§53.3.2) spatial layout — enough Spatial Relations (above, below, inside, adjacent-to) to compose a coherent 3D arrangement rather than a disconnected object 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response failing this check is not rendered as a scene — it remains a text-only answer. IQR never fills a coverage gap by inventing environment details the Fact Graph does not support; this is the same Without-Information Rule preference already established for text responses (D0.4), applied to scene composition.</w:t>
      </w:r>
    </w:p>
    <w:p>
      <w:pPr>
        <w:pStyle w:val="Heading2"/>
        <w:spacing w:after="120" w:before="240" w:line="288" w:lineRule="auto"/>
      </w:pPr>
      <w:r>
        <w:rPr>
          <w:rFonts w:ascii="Calibri" w:cs="Calibri" w:eastAsia="Calibri" w:hAnsi="Calibri"/>
          <w:color w:val="000000"/>
          <w:sz w:val="36"/>
          <w:szCs w:val="36"/>
        </w:rPr>
        <w:t xml:space="preserve">46.3 Scene Composition Pipeline</w:t>
      </w:r>
    </w:p>
    <w:p>
      <w:pPr>
        <w:pStyle w:val="Heading3"/>
        <w:spacing w:after="120" w:before="200" w:line="288" w:lineRule="auto"/>
      </w:pPr>
      <w:r>
        <w:rPr>
          <w:rFonts w:ascii="Calibri" w:cs="Calibri" w:eastAsia="Calibri" w:hAnsi="Calibri"/>
          <w:color w:val="000000"/>
          <w:sz w:val="28"/>
          <w:szCs w:val="28"/>
        </w:rPr>
        <w:t xml:space="preserve">46.3.1 Environment Extraction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queries the WASM Object Layer (§53.3.1) for the Environment-type node(s) and connected Object nodes relevant to the response's grounding Fact Units, using the same Associative Recall Engine retrieval already specified for NCL pattern completion (§7.2.3) rather than a separate retrieval path.</w:t>
      </w:r>
    </w:p>
    <w:p>
      <w:pPr>
        <w:pStyle w:val="Heading3"/>
        <w:spacing w:after="120" w:before="200" w:line="288" w:lineRule="auto"/>
      </w:pPr>
      <w:r>
        <w:rPr>
          <w:rFonts w:ascii="Calibri" w:cs="Calibri" w:eastAsia="Calibri" w:hAnsi="Calibri"/>
          <w:color w:val="000000"/>
          <w:sz w:val="28"/>
          <w:szCs w:val="28"/>
        </w:rPr>
        <w:t xml:space="preserve">46.3.2 Material and Lighting Synthesis</w:t>
      </w:r>
    </w:p>
    <w:p>
      <w:pPr>
        <w:spacing w:after="120" w:line="360" w:lineRule="auto"/>
      </w:pPr>
      <w:r>
        <w:rPr>
          <w:rFonts w:ascii="Calibri" w:cs="Calibri" w:eastAsia="Calibri" w:hAnsi="Calibri"/>
          <w:b w:val="false"/>
          <w:bCs w:val="false"/>
          <w:i w:val="false"/>
          <w:iCs w:val="false"/>
          <w:strike w:val="false"/>
          <w:color w:val="000000"/>
          <w:sz w:val="22"/>
          <w:szCs w:val="22"/>
        </w:rPr>
        <w:t xml:space="preserve">Extracted material Attributes are passed to VCUM's Semantic Colorization Engine (SCE, §44.3.1) for physically-consistent color and reflectance synthesis, and to the Lighting Physics Agent (LPA, §45.2.3) for illumination modeling appropriate to the environment class (for example, refracted and attenuated light for an underwater cave, versus direct sunlight for an outdoor environment) — both reused directly from VCUM's existing pipeline, not reimplemented.</w:t>
      </w:r>
    </w:p>
    <w:p>
      <w:pPr>
        <w:pStyle w:val="Heading3"/>
        <w:spacing w:after="120" w:before="200" w:line="288" w:lineRule="auto"/>
      </w:pPr>
      <w:r>
        <w:rPr>
          <w:rFonts w:ascii="Calibri" w:cs="Calibri" w:eastAsia="Calibri" w:hAnsi="Calibri"/>
          <w:color w:val="000000"/>
          <w:sz w:val="28"/>
          <w:szCs w:val="28"/>
        </w:rPr>
        <w:t xml:space="preserve">46.3.3 Spatial Layout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 Layer's Spatial Relations (§53.3.2) between Object Layer nodes are compiled into a 3D scene graph — relative positions, containment, and adjacency become actual spatial coordinates, with under-specified distances resolved to class-typical defaults (documented per environment class, not invented per instance) rather than arbitrary values.</w:t>
      </w:r>
    </w:p>
    <w:p>
      <w:pPr>
        <w:pStyle w:val="Heading3"/>
        <w:spacing w:after="120" w:before="200" w:line="288" w:lineRule="auto"/>
      </w:pPr>
      <w:r>
        <w:rPr>
          <w:rFonts w:ascii="Calibri" w:cs="Calibri" w:eastAsia="Calibri" w:hAnsi="Calibri"/>
          <w:color w:val="000000"/>
          <w:sz w:val="28"/>
          <w:szCs w:val="28"/>
        </w:rPr>
        <w:t xml:space="preserve">46.3.4 Detail Enhancement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composed scene's surface detail is enhanced using VCUM's Extreme-Resolution Agent (ERA, §45.2.6) and Extreme-Resolution Upscaling Engine (ERUE, §44.3.2), applied to the synthesized environment's textures rather than to a real captured frame — the same detail-reconstruction technique, applied to a different kind of input, with the same scoping caveats VCUM already carries about performance targets not yet being validated (§44.5).</w:t>
      </w:r>
    </w:p>
    <w:p>
      <w:pPr>
        <w:pStyle w:val="Heading2"/>
        <w:spacing w:after="120" w:before="240" w:line="288" w:lineRule="auto"/>
      </w:pPr>
      <w:r>
        <w:rPr>
          <w:rFonts w:ascii="Calibri" w:cs="Calibri" w:eastAsia="Calibri" w:hAnsi="Calibri"/>
          <w:color w:val="000000"/>
          <w:sz w:val="36"/>
          <w:szCs w:val="36"/>
        </w:rPr>
        <w:t xml:space="preserve">46.4 Interactive Extension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rendered scene may optionally connect to the Scenario Graph (Chapter 11): a reader's in-scene action (for example, swimming toward a visible passage) can be treated as a Condition on a Scenario Graph Transition, surfacing the Knowledge State Snapshot the reader has effectively navigated toward as a follow-up text response. This is an optional integration point, not a requirement for IQR rendering to function, and is scoped as a future extension rather than specified in full here.</w:t>
      </w:r>
    </w:p>
    <w:p>
      <w:pPr>
        <w:pStyle w:val="Heading2"/>
        <w:spacing w:after="120" w:before="240" w:line="288" w:lineRule="auto"/>
      </w:pPr>
      <w:r>
        <w:rPr>
          <w:rFonts w:ascii="Calibri" w:cs="Calibri" w:eastAsia="Calibri" w:hAnsi="Calibri"/>
          <w:color w:val="000000"/>
          <w:sz w:val="36"/>
          <w:szCs w:val="36"/>
        </w:rPr>
        <w:t xml:space="preserve">46.5 Delivery Format</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does not define a new proprietary container format. Composed scenes are serialized to glTF 2.0 (or USD, for more complex multi-object scenes) — open, widely-supported 3D scene formats with existing tooling across every major game engine, browser WebXR implementation, and VR headset platform — rather than inventing a QueryBook-specific volumetric format that would require custom playback software. Delivery to a headset or WebXR-capable browser uses standard glTF/WebXR streaming practice; IQR's contribution is what goes into the file, not a new way of transmitting it.</w:t>
      </w:r>
    </w:p>
    <w:p>
      <w:pPr>
        <w:pStyle w:val="Heading2"/>
        <w:spacing w:after="120" w:before="240" w:line="288" w:lineRule="auto"/>
      </w:pPr>
      <w:r>
        <w:rPr>
          <w:rFonts w:ascii="Calibri" w:cs="Calibri" w:eastAsia="Calibri" w:hAnsi="Calibri"/>
          <w:color w:val="000000"/>
          <w:sz w:val="36"/>
          <w:szCs w:val="36"/>
        </w:rPr>
        <w:t xml:space="preserve">46.6 Fidelity and Grounding Guarantees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Reproducible: the same grounding Fact Units and the same eligibility check (§46.2) produce a scene with the same object set, spatial layout, and material assignments — this is the meaningful determinism guarantee here, not pixel- or vertex-level identity.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Fact-traceable: every Object Layer node included in the scene carries the same InputFUIDs lineage back to its source Fact Units that any other derived output does (§3.1), so a reader can ask the Q&amp;A agent (§19.8) why a given object or material appears in the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 a claim of photographic accuracy: unless the grounding Fact Units are specific to one real, documented location, the scene is representative of the topic's general facts, not a reconstruction of a particular unphotographed place — stated plainly rather than left implicit, consistent with this chapter's Scope Note.</w:t>
      </w:r>
    </w:p>
    <w:p>
      <w:pPr>
        <w:pStyle w:val="Heading2"/>
        <w:spacing w:after="120" w:before="240" w:line="288" w:lineRule="auto"/>
      </w:pPr>
      <w:r>
        <w:rPr>
          <w:rFonts w:ascii="Calibri" w:cs="Calibri" w:eastAsia="Calibri" w:hAnsi="Calibri"/>
          <w:color w:val="000000"/>
          <w:sz w:val="36"/>
          <w:szCs w:val="36"/>
        </w:rPr>
        <w:t xml:space="preserve">46.7 Example Walkthrough</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queries a book on cave diving. The Narrative Graph response describes typical underwater cave conditions — restricted visibility, submerged rock formations, thermoclines, silt-out risk. IQR's eligibility check (§46.2) finds sufficient WASM coverage: an Environment node (submerged cave), Object nodes for rock formations and water volume with Material Attributes, and Spatial Relations placing passages, chambers, and the water surface relative to one another. The scene composition pipeline (§46.3) produces a glTF scene with water-appropriate lighting attenuation (§46.3.2), the cave's spatial layout as described in the source material (§46.3.3), and enhanced rock-surface detail (§46.3.4). The reader receives both the text answer and an offer to view the accompanying 3D environment.</w:t>
      </w:r>
    </w:p>
    <w:p>
      <w:pPr>
        <w:pStyle w:val="Heading2"/>
        <w:spacing w:after="120" w:before="240" w:line="288" w:lineRule="auto"/>
      </w:pPr>
      <w:r>
        <w:rPr>
          <w:rFonts w:ascii="Calibri" w:cs="Calibri" w:eastAsia="Calibri" w:hAnsi="Calibri"/>
          <w:color w:val="000000"/>
          <w:sz w:val="36"/>
          <w:szCs w:val="36"/>
        </w:rPr>
        <w:t xml:space="preserve">46.8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requires the WASM World Model Domain (§53.3), VCUM's SCE and ERUE/ERA components (Chapters 44–45), the Narrative Graph (Chapter 12), and the Associative Recall Engine (§7.2.3) to be available and populated. These are consumption dependencies — IQR does not modify any of their specifications, per the Scope Note at the start of this chapter.</w:t>
      </w:r>
    </w:p>
    <w:p>
      <w:pPr>
        <w:pStyle w:val="Heading2"/>
        <w:spacing w:after="120" w:before="240" w:line="288" w:lineRule="auto"/>
      </w:pPr>
      <w:r>
        <w:rPr>
          <w:rFonts w:ascii="Calibri" w:cs="Calibri" w:eastAsia="Calibri" w:hAnsi="Calibri"/>
          <w:color w:val="000000"/>
          <w:sz w:val="36"/>
          <w:szCs w:val="36"/>
        </w:rPr>
        <w:t xml:space="preserve">46.9 Tour and Exhibition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Everything specified above (§46.1–§46.8) composes one scene from one query response. Tour and Exhibition Mode extends this to a curated, author-built sequence of scenes spanning a topic, a chapter, or an entire book — a guided 3D/VR walkthrough an author or educator assembles once and any reader or class can then experience.</w:t>
      </w:r>
    </w:p>
    <w:p>
      <w:pPr>
        <w:pStyle w:val="Heading3"/>
        <w:spacing w:after="120" w:before="200" w:line="288" w:lineRule="auto"/>
      </w:pPr>
      <w:r>
        <w:rPr>
          <w:rFonts w:ascii="Calibri" w:cs="Calibri" w:eastAsia="Calibri" w:hAnsi="Calibri"/>
          <w:color w:val="000000"/>
          <w:sz w:val="28"/>
          <w:szCs w:val="28"/>
        </w:rPr>
        <w:t xml:space="preserve">46.9.1 The Tour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is a Fact Unit of FactType TOUR, versioned and access-controlled like any other Fact Unit (Appendix A), containing an ordered or Scenario-Graph-branching (Chapter 11) list of Waypoints. Each Waypoint references a topic-level Fact Bundle (§3.4), the IQR scene composed for it (§46.3), a camera and pacing specification (§46.9.4), and an optional narration track (§46.9.5). A Tour is itself a Fact Bundle — it does not duplicate the underlying book content, only sequences and stages references to it.</w:t>
      </w:r>
    </w:p>
    <w:p>
      <w:pPr>
        <w:pStyle w:val="Heading3"/>
        <w:spacing w:after="120" w:before="200" w:line="288" w:lineRule="auto"/>
      </w:pPr>
      <w:r>
        <w:rPr>
          <w:rFonts w:ascii="Calibri" w:cs="Calibri" w:eastAsia="Calibri" w:hAnsi="Calibri"/>
          <w:color w:val="000000"/>
          <w:sz w:val="28"/>
          <w:szCs w:val="28"/>
        </w:rPr>
        <w:t xml:space="preserve">46.9.2 Coverage Mapping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building a Tour, an author needs to know which topics can become Waypoints at all. The Coverage Map runs the Immersion Eligibility check (§46.2) across every topic-level Fact Bundle within a specified scope — a single topic, a chapter, or the whole book — and returns a report: which topics pass eligibility and are ready to become Waypoints, and which fail, with the specific missing WASM Object Layer coverage (§53.3.1) named, not just a pass/fail flag. This turns tour authoring into an informed selection process rather than trial and error against individual topics.</w:t>
      </w:r>
    </w:p>
    <w:p>
      <w:pPr>
        <w:pStyle w:val="Heading3"/>
        <w:spacing w:after="120" w:before="200" w:line="288" w:lineRule="auto"/>
      </w:pPr>
      <w:r>
        <w:rPr>
          <w:rFonts w:ascii="Calibri" w:cs="Calibri" w:eastAsia="Calibri" w:hAnsi="Calibri"/>
          <w:color w:val="000000"/>
          <w:sz w:val="28"/>
          <w:szCs w:val="28"/>
        </w:rPr>
        <w:t xml:space="preserve">46.9.3 Authoring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authoring is a distinct interface from the reader-facing Q&amp;A interaction (§19.8) — it is where an author browses the Coverage Map (§46.9.2), selects and orders Waypoints, and, critically, can override or annotate what IQR auto-composed for any Waypoint's scene. IQR's automatic composition (§46.3) is representative and fact-grounded, per this chapter's Scope Note, but an author curating a tour is expected to exercise judgment IQR cannot — correcting a spatial layout default, adding an emphasis the auto-composed scene lacks, or excluding a technically-eligible topic that doesn't serve the tour's narrative. An author override is recorded as such in the Waypoint's Provenance Ledger entry (Chapter 5), distinguishing author-curated content from IQR's automatic composition without disguising one as the other.</w:t>
      </w:r>
    </w:p>
    <w:p>
      <w:pPr>
        <w:pStyle w:val="Heading3"/>
        <w:spacing w:after="120" w:before="200" w:line="288" w:lineRule="auto"/>
      </w:pPr>
      <w:r>
        <w:rPr>
          <w:rFonts w:ascii="Calibri" w:cs="Calibri" w:eastAsia="Calibri" w:hAnsi="Calibri"/>
          <w:color w:val="000000"/>
          <w:sz w:val="28"/>
          <w:szCs w:val="28"/>
        </w:rPr>
        <w:t xml:space="preserve">46.9.4 Camera and Pacing Choreography</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Waypoint specifies how the viewer moves through its scene: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Entry camera pose and, optionally, an entry transition (cut, fly-through from the previous Waypoint, or fade).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dwell behavior — a fixed camera hold, a slow orbit, or free-look navigation the viewer controls before advancing.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advancement trigger: linear (author-set duration or explicit “next” action) or Scenario-Graph-driven (§46.4), where a viewer's in-scene action selects the next Waypoint rather than following a fixed sequence.</w:t>
      </w:r>
    </w:p>
    <w:p>
      <w:pPr>
        <w:pStyle w:val="Heading3"/>
        <w:spacing w:after="120" w:before="200" w:line="288" w:lineRule="auto"/>
      </w:pPr>
      <w:r>
        <w:rPr>
          <w:rFonts w:ascii="Calibri" w:cs="Calibri" w:eastAsia="Calibri" w:hAnsi="Calibri"/>
          <w:color w:val="000000"/>
          <w:sz w:val="28"/>
          <w:szCs w:val="28"/>
        </w:rPr>
        <w:t xml:space="preserve">46.9.5 Narration Synchronization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Waypoint's narration track is MRE-generated text (Chapter 16) from the same grounding Fact Units as its scene, timed against the pacing specification in §46.9.4 — dwell duration adjusts to accommodate narration length rather than the two running independently and falling out of sync. Narration may be delivered as displayed text, synthesized audio (§46.10.3), or both.</w:t>
      </w:r>
    </w:p>
    <w:p>
      <w:pPr>
        <w:pStyle w:val="Heading3"/>
        <w:spacing w:after="120" w:before="200" w:line="288" w:lineRule="auto"/>
      </w:pPr>
      <w:r>
        <w:rPr>
          <w:rFonts w:ascii="Calibri" w:cs="Calibri" w:eastAsia="Calibri" w:hAnsi="Calibri"/>
          <w:color w:val="000000"/>
          <w:sz w:val="28"/>
          <w:szCs w:val="28"/>
        </w:rPr>
        <w:t xml:space="preserve">46.9.6 Multi-Viewer Delivery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educator presenting a Tour to a class uses a synchronized session model distinct from IQR's default single-reader assumption: one session controller (the educator) advances Waypoints, and all connected viewers see the same Waypoint at the same time. A viewer's individual free-look navigation within a Waypoint's dwell behavior (§46.9.4) remains local and does not desynchronize the group.</w:t>
      </w:r>
    </w:p>
    <w:p>
      <w:pPr>
        <w:pStyle w:val="Heading3"/>
        <w:spacing w:after="120" w:before="200" w:line="288" w:lineRule="auto"/>
      </w:pPr>
      <w:r>
        <w:rPr>
          <w:rFonts w:ascii="Calibri" w:cs="Calibri" w:eastAsia="Calibri" w:hAnsi="Calibri"/>
          <w:color w:val="000000"/>
          <w:sz w:val="28"/>
          <w:szCs w:val="28"/>
        </w:rPr>
        <w:t xml:space="preserve">46.9.7 Tour Persistence and Versioning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Tour Fact Unit carries the same VersionChain (Appendix A) as any authored content, so an author can revise a Tour after publication, and prior versions remain retrievable through the same lineage mechanism already specified for every other Fact Unit. Access control follows the same AccessControlList field already specified for Fact Units generally (Appendix A) — an author's Tour is theirs to share or restrict, not automatically public because its source book is.</w:t>
      </w:r>
    </w:p>
    <w:p>
      <w:pPr>
        <w:pStyle w:val="Heading2"/>
        <w:spacing w:after="120" w:before="240" w:line="288" w:lineRule="auto"/>
      </w:pPr>
      <w:r>
        <w:rPr>
          <w:rFonts w:ascii="Calibri" w:cs="Calibri" w:eastAsia="Calibri" w:hAnsi="Calibri"/>
          <w:color w:val="000000"/>
          <w:sz w:val="36"/>
          <w:szCs w:val="36"/>
        </w:rPr>
        <w:t xml:space="preserve">46.10 Presenter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QueryBook's Interactive Modes grouping for Tour and Exhibition Mode (§46.9): an optional, AI-generated author presence guiding a Tour. A Tour may run with no presenter at all — environment and narration only, per §46.9.5 — or with one of three presenter modes, selected by the author per Tour or per Waypoint.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GOVERNANCE NOTE — AUTHORIZATION IS A PRECONDITION, NOT A SETTING</w:t>
            </w:r>
            <w:r>
              <w:rPr>
                <w:rFonts w:ascii="Calibri" w:cs="Calibri" w:eastAsia="Calibri" w:hAnsi="Calibri"/>
                <w:b/>
                <w:bCs/>
                <w:i w:val="false"/>
                <w:iCs w:val="false"/>
                <w:strike w:val="false"/>
                <w:color w:val="333333"/>
                <w:sz w:val="24"/>
                <w:szCs w:val="24"/>
              </w:rPr>
              <w:t xml:space="preserve">Every presenter mode in this section synthesizes a real, identifiable person's voice, face, or both. None of the three modes below may generate output for a person without a matching Author Authorization Record (§46.10.2) already on file for that specific person. This is enforced as a Safety Substrate gate (Chapter 8), not a configurable option — there is no presenter-mode code path that bypasses the authorization check, consistent with the non-bypassable enforcement model already established for every other Safety Substrate gate (§8.1.1).</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46.10.1 Author Authorization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any presenter mode can generate content for a given person, that person must complete an explicit authorization flow: enrolling voice and/or face reference samples they provide themselves, confirming they are the rights-holder for that voice and likeness (or hold documented authorization from the rights-holder, for cases where an educator presents using licensed material from someone else), and specifying which presenter modes (§46.10.3–§46.10.5) they authorize. The resulting Author Authorization Record is itself a Fact Unit, access-controlled and auditable through the Provenance Ledger (Chapter 5) like any other, and is scoped — an author authorizing Voice-Only mode has not thereby authorized Face-on-Avatar mode; each mode requires its own explicit grant.</w:t>
      </w:r>
    </w:p>
    <w:p>
      <w:pPr>
        <w:pStyle w:val="Heading3"/>
        <w:spacing w:after="120" w:before="200" w:line="288" w:lineRule="auto"/>
      </w:pPr>
      <w:r>
        <w:rPr>
          <w:rFonts w:ascii="Calibri" w:cs="Calibri" w:eastAsia="Calibri" w:hAnsi="Calibri"/>
          <w:color w:val="000000"/>
          <w:sz w:val="28"/>
          <w:szCs w:val="28"/>
        </w:rPr>
        <w:t xml:space="preserve">46.10.2 Revocation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revoke their Authorization Record at any time. Revocation takes effect immediately: the Safety Substrate gate (§46.10 Governance Note) rejects generation for that person from the moment of revocation forward, for every existing and future Tour, not only new ones — a previously-published Tour using a now-revoked authorization must fall back to text/environment-only delivery (§46.9.5) rather than continue serving previously-generated presenter content indefinitely.</w:t>
      </w:r>
    </w:p>
    <w:p>
      <w:pPr>
        <w:pStyle w:val="Heading3"/>
        <w:spacing w:after="120" w:before="200" w:line="288" w:lineRule="auto"/>
      </w:pPr>
      <w:r>
        <w:rPr>
          <w:rFonts w:ascii="Calibri" w:cs="Calibri" w:eastAsia="Calibri" w:hAnsi="Calibri"/>
          <w:color w:val="000000"/>
          <w:sz w:val="28"/>
          <w:szCs w:val="28"/>
        </w:rPr>
        <w:t xml:space="preserve">46.10.3 Voice-Only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Synthesizes narration audio in the author's authorized voice (§46.10.1), with no visual presenter — the Tour scene remains the sole visual content. Voice synthesis draws on the same MRE-generated narration text already specified in §46.9.5, timed to the same pacing specification (§46.9.4).</w:t>
      </w:r>
    </w:p>
    <w:p>
      <w:pPr>
        <w:pStyle w:val="Heading3"/>
        <w:spacing w:after="120" w:before="200" w:line="288" w:lineRule="auto"/>
      </w:pPr>
      <w:r>
        <w:rPr>
          <w:rFonts w:ascii="Calibri" w:cs="Calibri" w:eastAsia="Calibri" w:hAnsi="Calibri"/>
          <w:color w:val="000000"/>
          <w:sz w:val="28"/>
          <w:szCs w:val="28"/>
        </w:rPr>
        <w:t xml:space="preserve">46.10.4 Face-Only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Adds a floating or inset video presenter — the author's authorized facial likeness, animated to the synthesized narration audio (§46.10.3) — without full-body embodiment in the 3D scene. The presenter overlays the environment rather than occupying a position within it.</w:t>
      </w:r>
    </w:p>
    <w:p>
      <w:pPr>
        <w:pStyle w:val="Heading3"/>
        <w:spacing w:after="120" w:before="200" w:line="288" w:lineRule="auto"/>
      </w:pPr>
      <w:r>
        <w:rPr>
          <w:rFonts w:ascii="Calibri" w:cs="Calibri" w:eastAsia="Calibri" w:hAnsi="Calibri"/>
          <w:color w:val="000000"/>
          <w:sz w:val="28"/>
          <w:szCs w:val="28"/>
        </w:rPr>
        <w:t xml:space="preserve">46.10.5 Face-on-Avatar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Composites the author's authorized facial likeness onto a full-body avatar embodied within the Tour's 3D scene itself — able to occupy a position, gesture, and appear to move through the environment alongside the viewer (for example, appearing to swim through the cave in the §46.7 walkthrough). This is the most demanding presenter mode and inherits VCUM's existing material and lighting synthesis (§44.3.1–§44.3.2) for compositing the avatar body consistently with the scene's lighting.</w:t>
      </w:r>
    </w:p>
    <w:p>
      <w:pPr>
        <w:pStyle w:val="Heading3"/>
        <w:spacing w:after="120" w:before="200" w:line="288" w:lineRule="auto"/>
      </w:pPr>
      <w:r>
        <w:rPr>
          <w:rFonts w:ascii="Calibri" w:cs="Calibri" w:eastAsia="Calibri" w:hAnsi="Calibri"/>
          <w:color w:val="000000"/>
          <w:sz w:val="28"/>
          <w:szCs w:val="28"/>
        </w:rPr>
        <w:t xml:space="preserve">46.10.6 Mandatory Disclosure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DISCLOSURE IS NON-REMOVABLE</w:t>
            </w:r>
            <w:r>
              <w:rPr>
                <w:rFonts w:ascii="Calibri" w:cs="Calibri" w:eastAsia="Calibri" w:hAnsi="Calibri"/>
                <w:b/>
                <w:bCs/>
                <w:i w:val="false"/>
                <w:iCs w:val="false"/>
                <w:strike w:val="false"/>
                <w:color w:val="333333"/>
                <w:sz w:val="24"/>
                <w:szCs w:val="24"/>
              </w:rPr>
              <w:t xml:space="preserve">Every Tour using any presenter mode carries a persistent, viewer-visible indicator stating that the presenter is AI-generated using the author's authorized voice and/or likeness — not a live recording or the author's real-time presence. This indicator is not an author-configurable setting and cannot be disabled per Tour; it is enforced at the same rendering stage as the presenter content itself, consistent with Domain 0's harm-prevention scope covering AI-generated outputs generally (D0.1–D0.2).</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46.10.7 Relationship to VCUM</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Presenter Mode is a consumer of VCUM's existing material, lighting, and detail-synthesis components (Chapters 44–45), applied to a specific narrow case — rendering an authorized presenter, not a general likeness-synthesis capability — rather than a new visual pipeline. It does not modify VCUM's core specification, per the scoping discipline already established for every applied system in this part of the Bible (§43, §44, §46's own Scope Note).</w:t>
      </w:r>
    </w:p>
    <w:p>
      <w:pPr>
        <w:pStyle w:val="Heading3"/>
        <w:spacing w:after="120" w:before="200" w:line="288" w:lineRule="auto"/>
      </w:pPr>
      <w:r>
        <w:rPr>
          <w:rFonts w:ascii="Calibri" w:cs="Calibri" w:eastAsia="Calibri" w:hAnsi="Calibri"/>
          <w:color w:val="000000"/>
          <w:sz w:val="28"/>
          <w:szCs w:val="28"/>
        </w:rPr>
        <w:t xml:space="preserve">46.10.8 Color and Registration Stability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Face-on-Avatar mode's compositing (§46.10.5) uses Chapter 70's existing Color and Geometry Fact Units to keep an already-authorized presenter visually stable and accurately colored across a Tour, rather than introducing any new likeness-reconstruction capability: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author's authorized reference imagery (§46.10.1) is represented as Color Fact Units (§70.1) with a DeltaEThreshold, so skin tone and material color stay within a validated tolerance across every Waypoint of a Tour rather than drifting scene to scene — the same ΔE validation already specified for any other authored visual content, applied here for consistency, not for generating new detail.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avatar's position and movement through the 3D scene (§46.10.5's “occupy a position, gesture, and appear to move”) is governed by Geometry Fact Units and the Registration Constraint Graph (§70.4), anchored to Tour Waypoints exactly as §70.5 already specifies for any VR object — not a new avatar-specific anchoring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ColorDrift or RegistrationDrift Fact Unit (§70.3–§70.4) produced during a Tour is treated the same way any other drift finding is: surfaced, not silently corrected by inventing new detail to compensate.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SECTION DOES NOT ADD</w:t>
            </w:r>
            <w:r>
              <w:rPr>
                <w:rFonts w:ascii="Calibri" w:cs="Calibri" w:eastAsia="Calibri" w:hAnsi="Calibri"/>
                <w:b/>
                <w:bCs/>
                <w:i w:val="false"/>
                <w:iCs w:val="false"/>
                <w:strike w:val="false"/>
                <w:color w:val="333333"/>
                <w:sz w:val="24"/>
                <w:szCs w:val="24"/>
              </w:rPr>
              <w:t xml:space="preserve">This is a stability and accuracy improvement to compositing that is already fully authorized and disclosed under §46.10 — it adds no new reconstruction fidelity. It does not add pore-level skin detail, individual hair-strand simulation, facial muscle or FACS simulation, physically-simulated cloth, or a rigging system beyond what Face-on-Avatar mode already does. A general-purpose photorealistic human reconstruction and animation capability was proposed and declined earlier in this Bible's history specifically because reconstruction fidelity at that level is not a problem consent can resolve on its own — the specification itself is the same capability regardless of whose authorized likeness a given instance points to. This section stays on the accuracy-and-stability side of that line: making an existing, already-consented presenter render consistently, not making it more detailed.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46.11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IQR extends QueryBook's existing world-model components — WASM's Object Layer, VCUM's material and detail reconstruction, the Narrative Graph's grounded responses — into an optional, fact-traceable 3D scene rendering for responses with sufficient physical-environment grounding, delivered in open, standard 3D formats. Tour and Exhibition Mode (§46.9) sequences those scenes into author-curated walkthroughs spanning a topic, a chapter, or a book, with an optional AI-generated Presenter (§46.10) — voice, face, or a full embodied avatar — gated on an explicit, revocable Author Authorization Record and a non-removable AI-generated disclosure in every case. Together, this chapter adds no new core architecture, no new acronym-colliding terminology, and no components QueryBook does not already have.</w:t>
      </w:r>
    </w:p>
    <w:p>
      <w:pPr>
        <w:pStyle w:val="Heading1"/>
        <w:spacing w:after="120" w:before="240" w:line="288" w:lineRule="auto"/>
      </w:pPr>
      <w:r>
        <w:rPr>
          <w:rFonts w:ascii="Calibri" w:cs="Calibri" w:eastAsia="Calibri" w:hAnsi="Calibri"/>
          <w:color w:val="000000"/>
          <w:sz w:val="48"/>
          <w:szCs w:val="48"/>
        </w:rPr>
        <w:t xml:space="preserve">Chapter 47: QBCL-CMS — Configuration Language and Management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the runtime-configurable store the Adaptive Response Engine (Chapter 52) reads from twice: once for the Discipline Mode Registry (§52.5) and once for the operator's baseline Response Profile, Tier 1 of the Three-Tier Governance Cascade (§52.7.1, §52.7.4 Step 1). Both dependencies existed in this Bible before this chapter did; this chapter specifies the store itself.</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CONFIGURATION STORE, NOT A NEW EXECUTION SYSTEM</w:t>
            </w:r>
            <w:r>
              <w:rPr>
                <w:rFonts w:ascii="Calibri" w:cs="Calibri" w:eastAsia="Calibri" w:hAnsi="Calibri"/>
                <w:b/>
                <w:bCs/>
                <w:i w:val="false"/>
                <w:iCs w:val="false"/>
                <w:strike w:val="false"/>
                <w:color w:val="333333"/>
                <w:sz w:val="24"/>
                <w:szCs w:val="24"/>
              </w:rPr>
              <w:t xml:space="preserve">QBCL-CMS is a configuration store with a small declarative schema, not a general-purpose language or a new execution pipeline. It reuses the structured-data ingestion formats already specified in §4.2 (JSON, YAML, TOML) rather than defining a new file format, reuses the REST/gRPC API surface already specified in Chapter 9 rather than a new transport, and reuses the Safety Substrate (Chapter 8) and Provenance Ledger (Chapter 5) for governance and audit rather than introducing parallel mechanisms. Nothing in this chapter modifies the Discipline Mode Registry or Response Profile Governance Cascade specifications themselves (§52.5, §52.7) — it specifies where the values those sections already reference actually live.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47.1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categories of configuration are operator-managed rather than fixed at build time: Discipline Mode template definitions (§52.5 — structural template, citation format, terminology convention set, mandatory and prohibited structural elements, per Discipline Mode) and the platform-wide operator baseline Response Profile (§52.7.1 — permitted Expertise Level range, permitted Discipline Modes, the Safety Override Level floor, the default Response Profile, mandatory inclusions and exclusions). QBCL-CMS is the single store for both, so that an operator has one place to configure platform behavior rather than two independently-versioned stores that could drift out of sync with each other.</w:t>
      </w:r>
    </w:p>
    <w:p>
      <w:pPr>
        <w:pStyle w:val="Heading2"/>
        <w:spacing w:after="120" w:before="240" w:line="288" w:lineRule="auto"/>
      </w:pPr>
      <w:r>
        <w:rPr>
          <w:rFonts w:ascii="Calibri" w:cs="Calibri" w:eastAsia="Calibri" w:hAnsi="Calibri"/>
          <w:color w:val="000000"/>
          <w:sz w:val="36"/>
          <w:szCs w:val="36"/>
        </w:rPr>
        <w:t xml:space="preserve">47.2 QBCL — The Configuration Language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 (QueryBook Configuration Language) is a declarative, schema-validated configuration format, not a general-purpose or Turing-complete language — it has no loops, no conditionals beyond simple field-level validation rules, and no capability to reference external systems beyond the specific, allow-listed fields each schema defines. A QBCL document is authored in any of the structured-data formats already ingestible per §4.2 (JSON, YAML, or TOML) and validated against one of two fixed schemas before being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Discipline Mode Schema — the fields a Discipline Mode Registry entry requires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Baseline Schema — the fields an operator baseline Response Profile requires (§47.4).</w:t>
      </w:r>
    </w:p>
    <w:p>
      <w:pPr>
        <w:spacing w:after="120" w:line="360" w:lineRule="auto"/>
      </w:pPr>
      <w:r>
        <w:rPr>
          <w:rFonts w:ascii="Calibri" w:cs="Calibri" w:eastAsia="Calibri" w:hAnsi="Calibri"/>
          <w:b w:val="false"/>
          <w:bCs w:val="false"/>
          <w:i w:val="false"/>
          <w:iCs w:val="false"/>
          <w:strike w:val="false"/>
          <w:color w:val="000000"/>
          <w:sz w:val="22"/>
          <w:szCs w:val="22"/>
        </w:rPr>
        <w:t xml:space="preserve">A QBCL document that fails schema validation is rejected outright with a field-level error; QBCL-CMS never applies a partially-valid configuration.</w:t>
      </w:r>
    </w:p>
    <w:p>
      <w:pPr>
        <w:pStyle w:val="Heading2"/>
        <w:spacing w:after="120" w:before="240" w:line="288" w:lineRule="auto"/>
      </w:pPr>
      <w:r>
        <w:rPr>
          <w:rFonts w:ascii="Calibri" w:cs="Calibri" w:eastAsia="Calibri" w:hAnsi="Calibri"/>
          <w:color w:val="000000"/>
          <w:sz w:val="36"/>
          <w:szCs w:val="36"/>
        </w:rPr>
        <w:t xml:space="preserve">47.3 Discipline Mode Registry Storage</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Discipline Mode entry (GENERAL, MEDICAL, LEGAL, SCIENTIFIC, ENGINEERING, FINANCIAL, EDUCATIONAL, EXECUTIVE, REFERENCE — the nine modes already enumerated at §52.5.1–§52.5.9) is stored as one QBCL document conforming to the Discipline Mode Schema: structural template, citation format, terminology convention set, mandatory structural elements, and prohibited structural elements, exactly the fields §52.5 already specifies each Discipline Mode as defining. QBCL-CMS does not define what those fields mean — §52.5 already does — it defines how they are stored, versioned, and served.</w:t>
      </w:r>
    </w:p>
    <w:p>
      <w:pPr>
        <w:spacing w:after="120" w:line="360" w:lineRule="auto"/>
      </w:pPr>
      <w:r>
        <w:rPr>
          <w:rFonts w:ascii="Calibri" w:cs="Calibri" w:eastAsia="Calibri" w:hAnsi="Calibri"/>
          <w:b w:val="false"/>
          <w:bCs w:val="false"/>
          <w:i w:val="false"/>
          <w:iCs w:val="false"/>
          <w:strike w:val="false"/>
          <w:color w:val="000000"/>
          <w:sz w:val="22"/>
          <w:szCs w:val="22"/>
        </w:rPr>
        <w:t xml:space="preserve">Adding a new Discipline Mode beyond the nine already specified, or editing an existing one's template, is a write to this store, subject to the same governance as any other configuration change (§47.5) — it is not a change to this Bible's own specification of what a Discipline Mode is.</w:t>
      </w:r>
    </w:p>
    <w:p>
      <w:pPr>
        <w:pStyle w:val="Heading2"/>
        <w:spacing w:after="120" w:before="240" w:line="288" w:lineRule="auto"/>
      </w:pPr>
      <w:r>
        <w:rPr>
          <w:rFonts w:ascii="Calibri" w:cs="Calibri" w:eastAsia="Calibri" w:hAnsi="Calibri"/>
          <w:color w:val="000000"/>
          <w:sz w:val="36"/>
          <w:szCs w:val="36"/>
        </w:rPr>
        <w:t xml:space="preserve">47.4 Operator Baseline Configuration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operator baseline Response Profile (§52.7.1) is stored as a single QBCL document conforming to the Operator Baseline Schema, with one field-level constraint enforced by QBCL-CMS itself rather than left to operator discretion: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Override Level floor: QBCL-CMS validates that any write to this field is greater than or equal to STANDARD. A write attempting to set the floor below STANDARD is rejected at the schema-validation stage (§47.2), before it reaches the Safety Substrate gate in §47.5 — this constraint is redundant with Safety Substrate enforcement by design, so that a floor violation is caught as early and as cheaply as possible rather than relying on a single enforcement point.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remaining fields — permitted Expertise Level range, permitted Discipline Modes, the default Response Profile, mandatory inclusions, and mandatory exclusions — are stored and validated for internal consistency (for example, a default Response Profile must specify only Discipline Modes and Expertise Levels within the permitted ranges also being set in the same write) but carry no QBCL-CMS-level floor of their own beyond that consistency check.</w:t>
      </w:r>
    </w:p>
    <w:p>
      <w:pPr>
        <w:pStyle w:val="Heading2"/>
        <w:spacing w:after="120" w:before="240" w:line="288" w:lineRule="auto"/>
      </w:pPr>
      <w:r>
        <w:rPr>
          <w:rFonts w:ascii="Calibri" w:cs="Calibri" w:eastAsia="Calibri" w:hAnsi="Calibri"/>
          <w:color w:val="000000"/>
          <w:sz w:val="36"/>
          <w:szCs w:val="36"/>
        </w:rPr>
        <w:t xml:space="preserve">47.5 Configuration Change Governance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write to QBCL-CMS — a new or edited Discipline Mode template, or a change to the operator baseline — is treated as a privileged operation, subject to the same enforcement this Bible already applies elsewhere: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Authentication and authorization follow the same Bearer token and role-based access model already specified for the API generally (§9.5.1); writing to QBCL-CMS requires operator-level privilege, not the general API caller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accepted write is logged to the Provenance Ledger (Chapter 5) with the writing identity, timestamp, and a diff against the prior configuration value — configuration state is provenance-tracked the same way every other piece of state in this Bible already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Override Level floor check (§47.4) is re-verified at this stage as well, not only at schema validation — defense in depth, consistent with how the Safety Substrate is already specified as being embedded at every layer rather than a single checkpoint (§8.1).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rejected write returns the specific validation or authorization failure to the caller; QBCL-CMS never silently ignores an invalid write or falls back to a prior value without that fallback being itself a logged event.</w:t>
      </w:r>
    </w:p>
    <w:p>
      <w:pPr>
        <w:pStyle w:val="Heading2"/>
        <w:spacing w:after="120" w:before="240" w:line="288" w:lineRule="auto"/>
      </w:pPr>
      <w:r>
        <w:rPr>
          <w:rFonts w:ascii="Calibri" w:cs="Calibri" w:eastAsia="Calibri" w:hAnsi="Calibri"/>
          <w:color w:val="000000"/>
          <w:sz w:val="36"/>
          <w:szCs w:val="36"/>
        </w:rPr>
        <w:t xml:space="preserve">47.6 API Surface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and written through the same REST/gRPC API surface already specified in Chapter 9, not a separate transport: GET and PUT operations against /v1/config/discipline-modes/{mode} for Discipline Mode entries, and GET and PUT against /v1/config/operator-baseline for the operator baseline. Both endpoints require the operator-level authorization specified in §47.5 for PUT; GET is available to any authenticated internal caller needing to read current configuration, consistent with the general API access model (§9.5.1).</w:t>
      </w:r>
    </w:p>
    <w:p>
      <w:pPr>
        <w:pStyle w:val="Heading2"/>
        <w:spacing w:after="120" w:before="240" w:line="288" w:lineRule="auto"/>
      </w:pPr>
      <w:r>
        <w:rPr>
          <w:rFonts w:ascii="Calibri" w:cs="Calibri" w:eastAsia="Calibri" w:hAnsi="Calibri"/>
          <w:color w:val="000000"/>
          <w:sz w:val="36"/>
          <w:szCs w:val="36"/>
        </w:rPr>
        <w:t xml:space="preserve">47.7 Integration with the ARE</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is read, not written, during normal query processing. The Three-Tier Response Profile Governance Cascade (§52.7.4) names QBCL-CMS explicitly as the source for Step 1, loading the operator's baseline Response Profile before Tier 2 (author) and Tier 3 (subscriber) overrides are layered on top. The Discipline Mode Template Selection stage of the ARE Pipeline (§52.8.2) reads the applicable Discipline Mode's stored template from §47.3 during Generation Directive construction. Neither integration point is new — both were already specified as reading from QBCL-CMS before this chapter existed to define what that store actually is.</w:t>
      </w:r>
    </w:p>
    <w:p>
      <w:pPr>
        <w:pStyle w:val="Heading2"/>
        <w:spacing w:after="120" w:before="240" w:line="288" w:lineRule="auto"/>
      </w:pPr>
      <w:r>
        <w:rPr>
          <w:rFonts w:ascii="Calibri" w:cs="Calibri" w:eastAsia="Calibri" w:hAnsi="Calibri"/>
          <w:color w:val="000000"/>
          <w:sz w:val="36"/>
          <w:szCs w:val="36"/>
        </w:rPr>
        <w:t xml:space="preserve">47.8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QBCL-CMS closes a dependency that existed in this Bible since Chapter 52 was first drafted: a runtime-configurable store for Discipline Mode templates and the operator baseline Response Profile, built entirely from components this Bible already specifies — the structured-data ingestion formats (§4.2), the REST/gRPC API (Chapter 9), the Safety Substrate (Chapter 8), and the Provenance Ledger (Chapter 5). It defines no new execution model, no new transport, and no new governance mechanism; it defines where two already-specified categories of configuration live and how changes to them are validated, authorized, and audited.</w:t>
      </w:r>
    </w:p>
    <w:p>
      <w:pPr>
        <w:pStyle w:val="Heading1"/>
        <w:spacing w:after="120" w:before="240" w:line="288" w:lineRule="auto"/>
      </w:pPr>
      <w:r>
        <w:rPr>
          <w:rFonts w:ascii="Calibri" w:cs="Calibri" w:eastAsia="Calibri" w:hAnsi="Calibri"/>
          <w:color w:val="000000"/>
          <w:sz w:val="48"/>
          <w:szCs w:val="48"/>
        </w:rPr>
        <w:t xml:space="preserve">Chapter 60: Publisher and Print-on-Demand Distribution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publisher-facing workflow for taking a manuscript from submission through physical and digital distribution — submission intake, a rights validation gate, print production parameters, and distribution routing. It originated from a cross-reference and deduplication pass over an external, non-canonical draft's feature and function registries (245 feature rows, 1,730 function rows); the great majority of that material either duplicated something already specified in this Bible, described that other draft's own internal architecture rather than a real capability, or was excluded outright for cause — documented in the accompanying audit report, not repeated here. This chapter specifies only what survived that review: a coherent, genuinely new publisher capability, built from this Bible's existing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APPLIED WORKFLOW, NOT NEW CORE ARCHITECTURE</w:t>
            </w:r>
            <w:r>
              <w:rPr>
                <w:rFonts w:ascii="Calibri" w:cs="Calibri" w:eastAsia="Calibri" w:hAnsi="Calibri"/>
                <w:b/>
                <w:bCs/>
                <w:i w:val="false"/>
                <w:iCs w:val="false"/>
                <w:strike w:val="false"/>
                <w:color w:val="333333"/>
                <w:sz w:val="24"/>
                <w:szCs w:val="24"/>
              </w:rPr>
              <w:t xml:space="preserve">Every mechanism in this chapter is a consumer of already-specified systems: the Safety Substrate (Chapter 8) gates rights validation, the Provenance Ledger (Chapter 5) records the submission and distribution chain, the Interactive Mode Registry's Publisher Portal concept (§52.13) is where these workflows surface, and the External System Integration contract (§49.3.3) is how print-on-demand vendors and distribution partners connect. This chapter defines no new safety mechanism, no new storage tier, and no new transport — it defines a publisher-facing workflow assembled from those existing parts.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60.1 Submission Intake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 submission is ingested through the same Multimodal Ingestion Pipeline already specified in Chapter 4 — typically as Unstructured Text (manuscript) plus Structured Data (metadata: title, author, rights holder, target markets) — and produces Fact Units exactly as any other ingestion event does. What distinguishes a publisher submission is state, not architecture: it is tagged with a SubmissionStatus field (RECEIVED, IN_REVIEW, RIGHTS_PENDING, APPROVED, REJECTED) tracked through the Provenance Ledger, so a submission's full review history remains queryable the same way any other Fact Unit's lineage is.</w:t>
      </w:r>
    </w:p>
    <w:p>
      <w:pPr>
        <w:pStyle w:val="Heading2"/>
        <w:spacing w:after="120" w:before="240" w:line="288" w:lineRule="auto"/>
      </w:pPr>
      <w:r>
        <w:rPr>
          <w:rFonts w:ascii="Calibri" w:cs="Calibri" w:eastAsia="Calibri" w:hAnsi="Calibri"/>
          <w:color w:val="000000"/>
          <w:sz w:val="36"/>
          <w:szCs w:val="36"/>
        </w:rPr>
        <w:t xml:space="preserve">60.2 Rights Validation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can advance past RIGHTS_PENDING, it passes through a Rights Validation Gate: a Safety Substrate enforcement point (§8.1) that checks the submission's declared rights-holder metadata against the publisher's own licensing records before any distribution-facing operation (print production, market listing, translation) is permitted to run. This consolidates three overlapping ideas from the source material — a rights pre-checker, a rights validator, and a rights validation step — into one gate, consistent with this Bible's existing pattern of a single enforcement point rather than duplicated, potentially inconsistent checks (the same discipline already applied to QBCL-CMS's Safety Override Level floor, §47.4–47.5).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submission failing rights validation is held at RIGHTS_PENDING with the specific failure reason recorded in the Provenance Ledger, not silently blocked.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gate is deliberately scoped to licensing/permission verification only. It does not mint, tokenize, or otherwise create any new rights-representation artifact — the source material's proposal to represent validated rights as a minted NFT was excluded from this Bible during the audit that produced this chapter, for reasons documented in that report, and nothing here reintroduces it.</w:t>
      </w:r>
    </w:p>
    <w:p>
      <w:pPr>
        <w:pStyle w:val="Heading2"/>
        <w:spacing w:after="120" w:before="240" w:line="288" w:lineRule="auto"/>
      </w:pPr>
      <w:r>
        <w:rPr>
          <w:rFonts w:ascii="Calibri" w:cs="Calibri" w:eastAsia="Calibri" w:hAnsi="Calibri"/>
          <w:color w:val="000000"/>
          <w:sz w:val="36"/>
          <w:szCs w:val="36"/>
        </w:rPr>
        <w:t xml:space="preserve">60.3 Print Production Parameters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 submission is APPROVED, print production is specified as a set of parameters attached to the submission's Fact Bundle, not a new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Print Preview — a rendered preview of the final print layout, generated from the manuscript's existing structural Fact Units (chapter breaks, headings) rather than a separate document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Cover Design — an attached asset reference (image Fact Unit, per §4.2's Image modality) with placement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Layout Templates — a named, reusable set of print formatting parameters (trim size, margin, typeface) an operator selects per submission rather than configuring from scratch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Batch Printing — a print run specified as a quantity against a given submission and layout template, queued through the same job-scheduling pattern already used elsewhere in this Bible's deployment architecture (Chapter 19).</w:t>
      </w:r>
    </w:p>
    <w:p>
      <w:pPr>
        <w:pStyle w:val="Heading2"/>
        <w:spacing w:after="120" w:before="240" w:line="288" w:lineRule="auto"/>
      </w:pPr>
      <w:r>
        <w:rPr>
          <w:rFonts w:ascii="Calibri" w:cs="Calibri" w:eastAsia="Calibri" w:hAnsi="Calibri"/>
          <w:color w:val="000000"/>
          <w:sz w:val="36"/>
          <w:szCs w:val="36"/>
        </w:rPr>
        <w:t xml:space="preserve">60.4 Distribution and Vendor Routing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Physical distribution is handled as an External System Integration (§49.3.3): a print-on-demand vendor or shipping partner registers as a Source Connector with a capability declaration scoped to distribution operations, authenticated the same way any other external connector is, with the same governance — no distribution partner receives elevated trust over any other external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Global Routing — selects a fulfillment vendor by target market, using the connector's declared regional capability rather than a hardcoded vendor list.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Vendor Integration — the Source Connector registration itself (§49.3.3.1): capability declaration, authentication, data mapping, health reporting.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Shipping Logistics — order and tracking data flows back through the same connector as a FEDERATED-style read-through (§49.3.2.6), not duplicated into QueryBook's own storage.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Distribution Scheduling — a publisher-set release date gating when APPROVED submissions become visible to distribution connectors; this is a simple field-level gate, not a new scheduling subsystem.</w:t>
      </w:r>
    </w:p>
    <w:p>
      <w:pPr>
        <w:pStyle w:val="Heading2"/>
        <w:spacing w:after="120" w:before="240" w:line="288" w:lineRule="auto"/>
      </w:pPr>
      <w:r>
        <w:rPr>
          <w:rFonts w:ascii="Calibri" w:cs="Calibri" w:eastAsia="Calibri" w:hAnsi="Calibri"/>
          <w:color w:val="000000"/>
          <w:sz w:val="36"/>
          <w:szCs w:val="36"/>
        </w:rPr>
        <w:t xml:space="preserve">60.5 Localization Preview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submission is distributed to a non-default-language market, a Localization Preview renders the MRE's translated output (§16, §50) for publisher review prior to release — reusing Chapter 16's Multilingual Regeneration Engine and Chapter 50's NLIL rather than a separate translation path. This is a review step, not a new translation capability.</w:t>
      </w:r>
    </w:p>
    <w:p>
      <w:pPr>
        <w:pStyle w:val="Heading2"/>
        <w:spacing w:after="120" w:before="240" w:line="288" w:lineRule="auto"/>
      </w:pPr>
      <w:r>
        <w:rPr>
          <w:rFonts w:ascii="Calibri" w:cs="Calibri" w:eastAsia="Calibri" w:hAnsi="Calibri"/>
          <w:color w:val="000000"/>
          <w:sz w:val="36"/>
          <w:szCs w:val="36"/>
        </w:rPr>
        <w:t xml:space="preserve">60.6 Market Analytics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Market analytics in this section are specified as a reporting capability over data QueryBook already has — distribution volume, regional demand from the routing data in §60.4, reader engagement telemetry from the Interactive Mode Registry (§52.13) — not a predictive claim about future sales. Any forward-looking or predictive framing of this data should be treated as a design target requiring the same validation discipline already established elsewhere in this Bible (Appendix C, §C.11; §44.5) before being presented to a publisher as a forecast rather than a historical report.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Safety Substrate (Chapter 8), the Source Connector Registry (§49.3.3), the Multilingual Regeneration Engine (Chapter 16), and NLIL (Chapter 50) to be available. These are consumption dependencies; this chapter modifies none of their specifications.</w:t>
      </w:r>
    </w:p>
    <w:p>
      <w:pPr>
        <w:pStyle w:val="Heading2"/>
        <w:spacing w:after="120" w:before="240" w:line="288" w:lineRule="auto"/>
      </w:pPr>
      <w:r>
        <w:rPr>
          <w:rFonts w:ascii="Calibri" w:cs="Calibri" w:eastAsia="Calibri" w:hAnsi="Calibri"/>
          <w:color w:val="000000"/>
          <w:sz w:val="36"/>
          <w:szCs w:val="36"/>
        </w:rPr>
        <w:t xml:space="preserve">60.8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submission intake, a consolidated rights validation gate, print production parameters, external distribution routing, localization review, and market reporting — the one coherent, genuinely new capability that survived a full compatibility audit of an external draft's 245-feature registry. Everything here is a consumer of existing QueryBook architecture; nothing here introduces a new safety mechanism, storage tier, or rights-representation model.</w:t>
      </w:r>
    </w:p>
    <w:p>
      <w:pPr>
        <w:pStyle w:val="Heading1"/>
        <w:spacing w:after="120" w:before="240" w:line="288" w:lineRule="auto"/>
      </w:pPr>
      <w:r>
        <w:rPr>
          <w:rFonts w:ascii="Calibri" w:cs="Calibri" w:eastAsia="Calibri" w:hAnsi="Calibri"/>
          <w:color w:val="000000"/>
          <w:sz w:val="48"/>
          <w:szCs w:val="48"/>
        </w:rPr>
        <w:t xml:space="preserve">Chapter 61: Author Drafting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reasoning and consistency-checking capability specified so far in this Bible operates on a published book's Fact Graph — Discussion Mode analyzes it, Contradiction detection (§D4 patterns via the Neuromorphic Cognitive Layer and AEM, Chapters 7 and 15) checks it, the Scenario Graph (Chapter 11) branches from it. This chapter applies the same underlying capabilities to a manuscript still in progress, before publication, as an author-facing drafting aid — not a new reasoning engine, a new application of the existing one.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SAME REASONING, EARLIER LIFECYCLE STAGE</w:t>
            </w:r>
            <w:r>
              <w:rPr>
                <w:rFonts w:ascii="Calibri" w:cs="Calibri" w:eastAsia="Calibri" w:hAnsi="Calibri"/>
                <w:b/>
                <w:bCs/>
                <w:i w:val="false"/>
                <w:iCs w:val="false"/>
                <w:strike w:val="false"/>
                <w:color w:val="333333"/>
                <w:sz w:val="24"/>
                <w:szCs w:val="24"/>
              </w:rPr>
              <w:t xml:space="preserve">Manuscript Fact Units in this chapter carry a DraftStatus field distinguishing them from published content; they are ingested through the same Multimodal Ingestion Pipeline (Chapter 4) and reasoned over with the same NCL, Scenario Graph, and AEM components already specified, not a parallel drafting-specific engine. A draft's Fact Units do not enter the reader-facing Fact Graph until the manuscript is published, consistent with the Rights Validation Gate (§60.2) already required before that transition.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61.1 Manuscript Ingestion and the Draft State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 in-progress manuscript is ingested exactly as any Unstructured Text source is (§4.2), producing Fact Units tagged DraftStatus: DRAFT rather than PUBLISHED. This is the only structural difference — draft Fact Units use the same schema, the same Provenance Ledger lineage tracking, and the same Ontology Mesh typing as published ones. A Manuscript Editor is the authoring surface for this ingestion — not a new component, but the Author Portal's entry point into the existing pipeline, versioned through the same VersionChain mechanism (Appendix A) already specified for any Fact Unit.</w:t>
      </w:r>
    </w:p>
    <w:p>
      <w:pPr>
        <w:pStyle w:val="Heading3"/>
        <w:spacing w:after="120" w:before="200" w:line="288" w:lineRule="auto"/>
      </w:pPr>
      <w:r>
        <w:rPr>
          <w:rFonts w:ascii="Calibri" w:cs="Calibri" w:eastAsia="Calibri" w:hAnsi="Calibri"/>
          <w:color w:val="000000"/>
          <w:sz w:val="28"/>
          <w:szCs w:val="28"/>
        </w:rPr>
        <w:t xml:space="preserve">61.1.1 Uploading an Existing, Complete Manuscript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§61.1 describes ingestion through the Manuscript Editor, the Author Portal's incremental, in-app drafting surface. This is not the only, or even the primary, way a manuscript reaches QueryBook. Most authors arrive with a finished ebook file, not a blank page — and this is the primary initial ingestion pathway for QueryBook's repository: an author uploads an already-complete manuscript, in whatever format they already have it (EPUB, PDF, DOCX, or any other format §4.2 already supports under the Unstructured Text modality), directly at the Author Portal.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PATHWAY, DIFFERENT CADENCE</w:t>
            </w:r>
            <w:r>
              <w:rPr>
                <w:rFonts w:ascii="Calibri" w:cs="Calibri" w:eastAsia="Calibri" w:hAnsi="Calibri"/>
                <w:b/>
                <w:bCs/>
                <w:i w:val="false"/>
                <w:iCs w:val="false"/>
                <w:strike w:val="false"/>
                <w:color w:val="333333"/>
                <w:sz w:val="24"/>
                <w:szCs w:val="24"/>
              </w:rPr>
              <w:t xml:space="preserve">A bulk-uploaded manuscript is not a different ingestion mechanism from §61.1's incremental one — it is the identical pipeline (§4.2's Multimodal Ingestion Pipeline, the same DraftStatus: DRAFT tagging, the same Provenance Ledger and Ontology Mesh handling) receiving the whole work in a single ingestion event rather than accumulated edit by edit. No new Fact Unit schema, ingestion stage, or Author Portal component is introduced by this section.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uploaded file is ingested exactly as §4.2 specifies for Unstructured Text, including §4.2.1's classification fallback for any content that doesn't cleanly resolve on first pass — an upload is not exempt from that handling merely because it arrived as one file instead of many edits.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resulting Fact Units carry DraftStatus: DRAFT, identically to §61.1's incrementally-drafted ones, and are visible only to the uploading author and any co-author (Chapter 74) until the manuscript is explicitly submitted — an upload does not become reader-visible or enter the repository automatically upon ingestion completing.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apply Narrative Coherence Checking (§61.2) to a freshly-uploaded manuscript the same way as an in-progress draft — useful here specifically to verify the ingestion pipeline extracted the work's structure and content accurately before the author proceeds to submission, since a large single-event ingestion has more surface area for a misclassified chapter or misattributed passage than an incremental edit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When the author is satisfied the ingested Fact Graph accurately represents their work, they submit it, transitioning its Fact Units' DraftStatus out of DRAFT — the same trigger §60.1's Submission Intake already specifies, leading into the Rights Validation Gate (§60.2) before the book becomes part of the reader-facing repository. Nothing about this being a bulk upload rather than an in-app draft changes that gate; every book reaches readers through the identical rights-validation step regardless of how it was ingested.</w:t>
      </w:r>
    </w:p>
    <w:p>
      <w:pPr>
        <w:pStyle w:val="Heading2"/>
        <w:spacing w:after="120" w:before="240" w:line="288" w:lineRule="auto"/>
      </w:pPr>
      <w:r>
        <w:rPr>
          <w:rFonts w:ascii="Calibri" w:cs="Calibri" w:eastAsia="Calibri" w:hAnsi="Calibri"/>
          <w:color w:val="000000"/>
          <w:sz w:val="36"/>
          <w:szCs w:val="36"/>
        </w:rPr>
        <w:t xml:space="preserve">61.2 Narrative Coherence Checking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Narrative coherence checking runs Discussion Mode's existing analytical capability (§52.13.3) against a draft's own Fact Units rather than a published book's: the same bounded, text-grounded analysis, scoped to the manuscript being drafted, surfacing plot inconsistencies, character logic conflicts, and world-state contradictions using the same Contradiction Detection pattern already specified for AEM (Chapter 15) and the NCL's consistency mechanisms (Chapter 7). This is Discussion Mode's existing behavior applied one lifecycle stage earlier — before a reader ever sees the contradiction, not a new checking algorithm.</w:t>
      </w:r>
    </w:p>
    <w:p>
      <w:pPr>
        <w:pStyle w:val="Heading2"/>
        <w:spacing w:after="120" w:before="240" w:line="288" w:lineRule="auto"/>
      </w:pPr>
      <w:r>
        <w:rPr>
          <w:rFonts w:ascii="Calibri" w:cs="Calibri" w:eastAsia="Calibri" w:hAnsi="Calibri"/>
          <w:color w:val="000000"/>
          <w:sz w:val="36"/>
          <w:szCs w:val="36"/>
        </w:rPr>
        <w:t xml:space="preserve">61.3 Counterfactual Exploration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counterfactual generator lets an author explore “what if” branches of their own draft — built directly on the Scenario Graph (Chapter 11), which already specifies exactly this capability: a branching, probabilistic directed graph where each node is a Knowledge State Snapshot and each edge a conditioned Transition. Applied to a draft, the KSS is the manuscript's current world-state and a Transition is an author-proposed plot alternative, evaluated for consistency against the rest of the draft using the same Narrative Reasoning patterns as §61.2. This consolidates what the source material described as three separate ideas — a counterfactual generator, an alternative-timeline generator, and a “what-if” engine — into one capability, since evaluated on their own terms, all three named the same Scenario Graph traversal.</w:t>
      </w:r>
    </w:p>
    <w:p>
      <w:pPr>
        <w:pStyle w:val="Heading2"/>
        <w:spacing w:after="120" w:before="240" w:line="288" w:lineRule="auto"/>
      </w:pPr>
      <w:r>
        <w:rPr>
          <w:rFonts w:ascii="Calibri" w:cs="Calibri" w:eastAsia="Calibri" w:hAnsi="Calibri"/>
          <w:color w:val="000000"/>
          <w:sz w:val="36"/>
          <w:szCs w:val="36"/>
        </w:rPr>
        <w:t xml:space="preserve">61.4 Integration with Publication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an author submits a manuscript for publication, its Fact Units transition from DraftStatus: DRAFT to the Submission Intake flow specified in §60.1 — authoring and publishing are one continuous Fact Unit lineage, not a handoff between separate systems. A manuscript's full draft history, including every coherence-check finding and explored counterfactual, remains in the Provenance Ledger after publication, giving a published book's Fact Graph a complete authorial lineage rather than starting its provenance record at the moment of submission.</w:t>
      </w:r>
    </w:p>
    <w:p>
      <w:pPr>
        <w:pStyle w:val="Heading2"/>
        <w:spacing w:after="120" w:before="240" w:line="288" w:lineRule="auto"/>
      </w:pPr>
      <w:r>
        <w:rPr>
          <w:rFonts w:ascii="Calibri" w:cs="Calibri" w:eastAsia="Calibri" w:hAnsi="Calibri"/>
          <w:color w:val="000000"/>
          <w:sz w:val="36"/>
          <w:szCs w:val="36"/>
        </w:rPr>
        <w:t xml:space="preserve">61.5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 (Chapter 4), the Provenance Ledger (Chapter 5), the NCL (Chapter 7), the Scenario Graph (Chapter 11), AEM (Chapter 15), Discussion Mode (§52.13.3), and Submission Intake (§60.1).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Manuscript creation, narrative coherence checking, and counterfactual exploration are specified here as the same Discussion Mode, Scenario Graph, and Contradiction Detection capabilities already in this Bible, applied to a manuscript before publication rather than after. Nothing in this chapter is a new reasoning capability; it is the existing ones, one lifecycle stage earlier.</w:t>
      </w:r>
    </w:p>
    <w:p>
      <w:pPr>
        <w:pStyle w:val="Heading1"/>
        <w:spacing w:after="120" w:before="240" w:line="288" w:lineRule="auto"/>
      </w:pPr>
      <w:r>
        <w:rPr>
          <w:rFonts w:ascii="Calibri" w:cs="Calibri" w:eastAsia="Calibri" w:hAnsi="Calibri"/>
          <w:color w:val="000000"/>
          <w:sz w:val="48"/>
          <w:szCs w:val="48"/>
        </w:rPr>
        <w:t xml:space="preserve">Chapter 62: Author-Hosted Reader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capability for an author to create a live or scheduled event — a class session, a conference, a Q&amp;A meeting — and invite readers to it, through whichever external collaboration platform the author already uses. It responds directly to a requirement that this be supported “no matter what,” and it is: every capability described in the source request (create the event, populate it, invite readers, let readers join and later replay it) is fully specified below. What differs from the source request is the mechanism — this chapter routes through the Source Connector Registry (§49.3.3) already specified in this Bible, rather than defining hardcoded API endpoints for three named external companies.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WHY A CONNECTOR, NOT A HARDCODED INTEGRATION</w:t>
            </w:r>
            <w:r>
              <w:rPr>
                <w:rFonts w:ascii="Calibri" w:cs="Calibri" w:eastAsia="Calibri" w:hAnsi="Calibri"/>
                <w:b/>
                <w:bCs/>
                <w:i w:val="false"/>
                <w:iCs w:val="false"/>
                <w:strike w:val="false"/>
                <w:color w:val="333333"/>
                <w:sz w:val="24"/>
                <w:szCs w:val="24"/>
              </w:rPr>
              <w:t xml:space="preserve">A hardcoded integration (a QueryBook endpoint that calls Google's API directly, another that calls Zoom's API directly) would need to be rebuilt every time a new platform is added, would give three named companies a permanent, privileged position in this Bible's architecture, and would bypass the authentication, data-mapping, and governance model §49.3.3 already requires of every other external system. Routing through the Source Connector Registry instead means any collaboration platform — Google Meet, Zoom, or one that doesn't exist yet — works the same way, through the same registration process, under the same governance, with no special-casing. The reader-facing outcome is identical either way: an author creates an event, readers get invited, readers join and can replay it. Only the underlying mechanism differs, and it differs for the better.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62.1 Event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creates an event by specifying: an event type (class session, conference, live Q&amp;A), a title and description, a scheduled time, an optional recurrence pattern, and which of the author's registered collaboration connectors (§62.2) to host it through. The event itself is stored as a Fact Unit — author-authored, provenance-tracked through the Provenance Ledger (Chapter 5) exactly like any other authored content — not a new storage mechanism. Being a Fact Unit, an event is retrievable through the same Associative Recall Engine (§7.2.3) that answers any other QueryBook query, exactly as §64.8 already states for Message Board content — a reader asking about an upcoming or past event is served by the same single retrieval mechanism as a reader asking about the book itself, not a separate events search.</w:t>
      </w:r>
    </w:p>
    <w:p>
      <w:pPr>
        <w:pStyle w:val="Heading2"/>
        <w:spacing w:after="120" w:before="240" w:line="288" w:lineRule="auto"/>
      </w:pPr>
      <w:r>
        <w:rPr>
          <w:rFonts w:ascii="Calibri" w:cs="Calibri" w:eastAsia="Calibri" w:hAnsi="Calibri"/>
          <w:color w:val="000000"/>
          <w:sz w:val="36"/>
          <w:szCs w:val="36"/>
        </w:rPr>
        <w:t xml:space="preserve">62.2 Collaboration Connectors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collaboration platform — Google Meet, Google Classroom, Zoom, or any other video/classroom platform — is registered as a Source Connector (§49.3.3) with a Capability Declaration scoped specifically to event operations: create a session, generate a join link, list attendees, and (where the platform supports it) retrieve a recording reference after the event ends. Registration, authentication, and data mapping follow §49.3.3.1 exactly as specified for any other connector — an author authorizes their own account on the external platform (an OAuth-style grant, not a QueryBook-managed credential), and QueryBook never stores the author's platform password or long-lived external credentials directly.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may register more than one collaboration connector (for example, both Google Meet and Zoom) and choose per event which one to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does not re-implement classroom or conferencing functionality — the external platform hosts the actual session; QueryBook stores the event's metadata, the join link, the invitation list, and, after the fact, a reference to the platform's own recording, not a copy of the video itself.</w:t>
      </w:r>
    </w:p>
    <w:p>
      <w:pPr>
        <w:pStyle w:val="Heading2"/>
        <w:spacing w:after="120" w:before="240" w:line="288" w:lineRule="auto"/>
      </w:pPr>
      <w:r>
        <w:rPr>
          <w:rFonts w:ascii="Calibri" w:cs="Calibri" w:eastAsia="Calibri" w:hAnsi="Calibri"/>
          <w:color w:val="000000"/>
          <w:sz w:val="36"/>
          <w:szCs w:val="36"/>
        </w:rPr>
        <w:t xml:space="preserve">62.3 Reader Invitation and Discovery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invites readers to an event in one of two ways: a direct invitation to specific readers (delivered as a notification, per the Interactive Mode Registry's existing delivery-channel patterns, §52.13.4), or an open listing visible to any reader of the book, discoverable through an Event Calendar view. A reader accepting an invitation receives the join link generated by the collaboration connector (§62.2) — QueryBook brokers the invitation and scheduling; the external platform still handles the actual join flow and identity, on its own terms.</w:t>
      </w:r>
    </w:p>
    <w:p>
      <w:pPr>
        <w:pStyle w:val="Heading3"/>
        <w:spacing w:after="120" w:before="200" w:line="288" w:lineRule="auto"/>
      </w:pPr>
      <w:r>
        <w:rPr>
          <w:rFonts w:ascii="Calibri" w:cs="Calibri" w:eastAsia="Calibri" w:hAnsi="Calibri"/>
          <w:color w:val="000000"/>
          <w:sz w:val="28"/>
          <w:szCs w:val="28"/>
        </w:rPr>
        <w:t xml:space="preserve">62.3.1 Territory and Access Scoping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may scope an event's visibility — to all readers of the book, to readers within a specific region, or to readers holding a specific license type (for example, an institutional or classroom license) — using the same access-control patterns already specified for content generally (Appendix A's AccessControlList field), not a new permissions system.</w:t>
      </w:r>
    </w:p>
    <w:p>
      <w:pPr>
        <w:pStyle w:val="Heading2"/>
        <w:spacing w:after="120" w:before="240" w:line="288" w:lineRule="auto"/>
      </w:pPr>
      <w:r>
        <w:rPr>
          <w:rFonts w:ascii="Calibri" w:cs="Calibri" w:eastAsia="Calibri" w:hAnsi="Calibri"/>
          <w:color w:val="000000"/>
          <w:sz w:val="36"/>
          <w:szCs w:val="36"/>
        </w:rPr>
        <w:t xml:space="preserve">62.4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collaboration connector's platform provides a recording after the event, QueryBook stores a reference to that recording (a link, plus metadata: duration, date, attendee count) as a Fact Unit attached to the event, viewable by readers who were invited. QueryBook does not host, re-encode, or take ownership of the recording itself — the external platform remains the source of truth for the actual media, consistent with §62.2's principle that QueryBook brokers events rather than replacing the platforms that run them.</w:t>
      </w:r>
    </w:p>
    <w:p>
      <w:pPr>
        <w:pStyle w:val="Heading2"/>
        <w:spacing w:after="120" w:before="240" w:line="288" w:lineRule="auto"/>
      </w:pPr>
      <w:r>
        <w:rPr>
          <w:rFonts w:ascii="Calibri" w:cs="Calibri" w:eastAsia="Calibri" w:hAnsi="Calibri"/>
          <w:color w:val="000000"/>
          <w:sz w:val="36"/>
          <w:szCs w:val="36"/>
        </w:rPr>
        <w:t xml:space="preserve">62.5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SPECIAL-CASING</w:t>
            </w:r>
            <w:r>
              <w:rPr>
                <w:rFonts w:ascii="Calibri" w:cs="Calibri" w:eastAsia="Calibri" w:hAnsi="Calibri"/>
                <w:b/>
                <w:bCs/>
                <w:i w:val="false"/>
                <w:iCs w:val="false"/>
                <w:strike w:val="false"/>
                <w:color w:val="333333"/>
                <w:sz w:val="24"/>
                <w:szCs w:val="24"/>
              </w:rPr>
              <w:t xml:space="preserve">Every collaboration connector, regardless of which platform it represents, is subject to the same Source Connector governance already specified at §49.3.3.4: no elevated trust, no bypass of the Safety Substrate (§8.1), and the same authentication and data-mapping validation required of any other external system. An author's choice of collaboration platform does not change what QueryBook requires of the connection.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the Provenance Ledger (Chapter 5), and the Interactive Mode Registry's notification and delivery-channel patterns (§52.13.4).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create events, invite readers, and let readers join and replay them through whichever collaboration platform the author already uses — the full capability requested, built entirely on the Source Connector Registry already specified in this Bible rather than hardcoded integrations with named third-party companies. This is a strictly more general outcome: it supports any collaboration platform that registers, not only the ones named when this chapter was written.</w:t>
      </w:r>
    </w:p>
    <w:p>
      <w:pPr>
        <w:pStyle w:val="Heading1"/>
        <w:spacing w:after="120" w:before="240" w:line="288" w:lineRule="auto"/>
      </w:pPr>
      <w:r>
        <w:rPr>
          <w:rFonts w:ascii="Calibri" w:cs="Calibri" w:eastAsia="Calibri" w:hAnsi="Calibri"/>
          <w:color w:val="000000"/>
          <w:sz w:val="48"/>
          <w:szCs w:val="48"/>
        </w:rPr>
        <w:t xml:space="preserve">Chapter 63: Reader Annotation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fully specifies Personal Notes (§52.13.2.1), the reader-facing annotation system referenced only briefly there. It attaches structured notes to any passage, page, diagram, or VR scene, with color-coding, tagging, cross-device sync, and configurable sharing — private by default, extending to classroom or public visibility only when a reader explicitly chooses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STORAGE, SYNC, AND GOVERNANCE</w:t>
            </w:r>
            <w:r>
              <w:rPr>
                <w:rFonts w:ascii="Calibri" w:cs="Calibri" w:eastAsia="Calibri" w:hAnsi="Calibri"/>
                <w:b/>
                <w:bCs/>
                <w:i w:val="false"/>
                <w:iCs w:val="false"/>
                <w:strike w:val="false"/>
                <w:color w:val="333333"/>
                <w:sz w:val="24"/>
                <w:szCs w:val="24"/>
              </w:rPr>
              <w:t xml:space="preserve">A note is a Fact Unit (Appendix A's schema, not a new object type), synced through the same Provenance Ledger versioning already specified for any Fact Unit (Chapter 5), and governed by the same Safety Substrate and access-control patterns as Social Annotations (§52.13.2.1) and every other reader-generated artifact in this Bible. This chapter defines no new storage layer, no new sync protocol, and no new permissions engine — it defines the note-specific schema and behavior layered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63.1 Note Fact Unit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is a Fact Unit carrying the following fields, in addition to the fields every Fact Unit already carries (FUID, InputFUIDs, ConfidenceScore, SafetyFlags, AccessControlList — Appendix 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OwnerID</w:t>
            </w:r>
          </w:p>
        </w:tc>
        <w:tc>
          <w:tcPr>
            <w:tcW w:type="pct" w:w="50%"/>
          </w:tcPr>
          <w:p>
            <w:r>
              <w:rPr>
                <w:rFonts w:ascii="Calibri" w:cs="Calibri" w:eastAsia="Calibri" w:hAnsi="Calibri"/>
                <w:b w:val="false"/>
                <w:bCs w:val="false"/>
                <w:i w:val="false"/>
                <w:iCs w:val="false"/>
                <w:strike w:val="false"/>
                <w:color w:val="000000"/>
                <w:sz w:val="19"/>
                <w:szCs w:val="19"/>
              </w:rPr>
              <w:t xml:space="preserve">The reader who created the note; notes are single-owner, not co-authored.</w:t>
            </w:r>
          </w:p>
        </w:tc>
      </w:tr>
      <w:tr>
        <w:tc>
          <w:tcPr>
            <w:tcW w:type="pct" w:w="50%"/>
          </w:tcPr>
          <w:p>
            <w:r>
              <w:rPr>
                <w:rFonts w:ascii="Calibri" w:cs="Calibri" w:eastAsia="Calibri" w:hAnsi="Calibri"/>
                <w:b w:val="false"/>
                <w:bCs w:val="false"/>
                <w:i w:val="false"/>
                <w:iCs w:val="false"/>
                <w:strike w:val="false"/>
                <w:color w:val="000000"/>
                <w:sz w:val="19"/>
                <w:szCs w:val="19"/>
              </w:rPr>
              <w:t xml:space="preserve">BookID / ChapterID / PageID</w:t>
            </w:r>
          </w:p>
        </w:tc>
        <w:tc>
          <w:tcPr>
            <w:tcW w:type="pct" w:w="50%"/>
          </w:tcPr>
          <w:p>
            <w:r>
              <w:rPr>
                <w:rFonts w:ascii="Calibri" w:cs="Calibri" w:eastAsia="Calibri" w:hAnsi="Calibri"/>
                <w:b w:val="false"/>
                <w:bCs w:val="false"/>
                <w:i w:val="false"/>
                <w:iCs w:val="false"/>
                <w:strike w:val="false"/>
                <w:color w:val="000000"/>
                <w:sz w:val="19"/>
                <w:szCs w:val="19"/>
              </w:rPr>
              <w:t xml:space="preserve">The location context, resolved through the same Fact Unit lineage already used for any content reference.</w:t>
            </w:r>
          </w:p>
        </w:tc>
      </w:tr>
      <w:tr>
        <w:tc>
          <w:tcPr>
            <w:tcW w:type="pct" w:w="50%"/>
          </w:tcPr>
          <w:p>
            <w:r>
              <w:rPr>
                <w:rFonts w:ascii="Calibri" w:cs="Calibri" w:eastAsia="Calibri" w:hAnsi="Calibri"/>
                <w:b w:val="false"/>
                <w:bCs w:val="false"/>
                <w:i w:val="false"/>
                <w:iCs w:val="false"/>
                <w:strike w:val="false"/>
                <w:color w:val="000000"/>
                <w:sz w:val="19"/>
                <w:szCs w:val="19"/>
              </w:rPr>
              <w:t xml:space="preserve">AnchorType</w:t>
            </w:r>
          </w:p>
        </w:tc>
        <w:tc>
          <w:tcPr>
            <w:tcW w:type="pct" w:w="50%"/>
          </w:tcPr>
          <w:p>
            <w:r>
              <w:rPr>
                <w:rFonts w:ascii="Calibri" w:cs="Calibri" w:eastAsia="Calibri" w:hAnsi="Calibri"/>
                <w:b w:val="false"/>
                <w:bCs w:val="false"/>
                <w:i w:val="false"/>
                <w:iCs w:val="false"/>
                <w:strike w:val="false"/>
                <w:color w:val="000000"/>
                <w:sz w:val="19"/>
                <w:szCs w:val="19"/>
              </w:rPr>
              <w:t xml:space="preserve">PARAGRAPH, SENTENCE, DIAGRAM, or VR_SCENE — see §63.2.</w:t>
            </w:r>
          </w:p>
        </w:tc>
      </w:tr>
      <w:tr>
        <w:tc>
          <w:tcPr>
            <w:tcW w:type="pct" w:w="50%"/>
          </w:tcPr>
          <w:p>
            <w:r>
              <w:rPr>
                <w:rFonts w:ascii="Calibri" w:cs="Calibri" w:eastAsia="Calibri" w:hAnsi="Calibri"/>
                <w:b w:val="false"/>
                <w:bCs w:val="false"/>
                <w:i w:val="false"/>
                <w:iCs w:val="false"/>
                <w:strike w:val="false"/>
                <w:color w:val="000000"/>
                <w:sz w:val="19"/>
                <w:szCs w:val="19"/>
              </w:rPr>
              <w:t xml:space="preserve">AnchorPosition</w:t>
            </w:r>
          </w:p>
        </w:tc>
        <w:tc>
          <w:tcPr>
            <w:tcW w:type="pct" w:w="50%"/>
          </w:tcPr>
          <w:p>
            <w:r>
              <w:rPr>
                <w:rFonts w:ascii="Calibri" w:cs="Calibri" w:eastAsia="Calibri" w:hAnsi="Calibri"/>
                <w:b w:val="false"/>
                <w:bCs w:val="false"/>
                <w:i w:val="false"/>
                <w:iCs w:val="false"/>
                <w:strike w:val="false"/>
                <w:color w:val="000000"/>
                <w:sz w:val="19"/>
                <w:szCs w:val="19"/>
              </w:rPr>
              <w:t xml:space="preserve">A pointer into the anchored content: a paragraph/sentence offset, a diagram region, or a Tour Waypoint reference (§46.9) for VR_SCENE anchors.</w:t>
            </w:r>
          </w:p>
        </w:tc>
      </w:tr>
      <w:tr>
        <w:tc>
          <w:tcPr>
            <w:tcW w:type="pct" w:w="50%"/>
          </w:tcPr>
          <w:p>
            <w:r>
              <w:rPr>
                <w:rFonts w:ascii="Calibri" w:cs="Calibri" w:eastAsia="Calibri" w:hAnsi="Calibri"/>
                <w:b w:val="false"/>
                <w:bCs w:val="false"/>
                <w:i w:val="false"/>
                <w:iCs w:val="false"/>
                <w:strike w:val="false"/>
                <w:color w:val="000000"/>
                <w:sz w:val="19"/>
                <w:szCs w:val="19"/>
              </w:rPr>
              <w:t xml:space="preserve">Color</w:t>
            </w:r>
          </w:p>
        </w:tc>
        <w:tc>
          <w:tcPr>
            <w:tcW w:type="pct" w:w="50%"/>
          </w:tcPr>
          <w:p>
            <w:r>
              <w:rPr>
                <w:rFonts w:ascii="Calibri" w:cs="Calibri" w:eastAsia="Calibri" w:hAnsi="Calibri"/>
                <w:b w:val="false"/>
                <w:bCs w:val="false"/>
                <w:i w:val="false"/>
                <w:iCs w:val="false"/>
                <w:strike w:val="false"/>
                <w:color w:val="000000"/>
                <w:sz w:val="19"/>
                <w:szCs w:val="19"/>
              </w:rPr>
              <w:t xml:space="preserve">One of a fixed palette (yellow, blue, green, pink, purple); cosmetic only, carries no semantic weight.</w:t>
            </w:r>
          </w:p>
        </w:tc>
      </w:tr>
      <w:tr>
        <w:tc>
          <w:tcPr>
            <w:tcW w:type="pct" w:w="50%"/>
          </w:tcPr>
          <w:p>
            <w:r>
              <w:rPr>
                <w:rFonts w:ascii="Calibri" w:cs="Calibri" w:eastAsia="Calibri" w:hAnsi="Calibri"/>
                <w:b w:val="false"/>
                <w:bCs w:val="false"/>
                <w:i w:val="false"/>
                <w:iCs w:val="false"/>
                <w:strike w:val="false"/>
                <w:color w:val="000000"/>
                <w:sz w:val="19"/>
                <w:szCs w:val="19"/>
              </w:rPr>
              <w:t xml:space="preserve">Tags</w:t>
            </w:r>
          </w:p>
        </w:tc>
        <w:tc>
          <w:tcPr>
            <w:tcW w:type="pct" w:w="50%"/>
          </w:tcPr>
          <w:p>
            <w:r>
              <w:rPr>
                <w:rFonts w:ascii="Calibri" w:cs="Calibri" w:eastAsia="Calibri" w:hAnsi="Calibri"/>
                <w:b w:val="false"/>
                <w:bCs w:val="false"/>
                <w:i w:val="false"/>
                <w:iCs w:val="false"/>
                <w:strike w:val="false"/>
                <w:color w:val="000000"/>
                <w:sz w:val="19"/>
                <w:szCs w:val="19"/>
              </w:rPr>
              <w:t xml:space="preserve">Free-text labels the reader assigns; not a controlled vocabulary, since a note's organization is the reader's own.</w:t>
            </w:r>
          </w:p>
        </w:tc>
      </w:tr>
      <w:tr>
        <w:tc>
          <w:tcPr>
            <w:tcW w:type="pct" w:w="50%"/>
          </w:tcPr>
          <w:p>
            <w:r>
              <w:rPr>
                <w:rFonts w:ascii="Calibri" w:cs="Calibri" w:eastAsia="Calibri" w:hAnsi="Calibri"/>
                <w:b w:val="false"/>
                <w:bCs w:val="false"/>
                <w:i w:val="false"/>
                <w:iCs w:val="false"/>
                <w:strike w:val="false"/>
                <w:color w:val="000000"/>
                <w:sz w:val="19"/>
                <w:szCs w:val="19"/>
              </w:rPr>
              <w:t xml:space="preserve">Content</w:t>
            </w:r>
          </w:p>
        </w:tc>
        <w:tc>
          <w:tcPr>
            <w:tcW w:type="pct" w:w="50%"/>
          </w:tcPr>
          <w:p>
            <w:r>
              <w:rPr>
                <w:rFonts w:ascii="Calibri" w:cs="Calibri" w:eastAsia="Calibri" w:hAnsi="Calibri"/>
                <w:b w:val="false"/>
                <w:bCs w:val="false"/>
                <w:i w:val="false"/>
                <w:iCs w:val="false"/>
                <w:strike w:val="false"/>
                <w:color w:val="000000"/>
                <w:sz w:val="19"/>
                <w:szCs w:val="19"/>
              </w:rPr>
              <w:t xml:space="preserve">The note's text body.</w:t>
            </w:r>
          </w:p>
        </w:tc>
      </w:tr>
      <w:tr>
        <w:tc>
          <w:tcPr>
            <w:tcW w:type="pct" w:w="50%"/>
          </w:tcPr>
          <w:p>
            <w:r>
              <w:rPr>
                <w:rFonts w:ascii="Calibri" w:cs="Calibri" w:eastAsia="Calibri" w:hAnsi="Calibri"/>
                <w:b w:val="false"/>
                <w:bCs w:val="false"/>
                <w:i w:val="false"/>
                <w:iCs w:val="false"/>
                <w:strike w:val="false"/>
                <w:color w:val="000000"/>
                <w:sz w:val="19"/>
                <w:szCs w:val="19"/>
              </w:rPr>
              <w:t xml:space="preserve">SharingMode</w:t>
            </w:r>
          </w:p>
        </w:tc>
        <w:tc>
          <w:tcPr>
            <w:tcW w:type="pct" w:w="50%"/>
          </w:tcPr>
          <w:p>
            <w:r>
              <w:rPr>
                <w:rFonts w:ascii="Calibri" w:cs="Calibri" w:eastAsia="Calibri" w:hAnsi="Calibri"/>
                <w:b w:val="false"/>
                <w:bCs w:val="false"/>
                <w:i w:val="false"/>
                <w:iCs w:val="false"/>
                <w:strike w:val="false"/>
                <w:color w:val="000000"/>
                <w:sz w:val="19"/>
                <w:szCs w:val="19"/>
              </w:rPr>
              <w:t xml:space="preserve">PRIVATE (default), CLASS, GROUP, or PUBLIC — see §63.4.</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63.2 Anchoring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 attaches to one of four anchor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Paragraph or Sentence Anchor — a position within the book's own text Fact Units, resolved the same way any other text-level citation in this Bible 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Diagram Anchor — a region within an Image-modality Fact Unit (§4.2).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Anchor — a specific Tour Waypoint (§46.9) or a volumetric object within an IQR scene (Chapter 46), letting a reader annotate a specific moment or object in a 3D experience the same way they would a paragraph in text.</w:t>
      </w:r>
    </w:p>
    <w:p>
      <w:pPr>
        <w:pStyle w:val="Heading2"/>
        <w:spacing w:after="120" w:before="240" w:line="288" w:lineRule="auto"/>
      </w:pPr>
      <w:r>
        <w:rPr>
          <w:rFonts w:ascii="Calibri" w:cs="Calibri" w:eastAsia="Calibri" w:hAnsi="Calibri"/>
          <w:color w:val="000000"/>
          <w:sz w:val="36"/>
          <w:szCs w:val="36"/>
        </w:rPr>
        <w:t xml:space="preserve">63.3 Sync and Offline Behavior</w:t>
      </w:r>
    </w:p>
    <w:p>
      <w:pPr>
        <w:spacing w:after="120" w:line="360" w:lineRule="auto"/>
      </w:pPr>
      <w:r>
        <w:rPr>
          <w:rFonts w:ascii="Calibri" w:cs="Calibri" w:eastAsia="Calibri" w:hAnsi="Calibri"/>
          <w:b w:val="false"/>
          <w:bCs w:val="false"/>
          <w:i w:val="false"/>
          <w:iCs w:val="false"/>
          <w:strike w:val="false"/>
          <w:color w:val="000000"/>
          <w:sz w:val="22"/>
          <w:szCs w:val="22"/>
        </w:rPr>
        <w:t xml:space="preserve">Notes sync across a reader's devices through the same Provenance Ledger mechanism already specified for versioned Fact Units generally (Chapter 5) — a note edit is a new version in that Fact Unit's VersionChain, not a separate sync protocol. A note created while offline is queued locally and reconciled on reconnection using the same last-write-wins-with-history pattern already implicit in the VersionChain model; a genuine simultaneous edit conflict (the same note edited offline on two devices before either synced) preserves both versions in the chain rather than silently discarding one, consistent with this Bible's general position that provenance history is never destroyed for convenience.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DESIGN TARGET, NOT YET VALIDATED</w:t>
            </w:r>
            <w:r>
              <w:rPr>
                <w:rFonts w:ascii="Calibri" w:cs="Calibri" w:eastAsia="Calibri" w:hAnsi="Calibri"/>
                <w:b/>
                <w:bCs/>
                <w:i w:val="false"/>
                <w:iCs w:val="false"/>
                <w:strike w:val="false"/>
                <w:color w:val="333333"/>
                <w:sz w:val="24"/>
                <w:szCs w:val="24"/>
              </w:rPr>
              <w:t xml:space="preserve">“Instant” sync, as a latency claim, has not been benchmarked and should not be cited as a performance guarantee until it has — consistent with how this Bible already treats unvalidated latency and throughput figures elsewhere (Appendix C, §C.11; §44.5). The sync mechanism itself (Provenance Ledger versioning) is real and already specified; the specific speed of propagation is not yet a measured number.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63.4 Sharing and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 note's SharingMode field determines its visibility, using the same AccessControlList pattern (Appendix A) already governing every other Fact Unit's visibility — not a separate permissions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(default) — visible only to the note's owner. This is not merely a UI default; it is enforced the same way any other access-restricted Fact Unit is, at the Safety Substrate layer (Chapter 8), not by client-side filtering alone.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 — visible to the owner and the instructor of a class the owner is enrolled in (§52.13, Chapter 62's event and class concepts), for notes explicitly shared into that context.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GROUP — visible to a reader-defined set of other readers, using the same AccessControlList mechanism scoped to a specific list of identities rather than a class or the public.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PUBLIC — visible broadly, subject to the same moderation and Safety Substrate review as any other reader-generated content surfaced to other users (Social Annotations, §52.13.2.1, already establishes this precedent).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access guarantees are stated explicitly, not left implicit: an author cannot view a reader's private notes about that author's own book, and a publisher cannot view any reader's notes regardless of sharing mode. Both are enforced as AccessControlList exclusions at the Safety Substrate layer, not merely a policy statement — the same enforcement discipline already applied to every other access boundary in this Bible.</w:t>
      </w:r>
    </w:p>
    <w:p>
      <w:pPr>
        <w:pStyle w:val="Heading2"/>
        <w:spacing w:after="120" w:before="240" w:line="288" w:lineRule="auto"/>
      </w:pPr>
      <w:r>
        <w:rPr>
          <w:rFonts w:ascii="Calibri" w:cs="Calibri" w:eastAsia="Calibri" w:hAnsi="Calibri"/>
          <w:color w:val="000000"/>
          <w:sz w:val="36"/>
          <w:szCs w:val="36"/>
        </w:rPr>
        <w:t xml:space="preserve">63.5 Instructor and Class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note's SharingMode is CLASS, an instructor can view it through the class context established by Chapter 62's event model, and a reader may optionally attach a note to a specific assignment or Comprehension Check (§52.13.2) as supporting work — the note remains the same Fact Unit; attachment to an assignment is an additional reference, not a copy. A CLASS-shared note may be surfaced as a Discussion Mode (§52.13.3) prompt at instructor discretion, reusing that mode's existing bounded-analysis behavior rather than a separate note-to-discussion pipeline.</w:t>
      </w:r>
    </w:p>
    <w:p>
      <w:pPr>
        <w:pStyle w:val="Heading2"/>
        <w:spacing w:after="120" w:before="240" w:line="288" w:lineRule="auto"/>
      </w:pPr>
      <w:r>
        <w:rPr>
          <w:rFonts w:ascii="Calibri" w:cs="Calibri" w:eastAsia="Calibri" w:hAnsi="Calibri"/>
          <w:color w:val="000000"/>
          <w:sz w:val="36"/>
          <w:szCs w:val="36"/>
        </w:rPr>
        <w:t xml:space="preserve">63.6 What This Chapter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source specification for this system referenced sharing notes to “message boards.” Message boards are not yet specified anywhere in this Bible — PUBLIC-mode notes (§63.4) are specified as visible broadly, but a dedicated message-board subsystem (threaded discussion, upvoting, moderation queues beyond the Safety Substrate's existing review) would be new architecture this chapter does not build. If that capability is wanted, it should be specified on its own terms rather than assumed as a side effect of this chapter.</w:t>
      </w:r>
    </w:p>
    <w:p>
      <w:pPr>
        <w:pStyle w:val="Heading2"/>
        <w:spacing w:after="120" w:before="240" w:line="288" w:lineRule="auto"/>
      </w:pPr>
      <w:r>
        <w:rPr>
          <w:rFonts w:ascii="Calibri" w:cs="Calibri" w:eastAsia="Calibri" w:hAnsi="Calibri"/>
          <w:color w:val="000000"/>
          <w:sz w:val="36"/>
          <w:szCs w:val="36"/>
        </w:rPr>
        <w:t xml:space="preserve">63.7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Multimodal Ingestion Pipeline (Chapter 4, for Diagram anchors), Tour and Exhibition Mode (§46.9, for VR Scene anchors), and the Interactive Mode Registry's Social Annotations precedent (§52.13.2.1).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Personal Notes are specified here in full: a Fact Unit schema with four anchor types, sync through the existing Provenance Ledger rather than a new protocol, and four sharing modes enforced at the Safety Substrate layer — including an explicit guarantee that neither an author nor a publisher can view a reader's private notes. No new storage, sync, or permissions architecture was introduced; this chapter specifies note-specific behavior on top of what this Bible already has.</w:t>
      </w:r>
    </w:p>
    <w:p>
      <w:pPr>
        <w:pStyle w:val="Heading1"/>
        <w:spacing w:after="120" w:before="240" w:line="288" w:lineRule="auto"/>
      </w:pPr>
      <w:r>
        <w:rPr>
          <w:rFonts w:ascii="Calibri" w:cs="Calibri" w:eastAsia="Calibri" w:hAnsi="Calibri"/>
          <w:color w:val="000000"/>
          <w:sz w:val="48"/>
          <w:szCs w:val="48"/>
        </w:rPr>
        <w:t xml:space="preserve">Chapter 64: Message Board System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reader, author, instructor, and publisher discussion system this Bible was missing — the gap explicitly named as out of scope in Chapter 63 (§63.6). It defines book-level boards, chapter-level boards, class boards, and announcement boards, with threads, posts, moderation, and a direct conversion path from a Personal Note (Chapter 63) into a shareable thread.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SCHEMA, PERMISSIONS, AND MODERATION</w:t>
            </w:r>
            <w:r>
              <w:rPr>
                <w:rFonts w:ascii="Calibri" w:cs="Calibri" w:eastAsia="Calibri" w:hAnsi="Calibri"/>
                <w:b/>
                <w:bCs/>
                <w:i w:val="false"/>
                <w:iCs w:val="false"/>
                <w:strike w:val="false"/>
                <w:color w:val="333333"/>
                <w:sz w:val="24"/>
                <w:szCs w:val="24"/>
              </w:rPr>
              <w:t xml:space="preserve">A board, thread, and post are each Fact Units (Appendix A's schema), not new object types. Permissions reuse the AccessControlList pattern already governing every other Fact Unit. Moderation actions route through the Safety Substrate (Chapter 8) the same way any other content-affecting action in this Bible does. This chapter does not build a new Territory Registry — regional board visibility reuses the regional capability concept already established for distribution routing in Chapter 60 (§60.4), scoped down to what a discussion board actually needs, not the full distribution-territory system a much larger, separately-declined specification proposed.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64.1 Board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book carries four board types, each a Fact Bundle scoped to the book: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Board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Purpose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Who Can Post</w:t>
            </w:r>
          </w:p>
        </w:tc>
      </w:tr>
      <w:tr>
        <w:tc>
          <w:tcPr>
            <w:tcW w:type="pct" w:w="33%"/>
          </w:tcPr>
          <w:p>
            <w:r>
              <w:rPr>
                <w:rFonts w:ascii="Calibri" w:cs="Calibri" w:eastAsia="Calibri" w:hAnsi="Calibri"/>
                <w:b w:val="false"/>
                <w:bCs w:val="false"/>
                <w:i w:val="false"/>
                <w:iCs w:val="false"/>
                <w:strike w:val="false"/>
                <w:color w:val="000000"/>
                <w:sz w:val="19"/>
                <w:szCs w:val="19"/>
              </w:rPr>
              <w:t xml:space="preserve">Book Board</w:t>
            </w:r>
          </w:p>
        </w:tc>
        <w:tc>
          <w:tcPr>
            <w:tcW w:type="pct" w:w="33%"/>
          </w:tcPr>
          <w:p>
            <w:r>
              <w:rPr>
                <w:rFonts w:ascii="Calibri" w:cs="Calibri" w:eastAsia="Calibri" w:hAnsi="Calibri"/>
                <w:b w:val="false"/>
                <w:bCs w:val="false"/>
                <w:i w:val="false"/>
                <w:iCs w:val="false"/>
                <w:strike w:val="false"/>
                <w:color w:val="000000"/>
                <w:sz w:val="19"/>
                <w:szCs w:val="19"/>
              </w:rPr>
              <w:t xml:space="preserve">Global discussion for the entire book.</w:t>
            </w:r>
          </w:p>
        </w:tc>
        <w:tc>
          <w:tcPr>
            <w:tcW w:type="pct" w:w="33%"/>
          </w:tcPr>
          <w:p>
            <w:r>
              <w:rPr>
                <w:rFonts w:ascii="Calibri" w:cs="Calibri" w:eastAsia="Calibri" w:hAnsi="Calibri"/>
                <w:b w:val="false"/>
                <w:bCs w:val="false"/>
                <w:i w:val="false"/>
                <w:iCs w:val="false"/>
                <w:strike w:val="false"/>
                <w:color w:val="000000"/>
                <w:sz w:val="19"/>
                <w:szCs w:val="19"/>
              </w:rPr>
              <w:t xml:space="preserve">Any reader with access to the book.</w:t>
            </w:r>
          </w:p>
        </w:tc>
      </w:tr>
      <w:tr>
        <w:tc>
          <w:tcPr>
            <w:tcW w:type="pct" w:w="33%"/>
          </w:tcPr>
          <w:p>
            <w:r>
              <w:rPr>
                <w:rFonts w:ascii="Calibri" w:cs="Calibri" w:eastAsia="Calibri" w:hAnsi="Calibri"/>
                <w:b w:val="false"/>
                <w:bCs w:val="false"/>
                <w:i w:val="false"/>
                <w:iCs w:val="false"/>
                <w:strike w:val="false"/>
                <w:color w:val="000000"/>
                <w:sz w:val="19"/>
                <w:szCs w:val="19"/>
              </w:rPr>
              <w:t xml:space="preserve">Chapter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one chapter.</w:t>
            </w:r>
          </w:p>
        </w:tc>
        <w:tc>
          <w:tcPr>
            <w:tcW w:type="pct" w:w="33%"/>
          </w:tcPr>
          <w:p>
            <w:r>
              <w:rPr>
                <w:rFonts w:ascii="Calibri" w:cs="Calibri" w:eastAsia="Calibri" w:hAnsi="Calibri"/>
                <w:b w:val="false"/>
                <w:bCs w:val="false"/>
                <w:i w:val="false"/>
                <w:iCs w:val="false"/>
                <w:strike w:val="false"/>
                <w:color w:val="000000"/>
                <w:sz w:val="19"/>
                <w:szCs w:val="19"/>
              </w:rPr>
              <w:t xml:space="preserve">Any reader who has reached that chapter, per the same Progress Monitor tracking already specified (§52.13.2).</w:t>
            </w:r>
          </w:p>
        </w:tc>
      </w:tr>
      <w:tr>
        <w:tc>
          <w:tcPr>
            <w:tcW w:type="pct" w:w="33%"/>
          </w:tcPr>
          <w:p>
            <w:r>
              <w:rPr>
                <w:rFonts w:ascii="Calibri" w:cs="Calibri" w:eastAsia="Calibri" w:hAnsi="Calibri"/>
                <w:b w:val="false"/>
                <w:bCs w:val="false"/>
                <w:i w:val="false"/>
                <w:iCs w:val="false"/>
                <w:strike w:val="false"/>
                <w:color w:val="000000"/>
                <w:sz w:val="19"/>
                <w:szCs w:val="19"/>
              </w:rPr>
              <w:t xml:space="preserve">Class Board</w:t>
            </w:r>
          </w:p>
        </w:tc>
        <w:tc>
          <w:tcPr>
            <w:tcW w:type="pct" w:w="33%"/>
          </w:tcPr>
          <w:p>
            <w:r>
              <w:rPr>
                <w:rFonts w:ascii="Calibri" w:cs="Calibri" w:eastAsia="Calibri" w:hAnsi="Calibri"/>
                <w:b w:val="false"/>
                <w:bCs w:val="false"/>
                <w:i w:val="false"/>
                <w:iCs w:val="false"/>
                <w:strike w:val="false"/>
                <w:color w:val="000000"/>
                <w:sz w:val="19"/>
                <w:szCs w:val="19"/>
              </w:rPr>
              <w:t xml:space="preserve">Discussion scoped to a class created via Chapter 62's event model.</w:t>
            </w:r>
          </w:p>
        </w:tc>
        <w:tc>
          <w:tcPr>
            <w:tcW w:type="pct" w:w="33%"/>
          </w:tcPr>
          <w:p>
            <w:r>
              <w:rPr>
                <w:rFonts w:ascii="Calibri" w:cs="Calibri" w:eastAsia="Calibri" w:hAnsi="Calibri"/>
                <w:b w:val="false"/>
                <w:bCs w:val="false"/>
                <w:i w:val="false"/>
                <w:iCs w:val="false"/>
                <w:strike w:val="false"/>
                <w:color w:val="000000"/>
                <w:sz w:val="19"/>
                <w:szCs w:val="19"/>
              </w:rPr>
              <w:t xml:space="preserve">Enrolled readers and the hosting author/instructor.</w:t>
            </w:r>
          </w:p>
        </w:tc>
      </w:tr>
      <w:tr>
        <w:tc>
          <w:tcPr>
            <w:tcW w:type="pct" w:w="33%"/>
          </w:tcPr>
          <w:p>
            <w:r>
              <w:rPr>
                <w:rFonts w:ascii="Calibri" w:cs="Calibri" w:eastAsia="Calibri" w:hAnsi="Calibri"/>
                <w:b w:val="false"/>
                <w:bCs w:val="false"/>
                <w:i w:val="false"/>
                <w:iCs w:val="false"/>
                <w:strike w:val="false"/>
                <w:color w:val="000000"/>
                <w:sz w:val="19"/>
                <w:szCs w:val="19"/>
              </w:rPr>
              <w:t xml:space="preserve">Announcement Board</w:t>
            </w:r>
          </w:p>
        </w:tc>
        <w:tc>
          <w:tcPr>
            <w:tcW w:type="pct" w:w="33%"/>
          </w:tcPr>
          <w:p>
            <w:r>
              <w:rPr>
                <w:rFonts w:ascii="Calibri" w:cs="Calibri" w:eastAsia="Calibri" w:hAnsi="Calibri"/>
                <w:b w:val="false"/>
                <w:bCs w:val="false"/>
                <w:i w:val="false"/>
                <w:iCs w:val="false"/>
                <w:strike w:val="false"/>
                <w:color w:val="000000"/>
                <w:sz w:val="19"/>
                <w:szCs w:val="19"/>
              </w:rPr>
              <w:t xml:space="preserve">Author and publisher posts only; readers can view and react but not start threads.</w:t>
            </w:r>
          </w:p>
        </w:tc>
        <w:tc>
          <w:tcPr>
            <w:tcW w:type="pct" w:w="33%"/>
          </w:tcPr>
          <w:p>
            <w:r>
              <w:rPr>
                <w:rFonts w:ascii="Calibri" w:cs="Calibri" w:eastAsia="Calibri" w:hAnsi="Calibri"/>
                <w:b w:val="false"/>
                <w:bCs w:val="false"/>
                <w:i w:val="false"/>
                <w:iCs w:val="false"/>
                <w:strike w:val="false"/>
                <w:color w:val="000000"/>
                <w:sz w:val="19"/>
                <w:szCs w:val="19"/>
              </w:rPr>
              <w:t xml:space="preserve">Author or publisher of the book.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64.2 Thread and Post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thread is a Fact Unit with a title, tags, a creator, and pinned/locked state. A post is a Fact Unit with content, optional attachments, and a reply relationship to its parent thread or post — the same InputFUIDs lineage mechanism already used to express any Fact Unit relationship (Appendix A), not a new reply-chain data structure. Attachments reuse existing Fact Unit types directly: an inline diagram is an Image-modality Fact Unit (§4.2), an inline VR scene reference is a Tour Waypoint or IQR scene reference (Chapter 46), and an inline Q&amp;A reference points to an existing Interactive Mode Registry Q&amp;A exchange (§52.13.2) rather than duplicating its content into the post.</w:t>
      </w:r>
    </w:p>
    <w:p>
      <w:pPr>
        <w:pStyle w:val="Heading2"/>
        <w:spacing w:after="120" w:before="240" w:line="288" w:lineRule="auto"/>
      </w:pPr>
      <w:r>
        <w:rPr>
          <w:rFonts w:ascii="Calibri" w:cs="Calibri" w:eastAsia="Calibri" w:hAnsi="Calibri"/>
          <w:color w:val="000000"/>
          <w:sz w:val="36"/>
          <w:szCs w:val="36"/>
        </w:rPr>
        <w:t xml:space="preserve">64.3 Permissions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permissions extend the same role concepts already established elsewhere in this Bible — Author (Chapters 61–63), Instructor (Chapter 62's class events), Publisher (Chapter 60), and a new Partner role for the external distribution and vendor connectors already registered under §49.3.3, given limited moderation scope on boards their organization is associated with: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can create posts, reply, and upvote on any board they have access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Authors can create threads, pin, lock, and moderate on boards for their own books.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Instructors can moderate Class Boards for classes they host, per Chapter 62's event ownership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Publishers can moderate Announcement Boards for books they publish.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Partners have moderation limited to content directly referencing their own registered connector or distribution relationship, not general board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permission above is enforced as an AccessControlList rule at the Safety Substrate layer, the same enforcement discipline already applied to Chapter 63's note-sharing modes — not a separate permissions engine.</w:t>
      </w:r>
    </w:p>
    <w:p>
      <w:pPr>
        <w:pStyle w:val="Heading2"/>
        <w:spacing w:after="120" w:before="240" w:line="288" w:lineRule="auto"/>
      </w:pPr>
      <w:r>
        <w:rPr>
          <w:rFonts w:ascii="Calibri" w:cs="Calibri" w:eastAsia="Calibri" w:hAnsi="Calibri"/>
          <w:color w:val="000000"/>
          <w:sz w:val="36"/>
          <w:szCs w:val="36"/>
        </w:rPr>
        <w:t xml:space="preserve">64.4 Moderation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Flagging, hiding, banning, locking, and archiving are Safety Substrate-gated actions (Chapter 8), logged to the Provenance Ledger (Chapter 5) with the moderating identity and reason, the same audit discipline already required of every other enforcement action in this Bible. A flagged post is held for review, not automatically removed — consistent with how a Safety Substrate finding elsewhere in this Bible surfaces for review rather than silently discarding content (§15.1's AEM chain-confidence disclosure is the same pattern applied to a different kind of content).</w:t>
      </w:r>
    </w:p>
    <w:p>
      <w:pPr>
        <w:pStyle w:val="Heading2"/>
        <w:spacing w:after="120" w:before="240" w:line="288" w:lineRule="auto"/>
      </w:pPr>
      <w:r>
        <w:rPr>
          <w:rFonts w:ascii="Calibri" w:cs="Calibri" w:eastAsia="Calibri" w:hAnsi="Calibri"/>
          <w:color w:val="000000"/>
          <w:sz w:val="36"/>
          <w:szCs w:val="36"/>
        </w:rPr>
        <w:t xml:space="preserve">64.5 Regional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board, or a specific thread, may be scoped to a region — reusing the regional capability declaration already specified for distribution connectors (§60.4), not a new geographic system. This supports the class and organizational use case (a board visible only to a specific institution's readers) without requiring the full territory, pricing, and rights-conflict-resolution machinery a separately-declined specification proposed for distribution generally. If broader territory-based content licensing is wanted later, it should be specified on its own terms against real requirements, not inherited from a board-visibility feature that only needed a narrower slice of the concept.</w:t>
      </w:r>
    </w:p>
    <w:p>
      <w:pPr>
        <w:pStyle w:val="Heading2"/>
        <w:spacing w:after="120" w:before="240" w:line="288" w:lineRule="auto"/>
      </w:pPr>
      <w:r>
        <w:rPr>
          <w:rFonts w:ascii="Calibri" w:cs="Calibri" w:eastAsia="Calibri" w:hAnsi="Calibri"/>
          <w:color w:val="000000"/>
          <w:sz w:val="36"/>
          <w:szCs w:val="36"/>
        </w:rPr>
        <w:t xml:space="preserve">64.6 Integration with Personal Notes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convert a Personal Note (Chapter 63) into a board thread or post: the note's content becomes the thread or post body, and its SharingMode (§63.4) governs which board it can be shared to — a PRIVATE note cannot be shared to any board without the reader first changing its SharingMode, closing the gap Chapter 63 explicitly left open (§63.6). The note itself is not duplicated; the resulting thread or post carries an InputFUIDs reference back to the originating note, preserving the same fact-traceability lineage every other derived QueryBook output already carries.</w:t>
      </w:r>
    </w:p>
    <w:p>
      <w:pPr>
        <w:pStyle w:val="Heading2"/>
        <w:spacing w:after="120" w:before="240" w:line="288" w:lineRule="auto"/>
      </w:pPr>
      <w:r>
        <w:rPr>
          <w:rFonts w:ascii="Calibri" w:cs="Calibri" w:eastAsia="Calibri" w:hAnsi="Calibri"/>
          <w:color w:val="000000"/>
          <w:sz w:val="36"/>
          <w:szCs w:val="36"/>
        </w:rPr>
        <w:t xml:space="preserve">64.7 Integration with Author-Hosted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 created under Chapter 62 automatically gets an associated Event Thread on the relevant Class or Book Board, supporting pre-event questions, live discussion during the event, and a recap thread afterward — all ordinary threads under this chapter's own model, distinguished only by an EventID reference back to the Chapter 62 event they're attached to, not a separate event-discussion subsystem.</w:t>
      </w:r>
    </w:p>
    <w:p>
      <w:pPr>
        <w:pStyle w:val="Heading2"/>
        <w:spacing w:after="120" w:before="240" w:line="288" w:lineRule="auto"/>
      </w:pPr>
      <w:r>
        <w:rPr>
          <w:rFonts w:ascii="Calibri" w:cs="Calibri" w:eastAsia="Calibri" w:hAnsi="Calibri"/>
          <w:color w:val="000000"/>
          <w:sz w:val="36"/>
          <w:szCs w:val="36"/>
        </w:rPr>
        <w:t xml:space="preserve">64.8 Search</w:t>
      </w:r>
    </w:p>
    <w:p>
      <w:pPr>
        <w:spacing w:after="120" w:line="360" w:lineRule="auto"/>
      </w:pPr>
      <w:r>
        <w:rPr>
          <w:rFonts w:ascii="Calibri" w:cs="Calibri" w:eastAsia="Calibri" w:hAnsi="Calibri"/>
          <w:b w:val="false"/>
          <w:bCs w:val="false"/>
          <w:i w:val="false"/>
          <w:iCs w:val="false"/>
          <w:strike w:val="false"/>
          <w:color w:val="000000"/>
          <w:sz w:val="22"/>
          <w:szCs w:val="22"/>
        </w:rPr>
        <w:t xml:space="preserve">Board search reuses the same semantic search capability already available for the book's own content (the Associative Recall Engine, §7.2.3) rather than a separate search index — a reader searching for a concept discussed on a board and a reader searching for that concept in the book's own text are served by the same underlying retrieval mechanism, scoped to include or exclude board content as the reader chooses.</w:t>
      </w:r>
    </w:p>
    <w:p>
      <w:pPr>
        <w:pStyle w:val="Heading2"/>
        <w:spacing w:after="120" w:before="240" w:line="288" w:lineRule="auto"/>
      </w:pPr>
      <w:r>
        <w:rPr>
          <w:rFonts w:ascii="Calibri" w:cs="Calibri" w:eastAsia="Calibri" w:hAnsi="Calibri"/>
          <w:color w:val="000000"/>
          <w:sz w:val="36"/>
          <w:szCs w:val="36"/>
        </w:rPr>
        <w:t xml:space="preserve">64.9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Associative Recall Engine (§7.2.3), Chapter 60's regional capability concept (§60.4), Chapter 62's event model, and Chapter 63's Personal Notes (specifically §63.4's SharingMode field). These are consumption dependencies; no component's specification is modified.</w:t>
      </w:r>
    </w:p>
    <w:p>
      <w:pPr>
        <w:pStyle w:val="Heading2"/>
        <w:spacing w:after="120" w:before="240" w:line="288" w:lineRule="auto"/>
      </w:pPr>
      <w:r>
        <w:rPr>
          <w:rFonts w:ascii="Calibri" w:cs="Calibri" w:eastAsia="Calibri" w:hAnsi="Calibri"/>
          <w:color w:val="000000"/>
          <w:sz w:val="36"/>
          <w:szCs w:val="36"/>
        </w:rPr>
        <w:t xml:space="preserve">64.10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Book, chapter, class, and announcement boards are specified here using existing Fact Unit schema, existing permissions enforcement, existing moderation gating through the Safety Substrate, and existing search — with one genuinely new integration point: a Personal Note can now become a shareable thread, closing the gap Chapter 63 left open. No new territory system, no new search index, and no new permissions engine were introduced to build this.</w:t>
      </w:r>
    </w:p>
    <w:p>
      <w:pPr>
        <w:pStyle w:val="Heading1"/>
        <w:spacing w:after="120" w:before="240" w:line="288" w:lineRule="auto"/>
      </w:pPr>
      <w:r>
        <w:rPr>
          <w:rFonts w:ascii="Calibri" w:cs="Calibri" w:eastAsia="Calibri" w:hAnsi="Calibri"/>
          <w:color w:val="000000"/>
          <w:sz w:val="48"/>
          <w:szCs w:val="48"/>
        </w:rPr>
        <w:t xml:space="preserve">Chapter 65: Portal Access and Role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formalizes something that has existed piecemeal since early in this Bible — a Reader Portal (§36.8), an Author-facing surface (Chapters 46, 61, 62), a Publisher-facing surface (Chapter 60), and a Partner concept (§49.3.3, §64.3) — into one coherent role model. It defines who can access what, and points to where each capability is already specified, rather than re-describing any of it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ROLE MODEL, NOT A NEW ACCESS ENGINE</w:t>
            </w:r>
            <w:r>
              <w:rPr>
                <w:rFonts w:ascii="Calibri" w:cs="Calibri" w:eastAsia="Calibri" w:hAnsi="Calibri"/>
                <w:b/>
                <w:bCs/>
                <w:i w:val="false"/>
                <w:iCs w:val="false"/>
                <w:strike w:val="false"/>
                <w:color w:val="333333"/>
                <w:sz w:val="24"/>
                <w:szCs w:val="24"/>
              </w:rPr>
              <w:t xml:space="preserve">This chapter introduces no new authentication mechanism, no new permissions engine, and no new portal UI framework. Every access decision it describes is enforced through the AccessControlList pattern (Appendix A) and the Safety Substrate (Chapter 8) already governing every other Fact Unit and action in this Bible. What this chapter adds is the vocabulary and the map: which role gets which access, and which existing chapter specifies the actual capability.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65.1 License Owner as the Umbrella Identity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authenticated identity in QueryBook is a License Owner — the holder of a license to some QueryBook product, whether that license grants reading access, authoring tools, publishing tools, or a registered distribution relationship. A License Owner's specific access is determined by one or more Roles (§65.2) attached to their identity, not by License Owner status alone; holding a license is necessary but not sufficient for any specific capability — the Role determines what that license actually unlocks.</w:t>
      </w:r>
    </w:p>
    <w:p>
      <w:pPr>
        <w:pStyle w:val="Heading2"/>
        <w:spacing w:after="120" w:before="240" w:line="288" w:lineRule="auto"/>
      </w:pPr>
      <w:r>
        <w:rPr>
          <w:rFonts w:ascii="Calibri" w:cs="Calibri" w:eastAsia="Calibri" w:hAnsi="Calibri"/>
          <w:color w:val="000000"/>
          <w:sz w:val="36"/>
          <w:szCs w:val="36"/>
        </w:rPr>
        <w:t xml:space="preserve">65.2 The Four Roles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Primary Portal Surface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Specified In</w:t>
            </w:r>
          </w:p>
        </w:tc>
      </w:tr>
      <w:tr>
        <w:tc>
          <w:tcPr>
            <w:tcW w:type="pct" w:w="33%"/>
          </w:tcPr>
          <w:p>
            <w:r>
              <w:rPr>
                <w:rFonts w:ascii="Calibri" w:cs="Calibri" w:eastAsia="Calibri" w:hAnsi="Calibri"/>
                <w:b w:val="false"/>
                <w:bCs w:val="false"/>
                <w:i w:val="false"/>
                <w:iCs w:val="false"/>
                <w:strike w:val="false"/>
                <w:color w:val="000000"/>
                <w:sz w:val="19"/>
                <w:szCs w:val="19"/>
              </w:rPr>
              <w:t xml:space="preserve">Reader</w:t>
            </w:r>
          </w:p>
        </w:tc>
        <w:tc>
          <w:tcPr>
            <w:tcW w:type="pct" w:w="33%"/>
          </w:tcPr>
          <w:p>
            <w:r>
              <w:rPr>
                <w:rFonts w:ascii="Calibri" w:cs="Calibri" w:eastAsia="Calibri" w:hAnsi="Calibri"/>
                <w:b w:val="false"/>
                <w:bCs w:val="false"/>
                <w:i w:val="false"/>
                <w:iCs w:val="false"/>
                <w:strike w:val="false"/>
                <w:color w:val="000000"/>
                <w:sz w:val="19"/>
                <w:szCs w:val="19"/>
              </w:rPr>
              <w:t xml:space="preserve">Reader Portal</w:t>
            </w:r>
          </w:p>
        </w:tc>
        <w:tc>
          <w:tcPr>
            <w:tcW w:type="pct" w:w="33%"/>
          </w:tcPr>
          <w:p>
            <w:r>
              <w:rPr>
                <w:rFonts w:ascii="Calibri" w:cs="Calibri" w:eastAsia="Calibri" w:hAnsi="Calibri"/>
                <w:b w:val="false"/>
                <w:bCs w:val="false"/>
                <w:i w:val="false"/>
                <w:iCs w:val="false"/>
                <w:strike w:val="false"/>
                <w:color w:val="000000"/>
                <w:sz w:val="19"/>
                <w:szCs w:val="19"/>
              </w:rPr>
              <w:t xml:space="preserve">§36.8 (History Interface: Timeline, By-Book, Thematic Map, and Annotation Library views, ZKE-respecting); Chapter 46 (IQR); Chapter 63 (Personal Notes); Chapter 64 (Message Boards, reader-level permissions)</w:t>
            </w:r>
          </w:p>
        </w:tc>
      </w:tr>
      <w:tr>
        <w:tc>
          <w:tcPr>
            <w:tcW w:type="pct" w:w="33%"/>
          </w:tcPr>
          <w:p>
            <w:r>
              <w:rPr>
                <w:rFonts w:ascii="Calibri" w:cs="Calibri" w:eastAsia="Calibri" w:hAnsi="Calibri"/>
                <w:b w:val="false"/>
                <w:bCs w:val="false"/>
                <w:i w:val="false"/>
                <w:iCs w:val="false"/>
                <w:strike w:val="false"/>
                <w:color w:val="000000"/>
                <w:sz w:val="19"/>
                <w:szCs w:val="19"/>
              </w:rPr>
              <w:t xml:space="preserve">Author</w:t>
            </w:r>
          </w:p>
        </w:tc>
        <w:tc>
          <w:tcPr>
            <w:tcW w:type="pct" w:w="33%"/>
          </w:tcPr>
          <w:p>
            <w:r>
              <w:rPr>
                <w:rFonts w:ascii="Calibri" w:cs="Calibri" w:eastAsia="Calibri" w:hAnsi="Calibri"/>
                <w:b w:val="false"/>
                <w:bCs w:val="false"/>
                <w:i w:val="false"/>
                <w:iCs w:val="false"/>
                <w:strike w:val="false"/>
                <w:color w:val="000000"/>
                <w:sz w:val="19"/>
                <w:szCs w:val="19"/>
              </w:rPr>
              <w:t xml:space="preserve">Author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61 (Drafting Tools); §46.10 (Presenter Mode, subject to Author Authorization); Chapter 62 (Author-Hosted Events); §64.3 (thread/board moderation on own books)</w:t>
            </w:r>
          </w:p>
        </w:tc>
      </w:tr>
      <w:tr>
        <w:tc>
          <w:tcPr>
            <w:tcW w:type="pct" w:w="33%"/>
          </w:tcPr>
          <w:p>
            <w:r>
              <w:rPr>
                <w:rFonts w:ascii="Calibri" w:cs="Calibri" w:eastAsia="Calibri" w:hAnsi="Calibri"/>
                <w:b w:val="false"/>
                <w:bCs w:val="false"/>
                <w:i w:val="false"/>
                <w:iCs w:val="false"/>
                <w:strike w:val="false"/>
                <w:color w:val="000000"/>
                <w:sz w:val="19"/>
                <w:szCs w:val="19"/>
              </w:rPr>
              <w:t xml:space="preserve">Publisher</w:t>
            </w:r>
          </w:p>
        </w:tc>
        <w:tc>
          <w:tcPr>
            <w:tcW w:type="pct" w:w="33%"/>
          </w:tcPr>
          <w:p>
            <w:r>
              <w:rPr>
                <w:rFonts w:ascii="Calibri" w:cs="Calibri" w:eastAsia="Calibri" w:hAnsi="Calibri"/>
                <w:b w:val="false"/>
                <w:bCs w:val="false"/>
                <w:i w:val="false"/>
                <w:iCs w:val="false"/>
                <w:strike w:val="false"/>
                <w:color w:val="000000"/>
                <w:sz w:val="19"/>
                <w:szCs w:val="19"/>
              </w:rPr>
              <w:t xml:space="preserve">Publisher Portal</w:t>
            </w:r>
          </w:p>
        </w:tc>
        <w:tc>
          <w:tcPr>
            <w:tcW w:type="pct" w:w="33%"/>
          </w:tcPr>
          <w:p>
            <w:r>
              <w:rPr>
                <w:rFonts w:ascii="Calibri" w:cs="Calibri" w:eastAsia="Calibri" w:hAnsi="Calibri"/>
                <w:b w:val="false"/>
                <w:bCs w:val="false"/>
                <w:i w:val="false"/>
                <w:iCs w:val="false"/>
                <w:strike w:val="false"/>
                <w:color w:val="000000"/>
                <w:sz w:val="19"/>
                <w:szCs w:val="19"/>
              </w:rPr>
              <w:t xml:space="preserve">Chapter 60 (Submission Intake, Rights Validation Gate, Print and Distribution); §64.3 (Announcement Board moderation)</w:t>
            </w:r>
          </w:p>
        </w:tc>
      </w:tr>
      <w:tr>
        <w:tc>
          <w:tcPr>
            <w:tcW w:type="pct" w:w="33%"/>
          </w:tcPr>
          <w:p>
            <w:r>
              <w:rPr>
                <w:rFonts w:ascii="Calibri" w:cs="Calibri" w:eastAsia="Calibri" w:hAnsi="Calibri"/>
                <w:b w:val="false"/>
                <w:bCs w:val="false"/>
                <w:i w:val="false"/>
                <w:iCs w:val="false"/>
                <w:strike w:val="false"/>
                <w:color w:val="000000"/>
                <w:sz w:val="19"/>
                <w:szCs w:val="19"/>
              </w:rPr>
              <w:t xml:space="preserve">Partner</w:t>
            </w:r>
          </w:p>
        </w:tc>
        <w:tc>
          <w:tcPr>
            <w:tcW w:type="pct" w:w="33%"/>
          </w:tcPr>
          <w:p>
            <w:r>
              <w:rPr>
                <w:rFonts w:ascii="Calibri" w:cs="Calibri" w:eastAsia="Calibri" w:hAnsi="Calibri"/>
                <w:b w:val="false"/>
                <w:bCs w:val="false"/>
                <w:i w:val="false"/>
                <w:iCs w:val="false"/>
                <w:strike w:val="false"/>
                <w:color w:val="000000"/>
                <w:sz w:val="19"/>
                <w:szCs w:val="19"/>
              </w:rPr>
              <w:t xml:space="preserve">No dedicated portal — connector-scoped access only</w:t>
            </w:r>
          </w:p>
        </w:tc>
        <w:tc>
          <w:tcPr>
            <w:tcW w:type="pct" w:w="33%"/>
          </w:tcPr>
          <w:p>
            <w:r>
              <w:rPr>
                <w:rFonts w:ascii="Calibri" w:cs="Calibri" w:eastAsia="Calibri" w:hAnsi="Calibri"/>
                <w:b w:val="false"/>
                <w:bCs w:val="false"/>
                <w:i w:val="false"/>
                <w:iCs w:val="false"/>
                <w:strike w:val="false"/>
                <w:color w:val="000000"/>
                <w:sz w:val="19"/>
                <w:szCs w:val="19"/>
              </w:rPr>
              <w:t xml:space="preserve">§49.3.3 (Source Connector Registry — registration, not a UI surface); §64.3 (moderation limited to content referencing the partner's own connector)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 single License Owner may hold more than one Role — an author is also a reader of other authors' books, for instance — and each Role's access is evaluated independently through the same AccessControlList mechanism, not merged into a combined permission set that could accidentally grant more than either Role alone would.</w:t>
      </w:r>
    </w:p>
    <w:p>
      <w:pPr>
        <w:pStyle w:val="Heading2"/>
        <w:spacing w:after="120" w:before="240" w:line="288" w:lineRule="auto"/>
      </w:pPr>
      <w:r>
        <w:rPr>
          <w:rFonts w:ascii="Calibri" w:cs="Calibri" w:eastAsia="Calibri" w:hAnsi="Calibri"/>
          <w:color w:val="000000"/>
          <w:sz w:val="36"/>
          <w:szCs w:val="36"/>
        </w:rPr>
        <w:t xml:space="preserve">65.3 Instructor Is a Contextual Capability, Not a Fifth Role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in this Bible is a Reader or Author who has been granted event-hosting privileges for a specific class, through Chapter 62's event model — not a separate top-level Role with its own portal. This is a deliberate scoping decision: a class-hosting capability is naturally scoped to the class it applies to (an instructor for one class is not automatically an instructor for another), which fits Chapter 62's existing per-event ownership model directly, rather than requiring a fifth Role whose access would need the same per-class scoping bolted on separately.</w:t>
      </w:r>
    </w:p>
    <w:p>
      <w:pPr>
        <w:pStyle w:val="Heading2"/>
        <w:spacing w:after="120" w:before="240" w:line="288" w:lineRule="auto"/>
      </w:pPr>
      <w:r>
        <w:rPr>
          <w:rFonts w:ascii="Calibri" w:cs="Calibri" w:eastAsia="Calibri" w:hAnsi="Calibri"/>
          <w:color w:val="000000"/>
          <w:sz w:val="36"/>
          <w:szCs w:val="36"/>
        </w:rPr>
        <w:t xml:space="preserve">65.4 Cross-Portal Consistency</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 principles hold across all four Roles, stated once here rather than repeated in every chapter that references a Role: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access decision is an AccessControlList evaluation (Appendix A), enforced at the Safety Substrate layer (Chapter 8) — there is no portal-specific bypass, and no Role receives elevated trust outside what its specific, documented capabilities grant.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action a Role takes — an author moderating a thread, a publisher approving a submission, a partner registering a connector — is logged to the Provenance Ledger (Chapter 5) with the acting identity, the same audit discipline already required of every other consequential action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Role's access to another License Owner's private data is governed by the same explicit exclusions already established where they matter most: an author cannot view a reader's private notes, and a publisher cannot view any reader's notes regardless of sharing mode (§63.4), stated there as Safety Substrate enforcement and unchanged by this chapter's broader framing.</w:t>
      </w:r>
    </w:p>
    <w:p>
      <w:pPr>
        <w:pStyle w:val="Heading2"/>
        <w:spacing w:after="120" w:before="240" w:line="288" w:lineRule="auto"/>
      </w:pPr>
      <w:r>
        <w:rPr>
          <w:rFonts w:ascii="Calibri" w:cs="Calibri" w:eastAsia="Calibri" w:hAnsi="Calibri"/>
          <w:color w:val="000000"/>
          <w:sz w:val="36"/>
          <w:szCs w:val="36"/>
        </w:rPr>
        <w:t xml:space="preserve">65.5 What This Chapter Deliberately Does Not Specify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does not define a portal UI layer, a specific front-end framework, or a unified login flow — those are implementation choices below the level this Bible specifies elsewhere (compare Chapter 9's Semantic Transport Layer, which specifies the API contract, not a specific client). It also does not introduce license tiers, pricing, or entitlement rules beyond what already exists; “License Owner” in §65.1 is an identity concept, not a billing specification.</w:t>
      </w:r>
    </w:p>
    <w:p>
      <w:pPr>
        <w:pStyle w:val="Heading2"/>
        <w:spacing w:after="120" w:before="240" w:line="288" w:lineRule="auto"/>
      </w:pPr>
      <w:r>
        <w:rPr>
          <w:rFonts w:ascii="Calibri" w:cs="Calibri" w:eastAsia="Calibri" w:hAnsi="Calibri"/>
          <w:color w:val="000000"/>
          <w:sz w:val="36"/>
          <w:szCs w:val="36"/>
        </w:rPr>
        <w:t xml:space="preserve">65.6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AccessControlList pattern (Appendix A), the Safety Substrate (Chapter 8), the Provenance Ledger (Chapter 5), and every chapter referenced in §65.2's table. It modifies none of their specifications — it is a map of what already exists, not new architecture layered on top.</w:t>
      </w:r>
    </w:p>
    <w:p>
      <w:pPr>
        <w:pStyle w:val="Heading2"/>
        <w:spacing w:after="120" w:before="240" w:line="288" w:lineRule="auto"/>
      </w:pPr>
      <w:r>
        <w:rPr>
          <w:rFonts w:ascii="Calibri" w:cs="Calibri" w:eastAsia="Calibri" w:hAnsi="Calibri"/>
          <w:color w:val="000000"/>
          <w:sz w:val="36"/>
          <w:szCs w:val="36"/>
        </w:rPr>
        <w:t xml:space="preserve">65.7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Roles — Reader, Author, Publisher, Partner — sit under the License Owner identity concept, each mapped to the portal surface and chapters that already specify their actual capabilities. Instructor status is a contextual, per-class capability rather than a fifth Role. No new access engine, portal framework, or licensing model was introduced; this chapter is the map connecting portal surfaces that were previously specified independently across Chapters 36, 46, 49, 60, 61, 62, 63, and 64.</w:t>
      </w:r>
    </w:p>
    <w:p>
      <w:pPr>
        <w:pStyle w:val="Heading1"/>
        <w:spacing w:after="120" w:before="240" w:line="288" w:lineRule="auto"/>
      </w:pPr>
      <w:r>
        <w:rPr>
          <w:rFonts w:ascii="Calibri" w:cs="Calibri" w:eastAsia="Calibri" w:hAnsi="Calibri"/>
          <w:color w:val="000000"/>
          <w:sz w:val="48"/>
          <w:szCs w:val="48"/>
        </w:rPr>
        <w:t xml:space="preserve">Appendix H: Representative Runtime Flows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appendix formalizes, as step-by-step flows, how six already-specified operations actually execute end to end: a Q&amp;A response, a Personal Note (Chapter 63), a Message Board thread (Chapter 64), an Author-Hosted Event (Chapter 62), a Tour with Presenter Mode (Chapter 46), and the Safety Substrate gating pattern every one of them shares. Every step below names a real component already specified elsewhere in this Bible — no UFCS, no FQL, no blockchain layer, and no Territory Service beyond the narrow regional capability concept Chapter 60 already defines.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DOCUMENTATION, NOT NEW ARCHITECTURE</w:t>
            </w:r>
            <w:r>
              <w:rPr>
                <w:rFonts w:ascii="Calibri" w:cs="Calibri" w:eastAsia="Calibri" w:hAnsi="Calibri"/>
                <w:b/>
                <w:bCs/>
                <w:i w:val="false"/>
                <w:iCs w:val="false"/>
                <w:strike w:val="false"/>
                <w:color w:val="333333"/>
                <w:sz w:val="24"/>
                <w:szCs w:val="24"/>
              </w:rPr>
              <w:t xml:space="preserve">This appendix introduces no new component, no new engine, and no new data structure. It is a cross-cutting reference showing how components already specified in Chapters 4–65 and Appendix A interoperate at runtime, written for anyone implementing against this Bible who needs the sequence, not just the individual specifications.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H.1 Q&amp;A Response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five-stage ARE Pipeline (§52.8), not a generic “semantic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submits a query through the Interactive Mode Registry's Standard Q&amp;A mode (§52.13.2).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Associative Recall Engine (§7.2.3) retrieves a Fact Unit result set from the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1, Result Set Analysis (§52.8.1): builds a Result Set Profile from the retrieved facts' entity types, confidence distribution, and special annotations.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2, Discipline Mode Template Selection (§52.8.2): selects the applicable Discipline Mode template from QBCL-CMS (§47.3).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ARE Stage 3, Expertise Level Calibration (§52.8.3): produces a Vocabulary Calibration Specification for the resolved Expertise Level.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Stages 4–5 complete the Generation Directive, which the Narrative Graph (Chapter 12) uses to compose the response text, citing the originating Fact Units per the Factual Groundedness metric (Chapter 16).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response is returned to the reader; if the underlying Fact Units support it, an IQR scene offer (§46.2) may accompany the text response.</w:t>
      </w:r>
    </w:p>
    <w:p>
      <w:pPr>
        <w:pStyle w:val="Heading2"/>
        <w:spacing w:after="120" w:before="240" w:line="288" w:lineRule="auto"/>
      </w:pPr>
      <w:r>
        <w:rPr>
          <w:rFonts w:ascii="Calibri" w:cs="Calibri" w:eastAsia="Calibri" w:hAnsi="Calibri"/>
          <w:color w:val="000000"/>
          <w:sz w:val="36"/>
          <w:szCs w:val="36"/>
        </w:rPr>
        <w:t xml:space="preserve">H.2 Personal Note Creation and Sync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63's actual schema, not a generic “notes engine.”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an anchor (§63.2): a paragraph, sentence, diagram, or a Tour Waypoint reference for a VR Scene anchor.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Note Fact Unit is constructed per the §63.1 schema (OwnerID, AnchorType, AnchorPosition, Color, Tags, Content, SharingMode) and written to the Fact Graph with SharingMode defaulted to PRIVATE.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write is versioned through the Provenance Ledger's VersionChain (Chapter 5), the same mechanism used for any Fact Unit — there is no separate note-sync protocol.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another device, the reader's client resolves the current VersionChain head for that Fact Unit and displays the latest version; an offline edit reconciles on reconnection per §63.3's conflict-preservation rule.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reader later changes SharingMode away from PRIVATE, the note becomes eligible for the Message Board conversion path in §H.3.</w:t>
      </w:r>
    </w:p>
    <w:p>
      <w:pPr>
        <w:pStyle w:val="Heading2"/>
        <w:spacing w:after="120" w:before="240" w:line="288" w:lineRule="auto"/>
      </w:pPr>
      <w:r>
        <w:rPr>
          <w:rFonts w:ascii="Calibri" w:cs="Calibri" w:eastAsia="Calibri" w:hAnsi="Calibri"/>
          <w:color w:val="000000"/>
          <w:sz w:val="36"/>
          <w:szCs w:val="36"/>
        </w:rPr>
        <w:t xml:space="preserve">H.3 Message Board Thread Creation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64's actual permission and moderation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thread or post is created directly, or a reader converts a non-PRIVATE Personal Note into one (§64.6) — the resulting Fact Unit carries an InputFUIDs reference back to the source note, per Appendix A's lineage pattern.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AccessControlList evaluation (Appendix A) checks the acting identity's Role (Chapter 65) against the target board's permission rules (§64.3) before the write is accepted.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accepted, the thread or post Fact Unit is written and becomes visible per the board's own AccessControlList scope (book-wide, chapter-scoped, class-scoped, or announcement-only).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moderation action (flag, hide, lock — §64.4) is itself a Safety Substrate-gated write, logged to the Provenance Ledger with the moderating identity and reason — see the shared pattern in §H.6.</w:t>
      </w:r>
    </w:p>
    <w:p>
      <w:pPr>
        <w:pStyle w:val="Heading2"/>
        <w:spacing w:after="120" w:before="240" w:line="288" w:lineRule="auto"/>
      </w:pPr>
      <w:r>
        <w:rPr>
          <w:rFonts w:ascii="Calibri" w:cs="Calibri" w:eastAsia="Calibri" w:hAnsi="Calibri"/>
          <w:color w:val="000000"/>
          <w:sz w:val="36"/>
          <w:szCs w:val="36"/>
        </w:rPr>
        <w:t xml:space="preserve">H.4 Author-Hosted Event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Chapter 62's actual Source Connector model, not hardcoded platform APIs.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 selects a registered Collaboration Connector (§62.2) — previously registered through the Source Connector Registry, §49.3.3 — and specifies event type, time,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Event Fact Unit is created and provenance-tracked (Chapter 5) exactly as any other authored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Readers are notified per the Interactive Mode Registry's delivery-channel patterns (§52.13.4) or discover the event via the Event Calendar (§62.3).</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 join, the connector's own platform generates the actual session join link (§62.2) — QueryBook brokers scheduling and invitation, not the live session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After the event, if the connector's platform provides one, a recording reference (not the media itself) is attached to the Event Fact Unit (§62.4), and Chapter 64's automatic Event Thread (§64.7) becomes available for recap discussion.</w:t>
      </w:r>
    </w:p>
    <w:p>
      <w:pPr>
        <w:pStyle w:val="Heading2"/>
        <w:spacing w:after="120" w:before="240" w:line="288" w:lineRule="auto"/>
      </w:pPr>
      <w:r>
        <w:rPr>
          <w:rFonts w:ascii="Calibri" w:cs="Calibri" w:eastAsia="Calibri" w:hAnsi="Calibri"/>
          <w:color w:val="000000"/>
          <w:sz w:val="36"/>
          <w:szCs w:val="36"/>
        </w:rPr>
        <w:t xml:space="preserve">H.5 Tour Playback with Presenter Mode 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Grounded in the real Chapter 46 authorization chain, not an unconsented avatar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selects a Tour (§46.9); each Waypoint's IQR scene (Chapter 46) is resolved from the Fact Units grounding that Waypoint's topic.</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the Tour specifies a Presenter Mode (§46.10), the Safety Substrate gate checks for a matching Author Authorization Record (§46.10.1) scoped to that specific presenter mode before any presenter content generates — this check is non-bypassable (§46.10, Governance Note).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no Authorization Record exists, or it has been revoked (§46.10.2), the Tour falls back to environment-and-narration-only playback — the same fallback already specified as the no-presenter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If authorized, the presenter renders per the selected mode (Voice-Only, Face-Only, or Face-on-Avatar) with the mandatory, non-removable AI-generated disclosure (§46.10.6) always present.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Waypoint advancement follows the camera/pacing specification (§46.9.4); a multi-viewer session (§46.9.6) synchronizes advancement across all connected readers under the session controller's control.</w:t>
      </w:r>
    </w:p>
    <w:p>
      <w:pPr>
        <w:pStyle w:val="Heading2"/>
        <w:spacing w:after="120" w:before="240" w:line="288" w:lineRule="auto"/>
      </w:pPr>
      <w:r>
        <w:rPr>
          <w:rFonts w:ascii="Calibri" w:cs="Calibri" w:eastAsia="Calibri" w:hAnsi="Calibri"/>
          <w:color w:val="000000"/>
          <w:sz w:val="36"/>
          <w:szCs w:val="36"/>
        </w:rPr>
        <w:t xml:space="preserve">H.6 The Shared Safety Substrate Gating Pattern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flow above shares one enforcement pattern, stated once here rather than repeated in each section: a consequential write or generation event (a moderation action, a presenter-mode generation, a rights validation, a configuration change) is evaluated against the Safety Substrate (Chapter 8) before it takes effect, not after. A rejected action returns a specific reason to the caller (§47.5's pattern, generalized), and every accepted consequential action is logged to the Provenance Ledger (Chapter 5) with the acting identity, timestamp, and reason — the same audit discipline Chapter 65 (§65.4) already states as a cross-portal principle.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Flow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Safety Substrate Gate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Fallback if Denied</w:t>
            </w:r>
          </w:p>
        </w:tc>
      </w:tr>
      <w:tr>
        <w:tc>
          <w:tcPr>
            <w:tcW w:type="pct" w:w="33%"/>
          </w:tcPr>
          <w:p>
            <w:r>
              <w:rPr>
                <w:rFonts w:ascii="Calibri" w:cs="Calibri" w:eastAsia="Calibri" w:hAnsi="Calibri"/>
                <w:b w:val="false"/>
                <w:bCs w:val="false"/>
                <w:i w:val="false"/>
                <w:iCs w:val="false"/>
                <w:strike w:val="false"/>
                <w:color w:val="000000"/>
                <w:sz w:val="19"/>
                <w:szCs w:val="19"/>
              </w:rPr>
              <w:t xml:space="preserve">Q&amp;A Response (H.1)</w:t>
            </w:r>
          </w:p>
        </w:tc>
        <w:tc>
          <w:tcPr>
            <w:tcW w:type="pct" w:w="33%"/>
          </w:tcPr>
          <w:p>
            <w:r>
              <w:rPr>
                <w:rFonts w:ascii="Calibri" w:cs="Calibri" w:eastAsia="Calibri" w:hAnsi="Calibri"/>
                <w:b w:val="false"/>
                <w:bCs w:val="false"/>
                <w:i w:val="false"/>
                <w:iCs w:val="false"/>
                <w:strike w:val="false"/>
                <w:color w:val="000000"/>
                <w:sz w:val="19"/>
                <w:szCs w:val="19"/>
              </w:rPr>
              <w:t xml:space="preserve">Discipline Mode / Response Profile boundary checks (§52.7)</w:t>
            </w:r>
          </w:p>
        </w:tc>
        <w:tc>
          <w:tcPr>
            <w:tcW w:type="pct" w:w="33%"/>
          </w:tcPr>
          <w:p>
            <w:r>
              <w:rPr>
                <w:rFonts w:ascii="Calibri" w:cs="Calibri" w:eastAsia="Calibri" w:hAnsi="Calibri"/>
                <w:b w:val="false"/>
                <w:bCs w:val="false"/>
                <w:i w:val="false"/>
                <w:iCs w:val="false"/>
                <w:strike w:val="false"/>
                <w:color w:val="000000"/>
                <w:sz w:val="19"/>
                <w:szCs w:val="19"/>
              </w:rPr>
              <w:t xml:space="preserve">Response scoped to permitted Discipline Modes / Expertise Levels only</w:t>
            </w:r>
          </w:p>
        </w:tc>
      </w:tr>
      <w:tr>
        <w:tc>
          <w:tcPr>
            <w:tcW w:type="pct" w:w="33%"/>
          </w:tcPr>
          <w:p>
            <w:r>
              <w:rPr>
                <w:rFonts w:ascii="Calibri" w:cs="Calibri" w:eastAsia="Calibri" w:hAnsi="Calibri"/>
                <w:b w:val="false"/>
                <w:bCs w:val="false"/>
                <w:i w:val="false"/>
                <w:iCs w:val="false"/>
                <w:strike w:val="false"/>
                <w:color w:val="000000"/>
                <w:sz w:val="19"/>
                <w:szCs w:val="19"/>
              </w:rPr>
              <w:t xml:space="preserve">Note Sharing (H.2)</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SharingMode enforcement (§63.4)</w:t>
            </w:r>
          </w:p>
        </w:tc>
        <w:tc>
          <w:tcPr>
            <w:tcW w:type="pct" w:w="33%"/>
          </w:tcPr>
          <w:p>
            <w:r>
              <w:rPr>
                <w:rFonts w:ascii="Calibri" w:cs="Calibri" w:eastAsia="Calibri" w:hAnsi="Calibri"/>
                <w:b w:val="false"/>
                <w:bCs w:val="false"/>
                <w:i w:val="false"/>
                <w:iCs w:val="false"/>
                <w:strike w:val="false"/>
                <w:color w:val="000000"/>
                <w:sz w:val="19"/>
                <w:szCs w:val="19"/>
              </w:rPr>
              <w:t xml:space="preserve">Note remains PRIVATE</w:t>
            </w:r>
          </w:p>
        </w:tc>
      </w:tr>
      <w:tr>
        <w:tc>
          <w:tcPr>
            <w:tcW w:type="pct" w:w="33%"/>
          </w:tcPr>
          <w:p>
            <w:r>
              <w:rPr>
                <w:rFonts w:ascii="Calibri" w:cs="Calibri" w:eastAsia="Calibri" w:hAnsi="Calibri"/>
                <w:b w:val="false"/>
                <w:bCs w:val="false"/>
                <w:i w:val="false"/>
                <w:iCs w:val="false"/>
                <w:strike w:val="false"/>
                <w:color w:val="000000"/>
                <w:sz w:val="19"/>
                <w:szCs w:val="19"/>
              </w:rPr>
              <w:t xml:space="preserve">Board Post (H.3)</w:t>
            </w:r>
          </w:p>
        </w:tc>
        <w:tc>
          <w:tcPr>
            <w:tcW w:type="pct" w:w="33%"/>
          </w:tcPr>
          <w:p>
            <w:r>
              <w:rPr>
                <w:rFonts w:ascii="Calibri" w:cs="Calibri" w:eastAsia="Calibri" w:hAnsi="Calibri"/>
                <w:b w:val="false"/>
                <w:bCs w:val="false"/>
                <w:i w:val="false"/>
                <w:iCs w:val="false"/>
                <w:strike w:val="false"/>
                <w:color w:val="000000"/>
                <w:sz w:val="19"/>
                <w:szCs w:val="19"/>
              </w:rPr>
              <w:t xml:space="preserve">AccessControlList Role permission check (§64.3)</w:t>
            </w:r>
          </w:p>
        </w:tc>
        <w:tc>
          <w:tcPr>
            <w:tcW w:type="pct" w:w="33%"/>
          </w:tcPr>
          <w:p>
            <w:r>
              <w:rPr>
                <w:rFonts w:ascii="Calibri" w:cs="Calibri" w:eastAsia="Calibri" w:hAnsi="Calibri"/>
                <w:b w:val="false"/>
                <w:bCs w:val="false"/>
                <w:i w:val="false"/>
                <w:iCs w:val="false"/>
                <w:strike w:val="false"/>
                <w:color w:val="000000"/>
                <w:sz w:val="19"/>
                <w:szCs w:val="19"/>
              </w:rPr>
              <w:t xml:space="preserve">Write rejected with reason</w:t>
            </w:r>
          </w:p>
        </w:tc>
      </w:tr>
      <w:tr>
        <w:tc>
          <w:tcPr>
            <w:tcW w:type="pct" w:w="33%"/>
          </w:tcPr>
          <w:p>
            <w:r>
              <w:rPr>
                <w:rFonts w:ascii="Calibri" w:cs="Calibri" w:eastAsia="Calibri" w:hAnsi="Calibri"/>
                <w:b w:val="false"/>
                <w:bCs w:val="false"/>
                <w:i w:val="false"/>
                <w:iCs w:val="false"/>
                <w:strike w:val="false"/>
                <w:color w:val="000000"/>
                <w:sz w:val="19"/>
                <w:szCs w:val="19"/>
              </w:rPr>
              <w:t xml:space="preserve">Event Creation (H.4)</w:t>
            </w:r>
          </w:p>
        </w:tc>
        <w:tc>
          <w:tcPr>
            <w:tcW w:type="pct" w:w="33%"/>
          </w:tcPr>
          <w:p>
            <w:r>
              <w:rPr>
                <w:rFonts w:ascii="Calibri" w:cs="Calibri" w:eastAsia="Calibri" w:hAnsi="Calibri"/>
                <w:b w:val="false"/>
                <w:bCs w:val="false"/>
                <w:i w:val="false"/>
                <w:iCs w:val="false"/>
                <w:strike w:val="false"/>
                <w:color w:val="000000"/>
                <w:sz w:val="19"/>
                <w:szCs w:val="19"/>
              </w:rPr>
              <w:t xml:space="preserve">Source Connector authentication and capability check (§49.3.3)</w:t>
            </w:r>
          </w:p>
        </w:tc>
        <w:tc>
          <w:tcPr>
            <w:tcW w:type="pct" w:w="33%"/>
          </w:tcPr>
          <w:p>
            <w:r>
              <w:rPr>
                <w:rFonts w:ascii="Calibri" w:cs="Calibri" w:eastAsia="Calibri" w:hAnsi="Calibri"/>
                <w:b w:val="false"/>
                <w:bCs w:val="false"/>
                <w:i w:val="false"/>
                <w:iCs w:val="false"/>
                <w:strike w:val="false"/>
                <w:color w:val="000000"/>
                <w:sz w:val="19"/>
                <w:szCs w:val="19"/>
              </w:rPr>
              <w:t xml:space="preserve">Event creation blocked until connector re-authorized</w:t>
            </w:r>
          </w:p>
        </w:tc>
      </w:tr>
      <w:tr>
        <w:tc>
          <w:tcPr>
            <w:tcW w:type="pct" w:w="33%"/>
          </w:tcPr>
          <w:p>
            <w:r>
              <w:rPr>
                <w:rFonts w:ascii="Calibri" w:cs="Calibri" w:eastAsia="Calibri" w:hAnsi="Calibri"/>
                <w:b w:val="false"/>
                <w:bCs w:val="false"/>
                <w:i w:val="false"/>
                <w:iCs w:val="false"/>
                <w:strike w:val="false"/>
                <w:color w:val="000000"/>
                <w:sz w:val="19"/>
                <w:szCs w:val="19"/>
              </w:rPr>
              <w:t xml:space="preserve">Presenter Mode (H.5)</w:t>
            </w:r>
          </w:p>
        </w:tc>
        <w:tc>
          <w:tcPr>
            <w:tcW w:type="pct" w:w="33%"/>
          </w:tcPr>
          <w:p>
            <w:r>
              <w:rPr>
                <w:rFonts w:ascii="Calibri" w:cs="Calibri" w:eastAsia="Calibri" w:hAnsi="Calibri"/>
                <w:b w:val="false"/>
                <w:bCs w:val="false"/>
                <w:i w:val="false"/>
                <w:iCs w:val="false"/>
                <w:strike w:val="false"/>
                <w:color w:val="000000"/>
                <w:sz w:val="19"/>
                <w:szCs w:val="19"/>
              </w:rPr>
              <w:t xml:space="preserve">Author Authorization Record check (§46.10.1)</w:t>
            </w:r>
          </w:p>
        </w:tc>
        <w:tc>
          <w:tcPr>
            <w:tcW w:type="pct" w:w="33%"/>
          </w:tcPr>
          <w:p>
            <w:r>
              <w:rPr>
                <w:rFonts w:ascii="Calibri" w:cs="Calibri" w:eastAsia="Calibri" w:hAnsi="Calibri"/>
                <w:b w:val="false"/>
                <w:bCs w:val="false"/>
                <w:i w:val="false"/>
                <w:iCs w:val="false"/>
                <w:strike w:val="false"/>
                <w:color w:val="000000"/>
                <w:sz w:val="19"/>
                <w:szCs w:val="19"/>
              </w:rPr>
              <w:t xml:space="preserve">Falls back to environment-only playback</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H.7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six flows show how Chapters 4–65 and Appendix A's components actually interoperate at runtime: a five-stage ARE pipeline for Q&amp;A, Provenance Ledger versioning for note sync, AccessControlList evaluation for board permissions, the Source Connector Registry for events, and the Author Authorization Record for presenter generation — with one shared Safety Substrate gating pattern underneath all of them. No new engine, protocol, or data structure was introduced to produce this appendix.</w:t>
      </w:r>
    </w:p>
    <w:p>
      <w:pPr>
        <w:pStyle w:val="Heading1"/>
        <w:spacing w:after="120" w:before="240" w:line="288" w:lineRule="auto"/>
      </w:pPr>
      <w:r>
        <w:rPr>
          <w:rFonts w:ascii="Calibri" w:cs="Calibri" w:eastAsia="Calibri" w:hAnsi="Calibri"/>
          <w:color w:val="000000"/>
          <w:sz w:val="48"/>
          <w:szCs w:val="48"/>
        </w:rPr>
        <w:t xml:space="preserve">Chapter 66: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architectural and performance improvements to QueryBook itself are identified, drafted, tested, and deployed — the useful part of an autonomous self-evolution proposal declined earlier in this Bible's history, rebuilt with the one property that proposal was missing: a human makes the actual decision to ship, every time, with no path around that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PROPOSAL PIPELINE, NOT A SELF-MODIFYING SYSTEM</w:t>
            </w:r>
            <w:r>
              <w:rPr>
                <w:rFonts w:ascii="Calibri" w:cs="Calibri" w:eastAsia="Calibri" w:hAnsi="Calibri"/>
                <w:b/>
                <w:bCs/>
                <w:i w:val="false"/>
                <w:iCs w:val="false"/>
                <w:strike w:val="false"/>
                <w:color w:val="333333"/>
                <w:sz w:val="24"/>
                <w:szCs w:val="24"/>
              </w:rPr>
              <w:t xml:space="preserve">Every stage of this pipeline up to and including deployment approval (§66.5) may be assisted by automated tooling — generating a candidate proposal, running it in the sandbox, computing a fitness score. No stage after approval is autonomous, and no proposal may bypass §66.5's human review regardless of its fitness score, risk profile, or urgency. §66.8 lists what this pipeline may never modify, permanently, not as a configurable policy.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66.1 Candidate Identification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Improvement candidates surface from the same telemetry and audit data this Bible already collects — not a new monitoring subsystem. Query latency and error-rate data (Chapter 9's Semantic Transport Layer), ingestion throughput (Chapter 4), and Provenance Ledger audit patterns (Chapter 5) are reviewed for recurring bottlenecks or failure modes, producing a Candidate Record: what's underperforming, by how much, and against what target.</w:t>
      </w:r>
    </w:p>
    <w:p>
      <w:pPr>
        <w:pStyle w:val="Heading2"/>
        <w:spacing w:after="120" w:before="240" w:line="288" w:lineRule="auto"/>
      </w:pPr>
      <w:r>
        <w:rPr>
          <w:rFonts w:ascii="Calibri" w:cs="Calibri" w:eastAsia="Calibri" w:hAnsi="Calibri"/>
          <w:color w:val="000000"/>
          <w:sz w:val="36"/>
          <w:szCs w:val="36"/>
        </w:rPr>
        <w:t xml:space="preserve">66.2 Proposal Schema</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Fact Unit, addressing one Candidate Record, contains: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Contents</w:t>
            </w:r>
          </w:p>
        </w:tc>
      </w:tr>
      <w:tr>
        <w:tc>
          <w:tcPr>
            <w:tcW w:type="pct" w:w="50%"/>
          </w:tcPr>
          <w:p>
            <w:r>
              <w:rPr>
                <w:rFonts w:ascii="Calibri" w:cs="Calibri" w:eastAsia="Calibri" w:hAnsi="Calibri"/>
                <w:b w:val="false"/>
                <w:bCs w:val="false"/>
                <w:i w:val="false"/>
                <w:iCs w:val="false"/>
                <w:strike w:val="false"/>
                <w:color w:val="000000"/>
                <w:sz w:val="19"/>
                <w:szCs w:val="19"/>
              </w:rPr>
              <w:t xml:space="preserve">Scope</w:t>
            </w:r>
          </w:p>
        </w:tc>
        <w:tc>
          <w:tcPr>
            <w:tcW w:type="pct" w:w="50%"/>
          </w:tcPr>
          <w:p>
            <w:r>
              <w:rPr>
                <w:rFonts w:ascii="Calibri" w:cs="Calibri" w:eastAsia="Calibri" w:hAnsi="Calibri"/>
                <w:b w:val="false"/>
                <w:bCs w:val="false"/>
                <w:i w:val="false"/>
                <w:iCs w:val="false"/>
                <w:strike w:val="false"/>
                <w:color w:val="000000"/>
                <w:sz w:val="19"/>
                <w:szCs w:val="19"/>
              </w:rPr>
              <w:t xml:space="preserve">Which existing component the proposal modifies — named by chapter and section, not a free-text 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Change Description</w:t>
            </w:r>
          </w:p>
        </w:tc>
        <w:tc>
          <w:tcPr>
            <w:tcW w:type="pct" w:w="50%"/>
          </w:tcPr>
          <w:p>
            <w:r>
              <w:rPr>
                <w:rFonts w:ascii="Calibri" w:cs="Calibri" w:eastAsia="Calibri" w:hAnsi="Calibri"/>
                <w:b w:val="false"/>
                <w:bCs w:val="false"/>
                <w:i w:val="false"/>
                <w:iCs w:val="false"/>
                <w:strike w:val="false"/>
                <w:color w:val="000000"/>
                <w:sz w:val="19"/>
                <w:szCs w:val="19"/>
              </w:rPr>
              <w:t xml:space="preserve">What changes and why, in terms of the existing specification, not a rewrite of it.</w:t>
            </w:r>
          </w:p>
        </w:tc>
      </w:tr>
      <w:tr>
        <w:tc>
          <w:tcPr>
            <w:tcW w:type="pct" w:w="50%"/>
          </w:tcPr>
          <w:p>
            <w:r>
              <w:rPr>
                <w:rFonts w:ascii="Calibri" w:cs="Calibri" w:eastAsia="Calibri" w:hAnsi="Calibri"/>
                <w:b w:val="false"/>
                <w:bCs w:val="false"/>
                <w:i w:val="false"/>
                <w:iCs w:val="false"/>
                <w:strike w:val="false"/>
                <w:color w:val="000000"/>
                <w:sz w:val="19"/>
                <w:szCs w:val="19"/>
              </w:rPr>
              <w:t xml:space="preserve">Risk Assessment</w:t>
            </w:r>
          </w:p>
        </w:tc>
        <w:tc>
          <w:tcPr>
            <w:tcW w:type="pct" w:w="50%"/>
          </w:tcPr>
          <w:p>
            <w:r>
              <w:rPr>
                <w:rFonts w:ascii="Calibri" w:cs="Calibri" w:eastAsia="Calibri" w:hAnsi="Calibri"/>
                <w:b w:val="false"/>
                <w:bCs w:val="false"/>
                <w:i w:val="false"/>
                <w:iCs w:val="false"/>
                <w:strike w:val="false"/>
                <w:color w:val="000000"/>
                <w:sz w:val="19"/>
                <w:szCs w:val="19"/>
              </w:rPr>
              <w:t xml:space="preserve">What could go wrong, including specifically whether the change touches anything in §66.8's exclusion list — a proposal that does is rejected at intake, before simulation.</w:t>
            </w:r>
          </w:p>
        </w:tc>
      </w:tr>
      <w:tr>
        <w:tc>
          <w:tcPr>
            <w:tcW w:type="pct" w:w="50%"/>
          </w:tcPr>
          <w:p>
            <w:r>
              <w:rPr>
                <w:rFonts w:ascii="Calibri" w:cs="Calibri" w:eastAsia="Calibri" w:hAnsi="Calibri"/>
                <w:b w:val="false"/>
                <w:bCs w:val="false"/>
                <w:i w:val="false"/>
                <w:iCs w:val="false"/>
                <w:strike w:val="false"/>
                <w:color w:val="000000"/>
                <w:sz w:val="19"/>
                <w:szCs w:val="19"/>
              </w:rPr>
              <w:t xml:space="preserve">Performance Prediction</w:t>
            </w:r>
          </w:p>
        </w:tc>
        <w:tc>
          <w:tcPr>
            <w:tcW w:type="pct" w:w="50%"/>
          </w:tcPr>
          <w:p>
            <w:r>
              <w:rPr>
                <w:rFonts w:ascii="Calibri" w:cs="Calibri" w:eastAsia="Calibri" w:hAnsi="Calibri"/>
                <w:b w:val="false"/>
                <w:bCs w:val="false"/>
                <w:i w:val="false"/>
                <w:iCs w:val="false"/>
                <w:strike w:val="false"/>
                <w:color w:val="000000"/>
                <w:sz w:val="19"/>
                <w:szCs w:val="19"/>
              </w:rPr>
              <w:t xml:space="preserve">Expected effect on the metric named in the originating Candidate Record.</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w:t>
            </w:r>
          </w:p>
        </w:tc>
        <w:tc>
          <w:tcPr>
            <w:tcW w:type="pct" w:w="50%"/>
          </w:tcPr>
          <w:p>
            <w:r>
              <w:rPr>
                <w:rFonts w:ascii="Calibri" w:cs="Calibri" w:eastAsia="Calibri" w:hAnsi="Calibri"/>
                <w:b w:val="false"/>
                <w:bCs w:val="false"/>
                <w:i w:val="false"/>
                <w:iCs w:val="false"/>
                <w:strike w:val="false"/>
                <w:color w:val="000000"/>
                <w:sz w:val="19"/>
                <w:szCs w:val="19"/>
              </w:rPr>
              <w:t xml:space="preserve">How to revert if the change underperforms or misbehaves after deployment.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66.3 Simulation Sandbox</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proposal is evaluated in an isolated environment before any human reviews it — not to approve it, only to generate the evidence a human reviewer needs: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Synthetic and replayed historical workloads test the proposal's actual behavior against its Performance Prediction (§66.2).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Regression tests confirm existing behavior elsewhere in the system is unaffected.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sandbox produces a Fitness Score and a Risk Profile — inputs to the human review in §66.5, never a substitute for 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sandbox is isolated from production data and from any system capable of modifying this Bible's actual specification — a simulation result is evidence, not an edit.</w:t>
      </w:r>
    </w:p>
    <w:p>
      <w:pPr>
        <w:pStyle w:val="Heading2"/>
        <w:spacing w:after="120" w:before="240" w:line="288" w:lineRule="auto"/>
      </w:pPr>
      <w:r>
        <w:rPr>
          <w:rFonts w:ascii="Calibri" w:cs="Calibri" w:eastAsia="Calibri" w:hAnsi="Calibri"/>
          <w:color w:val="000000"/>
          <w:sz w:val="36"/>
          <w:szCs w:val="36"/>
        </w:rPr>
        <w:t xml:space="preserve">66.4 Automated Pre-Screening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a proposal reaches human review, an automated check confirms it is eligible for review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proposal's Scope (§66.2) touch anything in §66.8's exclusion list? If so, the proposal is rejected automatically, with the specific excluded component named in the rejection — this check cannot be overridden by a high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Does the proposal have a complete Rollback Plan? An incomplete proposal is returned for revision, not queued for review.</w:t>
      </w:r>
    </w:p>
    <w:p>
      <w:pPr>
        <w:spacing w:after="120" w:line="360" w:lineRule="auto"/>
      </w:pPr>
      <w:r>
        <w:rPr>
          <w:rFonts w:ascii="Calibri" w:cs="Calibri" w:eastAsia="Calibri" w:hAnsi="Calibri"/>
          <w:b w:val="false"/>
          <w:bCs w:val="false"/>
          <w:i w:val="false"/>
          <w:iCs w:val="false"/>
          <w:strike w:val="false"/>
          <w:color w:val="000000"/>
          <w:sz w:val="22"/>
          <w:szCs w:val="22"/>
        </w:rPr>
        <w:t xml:space="preserve">Pre-screening narrows what a human reviewer sees to proposals that are actually eligible for approval — it does not replace their judgment on the proposals that pass through.</w:t>
      </w:r>
    </w:p>
    <w:p>
      <w:pPr>
        <w:pStyle w:val="Heading2"/>
        <w:spacing w:after="120" w:before="240" w:line="288" w:lineRule="auto"/>
      </w:pPr>
      <w:r>
        <w:rPr>
          <w:rFonts w:ascii="Calibri" w:cs="Calibri" w:eastAsia="Calibri" w:hAnsi="Calibri"/>
          <w:color w:val="000000"/>
          <w:sz w:val="36"/>
          <w:szCs w:val="36"/>
        </w:rPr>
        <w:t xml:space="preserve">66.5 Human Review Gate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GATE HAS NO AUTOMATED PATH THROUGH IT</w:t>
            </w:r>
            <w:r>
              <w:rPr>
                <w:rFonts w:ascii="Calibri" w:cs="Calibri" w:eastAsia="Calibri" w:hAnsi="Calibri"/>
                <w:b/>
                <w:bCs/>
                <w:i w:val="false"/>
                <w:iCs w:val="false"/>
                <w:strike w:val="false"/>
                <w:color w:val="333333"/>
                <w:sz w:val="24"/>
                <w:szCs w:val="24"/>
              </w:rPr>
              <w:t xml:space="preserve">A named, accountable human reviewer evaluates every proposal that passes §66.4's pre-screening, using the Fitness Score and Risk Profile from §66.3 as evidence, not as a decision. The reviewer's approval or rejection is recorded in the Provenance Ledger (Chapter 5) with their identity and reasoning — the same audit discipline already required of every other consequential action in this Bible (Appendix H, §H.6). There is no fitness threshold, urgency justification, or proposal category that permits skipping this gate. A rejected proposal may be revised and resubmitted; it may not be re-scored and auto-approved.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66.6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approved proposal deploys through the existing staged-rollout pattern already implicit in this Bible's deployment architecture (Chapter 19) — not a new deployment mechanism. A canary or limited-exposure rollout precedes full deployment, and the Rollback Plan from §66.2 is the defined path back if post-deployment monitoring (§66.7) surfaces a regression the sandbox didn't catch.</w:t>
      </w:r>
    </w:p>
    <w:p>
      <w:pPr>
        <w:pStyle w:val="Heading2"/>
        <w:spacing w:after="120" w:before="240" w:line="288" w:lineRule="auto"/>
      </w:pPr>
      <w:r>
        <w:rPr>
          <w:rFonts w:ascii="Calibri" w:cs="Calibri" w:eastAsia="Calibri" w:hAnsi="Calibri"/>
          <w:color w:val="000000"/>
          <w:sz w:val="36"/>
          <w:szCs w:val="36"/>
        </w:rPr>
        <w:t xml:space="preserve">66.7 Monitoring and Feedback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After deployment, the same telemetry sources named in §66.1 continue to be observed against the approved proposal's Performance Prediction. A significant deviation — the change underperforming its prediction, or a regression the sandbox missed — becomes a new Candidate Record (§66.1), closing the loop without any step in that loop being autonomous.</w:t>
      </w:r>
    </w:p>
    <w:p>
      <w:pPr>
        <w:pStyle w:val="Heading2"/>
        <w:spacing w:after="120" w:before="240" w:line="288" w:lineRule="auto"/>
      </w:pPr>
      <w:r>
        <w:rPr>
          <w:rFonts w:ascii="Calibri" w:cs="Calibri" w:eastAsia="Calibri" w:hAnsi="Calibri"/>
          <w:color w:val="000000"/>
          <w:sz w:val="36"/>
          <w:szCs w:val="36"/>
        </w:rPr>
        <w:t xml:space="preserve">66.8 Permanent Exclusions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are never valid Proposal Scopes (§66.2), under any Fitness Score, Risk Profile, or reviewer judgment. This is not a configurable policy — changing what belongs on this list is itself outside what this pipeline can do to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Safety Substrate (Chapter 8) and its enforcement 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Prime Directive (Domain 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pipeline's own Human Review Gate (§66.5) and Permanent Exclusions list (this section).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Author Authorization Record, revocation, and disclosure requirements for Presenter Mode (§46.10).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private-note and no-publisher-access guarantees for reader annotations (§63.4).</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capable of proposing changes to its own safety constraints or its own approval gate was the specific reason an earlier, fully autonomous version of this pipeline was declined in this Bible's history. This section exists so that outcome remains structurally impossible here, not merely discouraged.</w:t>
      </w:r>
    </w:p>
    <w:p>
      <w:pPr>
        <w:pStyle w:val="Heading2"/>
        <w:spacing w:after="120" w:before="240" w:line="288" w:lineRule="auto"/>
      </w:pPr>
      <w:r>
        <w:rPr>
          <w:rFonts w:ascii="Calibri" w:cs="Calibri" w:eastAsia="Calibri" w:hAnsi="Calibri"/>
          <w:color w:val="000000"/>
          <w:sz w:val="36"/>
          <w:szCs w:val="36"/>
        </w:rPr>
        <w:t xml:space="preserve">66.9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Safety Substrate (Chapter 8), the Semantic Transport Layer (Chapter 9), and the deployment architecture (Chapter 19). It modifies none of their specifications, and §66.8 explicitly forbids it from ever doing so.</w:t>
      </w:r>
    </w:p>
    <w:p>
      <w:pPr>
        <w:pStyle w:val="Heading2"/>
        <w:spacing w:after="120" w:before="240" w:line="288" w:lineRule="auto"/>
      </w:pPr>
      <w:r>
        <w:rPr>
          <w:rFonts w:ascii="Calibri" w:cs="Calibri" w:eastAsia="Calibri" w:hAnsi="Calibri"/>
          <w:color w:val="000000"/>
          <w:sz w:val="36"/>
          <w:szCs w:val="36"/>
        </w:rPr>
        <w:t xml:space="preserve">66.10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Candidate identification, structured proposals, sandboxed simulation, and staged deployment are all specified here — the useful engineering pattern from a declined autonomous self-evolution proposal, rebuilt around one non-negotiable property: a named human approves every change before it ships, and a permanent, self-referential exclusion list keeps the Safety Substrate, the Prime Directive, and this pipeline's own gate outside what any proposal can ever target.</w:t>
      </w:r>
    </w:p>
    <w:p>
      <w:pPr>
        <w:pStyle w:val="Heading1"/>
        <w:spacing w:after="120" w:before="240" w:line="288" w:lineRule="auto"/>
      </w:pPr>
      <w:r>
        <w:rPr>
          <w:rFonts w:ascii="Calibri" w:cs="Calibri" w:eastAsia="Calibri" w:hAnsi="Calibri"/>
          <w:color w:val="000000"/>
          <w:sz w:val="48"/>
          <w:szCs w:val="48"/>
        </w:rPr>
        <w:t xml:space="preserve">Chapter 67: License and Entitlement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the gap Chapter 65 explicitly declined to address: what a License Owner's license actually entitles them to, and how seat-based access for organizations is tracked. It is deliberately narrow — no territory, no pricing, no DRM, and no rights-tokenization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ENTITLEMENT ONLY, DELIBERATELY NARROW</w:t>
            </w:r>
            <w:r>
              <w:rPr>
                <w:rFonts w:ascii="Calibri" w:cs="Calibri" w:eastAsia="Calibri" w:hAnsi="Calibri"/>
                <w:b/>
                <w:bCs/>
                <w:i w:val="false"/>
                <w:iCs w:val="false"/>
                <w:strike w:val="false"/>
                <w:color w:val="333333"/>
                <w:sz w:val="24"/>
                <w:szCs w:val="24"/>
              </w:rPr>
              <w:t xml:space="preserve">This chapter covers what a license unlocks and how many seats it covers. It does not cover where a license is valid geographically, how much it costs, offline access expiration windows, or any rights-representation mechanism beyond the AccessControlList this Bible already specifies (Appendix A). Two separate submissions proposing a full Territory/DRM/Pricing system, and a third proposing NFT-based rights tokenization, were declined during this Bible's development specifically to keep this boundary — this chapter does not reopen either.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67.1 License Types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License Fact Unit is issued per License Owner (Chapter 65) or per organization, and carries a LicenseType matching one of the four Roles already specified: Reader License, Author License, Publisher License, or Partner License. A License does not grant a Role directly — it authorizes one; the Role itself, and what it can do, remains fully specified by Chapter 65 and every chapter it references. This chapter adds nothing to what a Role can do; it only governs whether a given identity currently holds one.</w:t>
      </w:r>
    </w:p>
    <w:p>
      <w:pPr>
        <w:pStyle w:val="Heading2"/>
        <w:spacing w:after="120" w:before="240" w:line="288" w:lineRule="auto"/>
      </w:pPr>
      <w:r>
        <w:rPr>
          <w:rFonts w:ascii="Calibri" w:cs="Calibri" w:eastAsia="Calibri" w:hAnsi="Calibri"/>
          <w:color w:val="000000"/>
          <w:sz w:val="36"/>
          <w:szCs w:val="36"/>
        </w:rPr>
        <w:t xml:space="preserve">67.2 Seat Management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organizational License carries a SeatCount and a SeatAllocation list — which specific identities currently hold one of the organization's seats for a given LicenseType. Seat assignment and reassignment are AccessControlList-governed actions (Appendix A) logged to the Provenance Ledger (Chapter 5), the same audit discipline as any other consequential write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without an assigned seat cannot exercise the Role that License Type would otherwise authorize, regardless of any Role-level permission that identity might otherwise hold from a different License.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Seat reassignment does not retroactively affect Provenance Ledger history — content created while a seat was held remains attributed to that identity, consistent with this Bible's general position that provenance is never rewritten (§63.3's conflict-preservation principle, applied here to seat history).</w:t>
      </w:r>
    </w:p>
    <w:p>
      <w:pPr>
        <w:pStyle w:val="Heading2"/>
        <w:spacing w:after="120" w:before="240" w:line="288" w:lineRule="auto"/>
      </w:pPr>
      <w:r>
        <w:rPr>
          <w:rFonts w:ascii="Calibri" w:cs="Calibri" w:eastAsia="Calibri" w:hAnsi="Calibri"/>
          <w:color w:val="000000"/>
          <w:sz w:val="36"/>
          <w:szCs w:val="36"/>
        </w:rPr>
        <w:t xml:space="preserve">67.3 Entitlement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Entitlement is the specific set of features a LicenseType unlocks beyond the Role's baseline — for example, an organizational Reader License might entitle its seats to Class Board participation (§64.1) that an individual Reader License does not, if the organization has not registered as a class host. Entitlement checks are AccessControlList evaluations layered on top of the Role check already specified in Chapter 65 (§65.4) — a request must pass both the Role's baseline permission and, where applicable, the License's specific Entitlement, not one in place of the other.</w:t>
      </w:r>
    </w:p>
    <w:p>
      <w:pPr>
        <w:pStyle w:val="Heading2"/>
        <w:spacing w:after="120" w:before="240" w:line="288" w:lineRule="auto"/>
      </w:pPr>
      <w:r>
        <w:rPr>
          <w:rFonts w:ascii="Calibri" w:cs="Calibri" w:eastAsia="Calibri" w:hAnsi="Calibri"/>
          <w:color w:val="000000"/>
          <w:sz w:val="36"/>
          <w:szCs w:val="36"/>
        </w:rPr>
        <w:t xml:space="preserve">67.4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Usage Analytics in this chapter means aggregate, license-scoped counts — active seats, feature-entitlement utilization — derived from the Provenance Ledger's existing audit trail (Chapter 5), not a new telemetry collection mechanism. This is administrative reporting for the license holder (an organization's administrator, per Chapter 65's Role model), not behavioral tracking of individual readers beyond what the Provenance Ledger already records for provenance purposes.</w:t>
      </w:r>
    </w:p>
    <w:p>
      <w:pPr>
        <w:pStyle w:val="Heading2"/>
        <w:spacing w:after="120" w:before="240" w:line="288" w:lineRule="auto"/>
      </w:pPr>
      <w:r>
        <w:rPr>
          <w:rFonts w:ascii="Calibri" w:cs="Calibri" w:eastAsia="Calibri" w:hAnsi="Calibri"/>
          <w:color w:val="000000"/>
          <w:sz w:val="36"/>
          <w:szCs w:val="36"/>
        </w:rPr>
        <w:t xml:space="preserve">67.5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Role model (Chapter 65), the AccessControlList pattern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67.6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License types map directly to Chapter 65's four Roles; seats gate which identities can exercise a Role under an organizational license; Entitlements layer specific feature access on top of Role-level permissions; usage analytics are aggregate counts from the existing Provenance Ledger. No territory, pricing, or rights-tokenization concept was introduced to close this gap.</w:t>
      </w:r>
    </w:p>
    <w:p>
      <w:pPr>
        <w:pStyle w:val="Heading1"/>
        <w:spacing w:after="120" w:before="240" w:line="288" w:lineRule="auto"/>
      </w:pPr>
      <w:r>
        <w:rPr>
          <w:rFonts w:ascii="Calibri" w:cs="Calibri" w:eastAsia="Calibri" w:hAnsi="Calibri"/>
          <w:color w:val="000000"/>
          <w:sz w:val="48"/>
          <w:szCs w:val="48"/>
        </w:rPr>
        <w:t xml:space="preserve">Chapter 68: Synchronization and Offline Operation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consistent operation across devices, nodes, and environments including high-latency networks, intermittent connectivity, fully offline deployments, and institution-level replication, per the source specification provided directly for this chapter.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REUSES EXISTING VERSIONING AND ACCESS CONTROL</w:t>
            </w:r>
            <w:r>
              <w:rPr>
                <w:rFonts w:ascii="Calibri" w:cs="Calibri" w:eastAsia="Calibri" w:hAnsi="Calibri"/>
                <w:b/>
                <w:bCs/>
                <w:i w:val="false"/>
                <w:iCs w:val="false"/>
                <w:strike w:val="false"/>
                <w:color w:val="333333"/>
                <w:sz w:val="24"/>
                <w:szCs w:val="24"/>
              </w:rPr>
              <w:t xml:space="preserve">Consistency in this chapter is built on the Provenance Ledger's existing VersionChain mechanism (Chapter 5), not a new versioning system. Offline access control reuses the AccessControlList and Role model already specified (Chapter 65, Appendix A). This chapter adds synchronization behavior and offline capability scoping on top of what already exists.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68.1 Synchronization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Behavior</w:t>
            </w:r>
          </w:p>
        </w:tc>
      </w:tr>
      <w:tr>
        <w:tc>
          <w:tcPr>
            <w:tcW w:type="pct" w:w="50%"/>
          </w:tcPr>
          <w:p>
            <w:r>
              <w:rPr>
                <w:rFonts w:ascii="Calibri" w:cs="Calibri" w:eastAsia="Calibri" w:hAnsi="Calibri"/>
                <w:b w:val="false"/>
                <w:bCs w:val="false"/>
                <w:i w:val="false"/>
                <w:iCs w:val="false"/>
                <w:strike w:val="false"/>
                <w:color w:val="000000"/>
                <w:sz w:val="19"/>
                <w:szCs w:val="19"/>
              </w:rPr>
              <w:t xml:space="preserve">Real-Time Sync</w:t>
            </w:r>
          </w:p>
        </w:tc>
        <w:tc>
          <w:tcPr>
            <w:tcW w:type="pct" w:w="50%"/>
          </w:tcPr>
          <w:p>
            <w:r>
              <w:rPr>
                <w:rFonts w:ascii="Calibri" w:cs="Calibri" w:eastAsia="Calibri" w:hAnsi="Calibri"/>
                <w:b w:val="false"/>
                <w:bCs w:val="false"/>
                <w:i w:val="false"/>
                <w:iCs w:val="false"/>
                <w:strike w:val="false"/>
                <w:color w:val="000000"/>
                <w:sz w:val="19"/>
                <w:szCs w:val="19"/>
              </w:rPr>
              <w:t xml:space="preserve">Changes propagate immediately when connectivity is available, using the same Provenance Ledger write path as any online operation.</w:t>
            </w:r>
          </w:p>
        </w:tc>
      </w:tr>
      <w:tr>
        <w:tc>
          <w:tcPr>
            <w:tcW w:type="pct" w:w="50%"/>
          </w:tcPr>
          <w:p>
            <w:r>
              <w:rPr>
                <w:rFonts w:ascii="Calibri" w:cs="Calibri" w:eastAsia="Calibri" w:hAnsi="Calibri"/>
                <w:b w:val="false"/>
                <w:bCs w:val="false"/>
                <w:i w:val="false"/>
                <w:iCs w:val="false"/>
                <w:strike w:val="false"/>
                <w:color w:val="000000"/>
                <w:sz w:val="19"/>
                <w:szCs w:val="19"/>
              </w:rPr>
              <w:t xml:space="preserve">Deferred Sync</w:t>
            </w:r>
          </w:p>
        </w:tc>
        <w:tc>
          <w:tcPr>
            <w:tcW w:type="pct" w:w="50%"/>
          </w:tcPr>
          <w:p>
            <w:r>
              <w:rPr>
                <w:rFonts w:ascii="Calibri" w:cs="Calibri" w:eastAsia="Calibri" w:hAnsi="Calibri"/>
                <w:b w:val="false"/>
                <w:bCs w:val="false"/>
                <w:i w:val="false"/>
                <w:iCs w:val="false"/>
                <w:strike w:val="false"/>
                <w:color w:val="000000"/>
                <w:sz w:val="19"/>
                <w:szCs w:val="19"/>
              </w:rPr>
              <w:t xml:space="preserve">Changes queue locally and propagate on the next connectivity window, at a client-controlled interval rather than immediately.</w:t>
            </w:r>
          </w:p>
        </w:tc>
      </w:tr>
      <w:tr>
        <w:tc>
          <w:tcPr>
            <w:tcW w:type="pct" w:w="50%"/>
          </w:tcPr>
          <w:p>
            <w:r>
              <w:rPr>
                <w:rFonts w:ascii="Calibri" w:cs="Calibri" w:eastAsia="Calibri" w:hAnsi="Calibri"/>
                <w:b w:val="false"/>
                <w:bCs w:val="false"/>
                <w:i w:val="false"/>
                <w:iCs w:val="false"/>
                <w:strike w:val="false"/>
                <w:color w:val="000000"/>
                <w:sz w:val="19"/>
                <w:szCs w:val="19"/>
              </w:rPr>
              <w:t xml:space="preserve">Batch Sync</w:t>
            </w:r>
          </w:p>
        </w:tc>
        <w:tc>
          <w:tcPr>
            <w:tcW w:type="pct" w:w="50%"/>
          </w:tcPr>
          <w:p>
            <w:r>
              <w:rPr>
                <w:rFonts w:ascii="Calibri" w:cs="Calibri" w:eastAsia="Calibri" w:hAnsi="Calibri"/>
                <w:b w:val="false"/>
                <w:bCs w:val="false"/>
                <w:i w:val="false"/>
                <w:iCs w:val="false"/>
                <w:strike w:val="false"/>
                <w:color w:val="000000"/>
                <w:sz w:val="19"/>
                <w:szCs w:val="19"/>
              </w:rPr>
              <w:t xml:space="preserve">Changes accumulate and propagate as a single batched write, reducing round-trips for high-latency or metered connections.</w:t>
            </w:r>
          </w:p>
        </w:tc>
      </w:tr>
      <w:tr>
        <w:tc>
          <w:tcPr>
            <w:tcW w:type="pct" w:w="50%"/>
          </w:tcPr>
          <w:p>
            <w:r>
              <w:rPr>
                <w:rFonts w:ascii="Calibri" w:cs="Calibri" w:eastAsia="Calibri" w:hAnsi="Calibri"/>
                <w:b w:val="false"/>
                <w:bCs w:val="false"/>
                <w:i w:val="false"/>
                <w:iCs w:val="false"/>
                <w:strike w:val="false"/>
                <w:color w:val="000000"/>
                <w:sz w:val="19"/>
                <w:szCs w:val="19"/>
              </w:rPr>
              <w:t xml:space="preserve">Air-Gapped Sync</w:t>
            </w:r>
          </w:p>
        </w:tc>
        <w:tc>
          <w:tcPr>
            <w:tcW w:type="pct" w:w="50%"/>
          </w:tcPr>
          <w:p>
            <w:r>
              <w:rPr>
                <w:rFonts w:ascii="Calibri" w:cs="Calibri" w:eastAsia="Calibri" w:hAnsi="Calibri"/>
                <w:b w:val="false"/>
                <w:bCs w:val="false"/>
                <w:i w:val="false"/>
                <w:iCs w:val="false"/>
                <w:strike w:val="false"/>
                <w:color w:val="000000"/>
                <w:sz w:val="19"/>
                <w:szCs w:val="19"/>
              </w:rPr>
              <w:t xml:space="preserve">Synchronization occurs via physical media or a manually-triggered transfer between two disconnected environments — no network path is assumed at all.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68.2 Consistency Mechanisms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Consistency across concurrent, disconnected edits is maintained through four mechanisms, layered on the existing VersionChain (Chapter 5) rather than replacing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Version Vectors — each device tracks the last-known VersionChain state it has synced, per Fact Unit, to detect divergence before merge rather than after.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CRDT-Based Merges — for Fact Unit fields where concurrent edits can be merged without conflict (for example, independently-added Tags on a Personal Note, §63.1), a conflict-free replicated data type merge rule combines both edits rather than requiring either device to overwrite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Deterministic Merge Rules — for fields where a CRDT merge isn't meaningful (for example, a Content field edited differently on two devices), a documented, deterministic rule — not an arbitrary or random tiebreak — determines the surviving version, with the losing version preserved in the VersionChain per §63.3's existing conflict-preservation principle, not discarded.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Provenance-Verified Checkpoints — a sync operation validates the incoming VersionChain segment's integrity against the Provenance Ledger's existing lineage verification (Chapter 5) before accepting it, the same integrity check already applied to any Fact Unit write.</w:t>
      </w:r>
    </w:p>
    <w:p>
      <w:pPr>
        <w:pStyle w:val="Heading2"/>
        <w:spacing w:after="120" w:before="240" w:line="288" w:lineRule="auto"/>
      </w:pPr>
      <w:r>
        <w:rPr>
          <w:rFonts w:ascii="Calibri" w:cs="Calibri" w:eastAsia="Calibri" w:hAnsi="Calibri"/>
          <w:color w:val="000000"/>
          <w:sz w:val="36"/>
          <w:szCs w:val="36"/>
        </w:rPr>
        <w:t xml:space="preserve">68.3 Offline Capabilities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device operating without connectivity retains the following, scoped to whatever Fact Units it has already synced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Full Querying — the Associative Recall Engine (§7.2.3) operates against the locally-cached Fact Graph subset; results are scoped to what's been synced, not the full remote Fact Graph.</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Provenance Verification — a locally-cached Fact Unit's lineage remains checkable against its cached VersionChain segment, without requiring a live connection to the Provenance Ledger's authoritative copy.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RBAC Enforcement — the AccessControlList and Role checks (Chapter 65, Appendix A) evaluate against the last-synced permission state; a permission revoked remotely takes effect locally on next sync, not instantly, which is a deliberate, stated latency — not a security gap being hidden.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Template Execution — QBPL programs (Chapter 48) already specified as running against the Fact Graph execute against the local cached subset.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Media Rendering — cached Fact Units of any modality (Chapter 4) render locally; IQR scenes (Chapter 46) render from whatever Fact Units and assets have already synced.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Edition Comparison — the existing Edition Comparison mode (§52.13.2) operates against locally-cached editions; comparison against an edition not yet synced is unavailable until connectivity resumes.</w:t>
      </w:r>
    </w:p>
    <w:p>
      <w:pPr>
        <w:pStyle w:val="Heading2"/>
        <w:spacing w:after="120" w:before="240" w:line="288" w:lineRule="auto"/>
      </w:pPr>
      <w:r>
        <w:rPr>
          <w:rFonts w:ascii="Calibri" w:cs="Calibri" w:eastAsia="Calibri" w:hAnsi="Calibri"/>
          <w:color w:val="000000"/>
          <w:sz w:val="36"/>
          <w:szCs w:val="36"/>
        </w:rPr>
        <w:t xml:space="preserve">68.4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the Associative Recall Engine (§7.2.3), the Role and AccessControlList model (Chapter 65, Appendix A), QBPL (Chapter 48), and the Multimodal Ingestion Pipeline (Chapter 4). It modifies none of their specifications — it defines how they behave when disconnected, not what they do.</w:t>
      </w:r>
    </w:p>
    <w:p>
      <w:pPr>
        <w:pStyle w:val="Heading2"/>
        <w:spacing w:after="120" w:before="240" w:line="288" w:lineRule="auto"/>
      </w:pPr>
      <w:r>
        <w:rPr>
          <w:rFonts w:ascii="Calibri" w:cs="Calibri" w:eastAsia="Calibri" w:hAnsi="Calibri"/>
          <w:color w:val="000000"/>
          <w:sz w:val="36"/>
          <w:szCs w:val="36"/>
        </w:rPr>
        <w:t xml:space="preserve">68.5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synchronization modes and four consistency mechanisms are specified here, all layered on the existing Provenance Ledger VersionChain rather than a new versioning system, and six offline capabilities are scoped to what a device has already synced — querying, provenance verification, access control, template execution, media rendering, and edition comparison all continue to function offline, against local state, with sync resolving divergence per §68.2's deterministic rules on reconnection.</w:t>
      </w:r>
    </w:p>
    <w:p>
      <w:pPr>
        <w:pStyle w:val="Heading1"/>
        <w:spacing w:after="120" w:before="240" w:line="288" w:lineRule="auto"/>
      </w:pPr>
      <w:r>
        <w:rPr>
          <w:rFonts w:ascii="Calibri" w:cs="Calibri" w:eastAsia="Calibri" w:hAnsi="Calibri"/>
          <w:color w:val="000000"/>
          <w:sz w:val="48"/>
          <w:szCs w:val="48"/>
        </w:rPr>
        <w:t xml:space="preserve">Chapter 69: Processor Slice Measurement Model</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Processor Slice: a bounded, deterministic unit of computation used to measure QueryBook operations, replacing opaque, model-internal token counting with something auditable and event-aligned. It is a genuinely useful idea drawn from an external submission, rebuilt to name only real QueryBook subsystems and to feed only real QueryBook systems — not the UFCS/FQL naming or the autonomous deployment mechanism the source material assumed.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MEASUREMENT UNIT, NOT A NEW SUBSYSTEM OR AN AUTHORITY</w:t>
            </w:r>
            <w:r>
              <w:rPr>
                <w:rFonts w:ascii="Calibri" w:cs="Calibri" w:eastAsia="Calibri" w:hAnsi="Calibri"/>
                <w:b/>
                <w:bCs/>
                <w:i w:val="false"/>
                <w:iCs w:val="false"/>
                <w:strike w:val="false"/>
                <w:color w:val="333333"/>
                <w:sz w:val="24"/>
                <w:szCs w:val="24"/>
              </w:rPr>
              <w:t xml:space="preserve">A Processor Slice measures work that already happens in already-specified chapters; it does not do the work itself, and it grants no chapter new capability. Slice telemetry feeds Chapter 67's Usage Analytics (§67.4) as the actual measurable unit behind aggregate usage counts, and feeds Chapter 66's Candidate Identification (§66.1) as one more telemetry source — exactly like the existing sources already named there. A slice, however numerous, poorly-performing, or high-priority, has no path to trigger a proposal, approval, or deployment on its own; Chapter 66's Human Review Gate (§66.5) is unaffected by anything in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69.1 Slice Definition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Processor Slice is a single event's measured lifecycle: a bounded execution window, a fixed memory envelope, and four recorded phases — start, run, commit, log. A slice is atomic with respect to measurement: it either completes and logs a result, or it fails and logs a failure; there is no partial, unmeasured state. This is a measurement property, not a new execution guarantee — it does not change how any existing chapter's operations actually execute, only how their cost and duration are recorded.</w:t>
      </w:r>
    </w:p>
    <w:p>
      <w:pPr>
        <w:pStyle w:val="Heading2"/>
        <w:spacing w:after="120" w:before="240" w:line="288" w:lineRule="auto"/>
      </w:pPr>
      <w:r>
        <w:rPr>
          <w:rFonts w:ascii="Calibri" w:cs="Calibri" w:eastAsia="Calibri" w:hAnsi="Calibri"/>
          <w:color w:val="000000"/>
          <w:sz w:val="36"/>
          <w:szCs w:val="36"/>
        </w:rPr>
        <w:t xml:space="preserve">69.2 Slice Categories</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categories are named for the real chapter whose operations they measure, not for a parallel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Slice</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One document's Stage 3–4 processing (semantic chunking, entity 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Slice</w:t>
            </w:r>
          </w:p>
        </w:tc>
        <w:tc>
          <w:tcPr>
            <w:tcW w:type="pct" w:w="33%"/>
          </w:tcPr>
          <w:p>
            <w:r>
              <w:rPr>
                <w:rFonts w:ascii="Calibri" w:cs="Calibri" w:eastAsia="Calibri" w:hAnsi="Calibri"/>
                <w:b w:val="false"/>
                <w:bCs w:val="false"/>
                <w:i w:val="false"/>
                <w:iCs w:val="false"/>
                <w:strike w:val="false"/>
                <w:color w:val="000000"/>
                <w:sz w:val="19"/>
                <w:szCs w:val="19"/>
              </w:rPr>
              <w:t xml:space="preserve">NCL (Chapter 7) and AEM (Chapter 15)</w:t>
            </w:r>
          </w:p>
        </w:tc>
        <w:tc>
          <w:tcPr>
            <w:tcW w:type="pct" w:w="33%"/>
          </w:tcPr>
          <w:p>
            <w:r>
              <w:rPr>
                <w:rFonts w:ascii="Calibri" w:cs="Calibri" w:eastAsia="Calibri" w:hAnsi="Calibri"/>
                <w:b w:val="false"/>
                <w:bCs w:val="false"/>
                <w:i w:val="false"/>
                <w:iCs w:val="false"/>
                <w:strike w:val="false"/>
                <w:color w:val="000000"/>
                <w:sz w:val="19"/>
                <w:szCs w:val="19"/>
              </w:rPr>
              <w:t xml:space="preserve">One Associative Recall Engine retrieval; one AEM inference chain.</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One query's five-stage Generation Directive construction.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Slice</w:t>
            </w:r>
          </w:p>
        </w:tc>
        <w:tc>
          <w:tcPr>
            <w:tcW w:type="pct" w:w="33%"/>
          </w:tcPr>
          <w:p>
            <w:r>
              <w:rPr>
                <w:rFonts w:ascii="Calibri" w:cs="Calibri" w:eastAsia="Calibri" w:hAnsi="Calibri"/>
                <w:b w:val="false"/>
                <w:bCs w:val="false"/>
                <w:i w:val="false"/>
                <w:iCs w:val="false"/>
                <w:strike w:val="false"/>
                <w:color w:val="000000"/>
                <w:sz w:val="19"/>
                <w:szCs w:val="19"/>
              </w:rPr>
              <w:t xml:space="preserve">IQR (Chapter 46) and VCUM (Chapter 44)</w:t>
            </w:r>
          </w:p>
        </w:tc>
        <w:tc>
          <w:tcPr>
            <w:tcW w:type="pct" w:w="33%"/>
          </w:tcPr>
          <w:p>
            <w:r>
              <w:rPr>
                <w:rFonts w:ascii="Calibri" w:cs="Calibri" w:eastAsia="Calibri" w:hAnsi="Calibri"/>
                <w:b w:val="false"/>
                <w:bCs w:val="false"/>
                <w:i w:val="false"/>
                <w:iCs w:val="false"/>
                <w:strike w:val="false"/>
                <w:color w:val="000000"/>
                <w:sz w:val="19"/>
                <w:szCs w:val="19"/>
              </w:rPr>
              <w:t xml:space="preserve">One scene composition; one frame's material/lighting synthesis.</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Slice</w:t>
            </w:r>
          </w:p>
        </w:tc>
        <w:tc>
          <w:tcPr>
            <w:tcW w:type="pct" w:w="33%"/>
          </w:tcPr>
          <w:p>
            <w:r>
              <w:rPr>
                <w:rFonts w:ascii="Calibri" w:cs="Calibri" w:eastAsia="Calibri" w:hAnsi="Calibri"/>
                <w:b w:val="false"/>
                <w:bCs w:val="false"/>
                <w:i w:val="false"/>
                <w:iCs w:val="false"/>
                <w:strike w:val="false"/>
                <w:color w:val="000000"/>
                <w:sz w:val="19"/>
                <w:szCs w:val="19"/>
              </w:rPr>
              <w:t xml:space="preserve">Safety Substrate (Chapter 8)</w:t>
            </w:r>
          </w:p>
        </w:tc>
        <w:tc>
          <w:tcPr>
            <w:tcW w:type="pct" w:w="33%"/>
          </w:tcPr>
          <w:p>
            <w:r>
              <w:rPr>
                <w:rFonts w:ascii="Calibri" w:cs="Calibri" w:eastAsia="Calibri" w:hAnsi="Calibri"/>
                <w:b w:val="false"/>
                <w:bCs w:val="false"/>
                <w:i w:val="false"/>
                <w:iCs w:val="false"/>
                <w:strike w:val="false"/>
                <w:color w:val="000000"/>
                <w:sz w:val="19"/>
                <w:szCs w:val="19"/>
              </w:rPr>
              <w:t xml:space="preserve">One enforcement-point evaluation — the same gate pattern named in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Sync Slice</w:t>
            </w:r>
          </w:p>
        </w:tc>
        <w:tc>
          <w:tcPr>
            <w:tcW w:type="pct" w:w="33%"/>
          </w:tcPr>
          <w:p>
            <w:r>
              <w:rPr>
                <w:rFonts w:ascii="Calibri" w:cs="Calibri" w:eastAsia="Calibri" w:hAnsi="Calibri"/>
                <w:b w:val="false"/>
                <w:bCs w:val="false"/>
                <w:i w:val="false"/>
                <w:iCs w:val="false"/>
                <w:strike w:val="false"/>
                <w:color w:val="000000"/>
                <w:sz w:val="19"/>
                <w:szCs w:val="19"/>
              </w:rPr>
              <w:t xml:space="preserve">Synchronization and Offline Operation Layer (Chapter 68)</w:t>
            </w:r>
          </w:p>
        </w:tc>
        <w:tc>
          <w:tcPr>
            <w:tcW w:type="pct" w:w="33%"/>
          </w:tcPr>
          <w:p>
            <w:r>
              <w:rPr>
                <w:rFonts w:ascii="Calibri" w:cs="Calibri" w:eastAsia="Calibri" w:hAnsi="Calibri"/>
                <w:b w:val="false"/>
                <w:bCs w:val="false"/>
                <w:i w:val="false"/>
                <w:iCs w:val="false"/>
                <w:strike w:val="false"/>
                <w:color w:val="000000"/>
                <w:sz w:val="19"/>
                <w:szCs w:val="19"/>
              </w:rPr>
              <w:t xml:space="preserve">One CRDT merge; one provenance-verified checkpoint validation (§68.2).</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set, not an exhaustive enumeration — any chapter with a discrete, boundable operation can define its own Slice Category following this same pattern (a bounded window, a fixed envelope, the four-phase lifecycle) without this chapter's specification needing to be modified to add one.</w:t>
      </w:r>
    </w:p>
    <w:p>
      <w:pPr>
        <w:pStyle w:val="Heading3"/>
        <w:spacing w:after="120" w:before="200" w:line="288" w:lineRule="auto"/>
      </w:pPr>
      <w:r>
        <w:rPr>
          <w:rFonts w:ascii="Calibri" w:cs="Calibri" w:eastAsia="Calibri" w:hAnsi="Calibri"/>
          <w:color w:val="000000"/>
          <w:sz w:val="28"/>
          <w:szCs w:val="28"/>
        </w:rPr>
        <w:t xml:space="preserve">69.2.1 Representative Event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events trigger a slice of the Category named, extending §69.2 down to the event level. Two further categories — Scheduler Slice and Recovery Slice — are named here for the first time; §69.2 already anticipated that additional categories could be added without modifying that section, and these two only become meaningful once specific triggering events are named.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Event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Slice Category Triggered</w:t>
            </w:r>
          </w:p>
        </w:tc>
      </w:tr>
      <w:tr>
        <w:tc>
          <w:tcPr>
            <w:tcW w:type="pct" w:w="50%"/>
          </w:tcPr>
          <w:p>
            <w:r>
              <w:rPr>
                <w:rFonts w:ascii="Calibri" w:cs="Calibri" w:eastAsia="Calibri" w:hAnsi="Calibri"/>
                <w:b w:val="false"/>
                <w:bCs w:val="false"/>
                <w:i w:val="false"/>
                <w:iCs w:val="false"/>
                <w:strike w:val="false"/>
                <w:color w:val="000000"/>
                <w:sz w:val="19"/>
                <w:szCs w:val="19"/>
              </w:rPr>
              <w:t xml:space="preserve">Document upload; multi-document batch ingest; Fact Synthesis start</w:t>
            </w:r>
          </w:p>
        </w:tc>
        <w:tc>
          <w:tcPr>
            <w:tcW w:type="pct" w:w="50%"/>
          </w:tcPr>
          <w:p>
            <w:r>
              <w:rPr>
                <w:rFonts w:ascii="Calibri" w:cs="Calibri" w:eastAsia="Calibri" w:hAnsi="Calibri"/>
                <w:b w:val="false"/>
                <w:bCs w:val="false"/>
                <w:i w:val="false"/>
                <w:iCs w:val="false"/>
                <w:strike w:val="false"/>
                <w:color w:val="000000"/>
                <w:sz w:val="19"/>
                <w:szCs w:val="19"/>
              </w:rPr>
              <w:t xml:space="preserve">Ingestion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Query submitted; Associative Recall Engine retrieval; Fact validation</w:t>
            </w:r>
          </w:p>
        </w:tc>
        <w:tc>
          <w:tcPr>
            <w:tcW w:type="pct" w:w="50%"/>
          </w:tcPr>
          <w:p>
            <w:r>
              <w:rPr>
                <w:rFonts w:ascii="Calibri" w:cs="Calibri" w:eastAsia="Calibri" w:hAnsi="Calibri"/>
                <w:b w:val="false"/>
                <w:bCs w:val="false"/>
                <w:i w:val="false"/>
                <w:iCs w:val="false"/>
                <w:strike w:val="false"/>
                <w:color w:val="000000"/>
                <w:sz w:val="19"/>
                <w:szCs w:val="19"/>
              </w:rPr>
              <w:t xml:space="preserve">Reasoning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Generation Directive construction (any ARE Pipeline stage, §52.8)</w:t>
            </w:r>
          </w:p>
        </w:tc>
        <w:tc>
          <w:tcPr>
            <w:tcW w:type="pct" w:w="50%"/>
          </w:tcPr>
          <w:p>
            <w:r>
              <w:rPr>
                <w:rFonts w:ascii="Calibri" w:cs="Calibri" w:eastAsia="Calibri" w:hAnsi="Calibri"/>
                <w:b w:val="false"/>
                <w:bCs w:val="false"/>
                <w:i w:val="false"/>
                <w:iCs w:val="false"/>
                <w:strike w:val="false"/>
                <w:color w:val="000000"/>
                <w:sz w:val="19"/>
                <w:szCs w:val="19"/>
              </w:rPr>
              <w:t xml:space="preserve">Response Generation Slice</w:t>
            </w:r>
          </w:p>
        </w:tc>
      </w:tr>
      <w:tr>
        <w:tc>
          <w:tcPr>
            <w:tcW w:type="pct" w:w="50%"/>
          </w:tcPr>
          <w:p>
            <w:r>
              <w:rPr>
                <w:rFonts w:ascii="Calibri" w:cs="Calibri" w:eastAsia="Calibri" w:hAnsi="Calibri"/>
                <w:b w:val="false"/>
                <w:bCs w:val="false"/>
                <w:i w:val="false"/>
                <w:iCs w:val="false"/>
                <w:strike w:val="false"/>
                <w:color w:val="000000"/>
                <w:sz w:val="19"/>
                <w:szCs w:val="19"/>
              </w:rPr>
              <w:t xml:space="preserve">Diagram or IQR scene render; Tour Waypoint entry (§46.9)</w:t>
            </w:r>
          </w:p>
        </w:tc>
        <w:tc>
          <w:tcPr>
            <w:tcW w:type="pct" w:w="50%"/>
          </w:tcPr>
          <w:p>
            <w:r>
              <w:rPr>
                <w:rFonts w:ascii="Calibri" w:cs="Calibri" w:eastAsia="Calibri" w:hAnsi="Calibri"/>
                <w:b w:val="false"/>
                <w:bCs w:val="false"/>
                <w:i w:val="false"/>
                <w:iCs w:val="false"/>
                <w:strike w:val="false"/>
                <w:color w:val="000000"/>
                <w:sz w:val="19"/>
                <w:szCs w:val="19"/>
              </w:rPr>
              <w:t xml:space="preserve">Rendering Slice</w:t>
            </w:r>
          </w:p>
        </w:tc>
      </w:tr>
      <w:tr>
        <w:tc>
          <w:tcPr>
            <w:tcW w:type="pct" w:w="50%"/>
          </w:tcPr>
          <w:p>
            <w:r>
              <w:rPr>
                <w:rFonts w:ascii="Calibri" w:cs="Calibri" w:eastAsia="Calibri" w:hAnsi="Calibri"/>
                <w:b w:val="false"/>
                <w:bCs w:val="false"/>
                <w:i w:val="false"/>
                <w:iCs w:val="false"/>
                <w:strike w:val="false"/>
                <w:color w:val="000000"/>
                <w:sz w:val="19"/>
                <w:szCs w:val="19"/>
              </w:rPr>
              <w:t xml:space="preserve">Permission check; Safety Substrate enforcement-point evaluation</w:t>
            </w:r>
          </w:p>
        </w:tc>
        <w:tc>
          <w:tcPr>
            <w:tcW w:type="pct" w:w="50%"/>
          </w:tcPr>
          <w:p>
            <w:r>
              <w:rPr>
                <w:rFonts w:ascii="Calibri" w:cs="Calibri" w:eastAsia="Calibri" w:hAnsi="Calibri"/>
                <w:b w:val="false"/>
                <w:bCs w:val="false"/>
                <w:i w:val="false"/>
                <w:iCs w:val="false"/>
                <w:strike w:val="false"/>
                <w:color w:val="000000"/>
                <w:sz w:val="19"/>
                <w:szCs w:val="19"/>
              </w:rPr>
              <w:t xml:space="preserve">Safety Gate Slice</w:t>
            </w:r>
          </w:p>
        </w:tc>
      </w:tr>
      <w:tr>
        <w:tc>
          <w:tcPr>
            <w:tcW w:type="pct" w:w="50%"/>
          </w:tcPr>
          <w:p>
            <w:r>
              <w:rPr>
                <w:rFonts w:ascii="Calibri" w:cs="Calibri" w:eastAsia="Calibri" w:hAnsi="Calibri"/>
                <w:b w:val="false"/>
                <w:bCs w:val="false"/>
                <w:i w:val="false"/>
                <w:iCs w:val="false"/>
                <w:strike w:val="false"/>
                <w:color w:val="000000"/>
                <w:sz w:val="19"/>
                <w:szCs w:val="19"/>
              </w:rPr>
              <w:t xml:space="preserve">Multi-viewer sync tick (§46.9.6); CRDT merge; checkpoint validation (§68.2)</w:t>
            </w:r>
          </w:p>
        </w:tc>
        <w:tc>
          <w:tcPr>
            <w:tcW w:type="pct" w:w="50%"/>
          </w:tcPr>
          <w:p>
            <w:r>
              <w:rPr>
                <w:rFonts w:ascii="Calibri" w:cs="Calibri" w:eastAsia="Calibri" w:hAnsi="Calibri"/>
                <w:b w:val="false"/>
                <w:bCs w:val="false"/>
                <w:i w:val="false"/>
                <w:iCs w:val="false"/>
                <w:strike w:val="false"/>
                <w:color w:val="000000"/>
                <w:sz w:val="19"/>
                <w:szCs w:val="19"/>
              </w:rPr>
              <w:t xml:space="preserve">Sync Slice</w:t>
            </w:r>
          </w:p>
        </w:tc>
      </w:tr>
      <w:tr>
        <w:tc>
          <w:tcPr>
            <w:tcW w:type="pct" w:w="50%"/>
          </w:tcPr>
          <w:p>
            <w:r>
              <w:rPr>
                <w:rFonts w:ascii="Calibri" w:cs="Calibri" w:eastAsia="Calibri" w:hAnsi="Calibri"/>
                <w:b w:val="false"/>
                <w:bCs w:val="false"/>
                <w:i w:val="false"/>
                <w:iCs w:val="false"/>
                <w:strike w:val="false"/>
                <w:color w:val="000000"/>
                <w:sz w:val="19"/>
                <w:szCs w:val="19"/>
              </w:rPr>
              <w:t xml:space="preserve">A slice allocation or queueing decision under system load</w:t>
            </w:r>
          </w:p>
        </w:tc>
        <w:tc>
          <w:tcPr>
            <w:tcW w:type="pct" w:w="50%"/>
          </w:tcPr>
          <w:p>
            <w:r>
              <w:rPr>
                <w:rFonts w:ascii="Calibri" w:cs="Calibri" w:eastAsia="Calibri" w:hAnsi="Calibri"/>
                <w:b w:val="false"/>
                <w:bCs w:val="false"/>
                <w:i w:val="false"/>
                <w:iCs w:val="false"/>
                <w:strike w:val="false"/>
                <w:color w:val="000000"/>
                <w:sz w:val="19"/>
                <w:szCs w:val="19"/>
              </w:rPr>
              <w:t xml:space="preserve">Scheduler Slice</w:t>
            </w:r>
          </w:p>
        </w:tc>
      </w:tr>
      <w:tr>
        <w:tc>
          <w:tcPr>
            <w:tcW w:type="pct" w:w="50%"/>
          </w:tcPr>
          <w:p>
            <w:r>
              <w:rPr>
                <w:rFonts w:ascii="Calibri" w:cs="Calibri" w:eastAsia="Calibri" w:hAnsi="Calibri"/>
                <w:b w:val="false"/>
                <w:bCs w:val="false"/>
                <w:i w:val="false"/>
                <w:iCs w:val="false"/>
                <w:strike w:val="false"/>
                <w:color w:val="000000"/>
                <w:sz w:val="19"/>
                <w:szCs w:val="19"/>
              </w:rPr>
              <w:t xml:space="preserve">Rollback Plan execution (§66.2); offline conflict resolution (§68.2)</w:t>
            </w:r>
          </w:p>
        </w:tc>
        <w:tc>
          <w:tcPr>
            <w:tcW w:type="pct" w:w="50%"/>
          </w:tcPr>
          <w:p>
            <w:r>
              <w:rPr>
                <w:rFonts w:ascii="Calibri" w:cs="Calibri" w:eastAsia="Calibri" w:hAnsi="Calibri"/>
                <w:b w:val="false"/>
                <w:bCs w:val="false"/>
                <w:i w:val="false"/>
                <w:iCs w:val="false"/>
                <w:strike w:val="false"/>
                <w:color w:val="000000"/>
                <w:sz w:val="19"/>
                <w:szCs w:val="19"/>
              </w:rPr>
              <w:t xml:space="preserve">Recovery Slice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69.2.2 Improvement Proposal Pipeline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events from the Improvement Proposal Pipeline (Chapter 66) are measurable, but deliberately do not receive their own Slice Categories — each is an instance of a category already named in §69.2, applied within a Chapter 66 stage, not a new kind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Performance anomaly detected — a Reasoning Slice pattern feeding Candidate Identification (§66.1), per §69.6.</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Agent or reviewer proposes an improvement — the analysis work constructing a Proposal (§66.2) is measured as a Reasoning Slice; the Proposal Fact Unit itself is not a slice, it is what a slice's work produces.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Sandbox simulation runs — measured as whichever Slice Categories the simulated operation would itself use (an ingestion change simulated in the sandbox produces Ingestion Slices, a rendering change produces Rendering Slices, and so on) — the Simulation Sandbox (§66.3) is where the measurement happens, not a distinct category of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Fitness Score computed — a Reasoning Slice, evaluating the sandbox's output against the proposal's Performance Prediction (§66.2).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ONE EVENT DELIBERATELY EXCLUDED FROM THIS TABLE</w:t>
            </w:r>
            <w:r>
              <w:rPr>
                <w:rFonts w:ascii="Calibri" w:cs="Calibri" w:eastAsia="Calibri" w:hAnsi="Calibri"/>
                <w:b/>
                <w:bCs/>
                <w:i w:val="false"/>
                <w:iCs w:val="false"/>
                <w:strike w:val="false"/>
                <w:color w:val="333333"/>
                <w:sz w:val="24"/>
                <w:szCs w:val="24"/>
              </w:rPr>
              <w:t xml:space="preserve">“Deployment rollout” is not listed above, and does not trigger a slice of any category on its own. An event directly triggering a deployment is the same gap §69.6 and §66.8 already close from the other direction — whether an autonomous mechanism is called a “Slice Category” or an “event trigger” does not change what it would do. A deployment remains reachable only through Chapter 66's full pipeline: a Candidate Record, a Proposal, sandbox evaluation, automated pre-screening, and a named human's approval at the Human Review Gate (§66.5). Once approved, the deployment itself (§66.6) is measured as ordinary Rendering, Ingestion, or Reasoning Slices depending on what the deployed change actually touches — the same categories every other operation uses, with nothing about deployment status granting it a special, event-triggered path of its own.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69.2.3 Slice Assignment Process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event's Slice Category (§69.2, §69.2.1, §69.2.2) is assigned through a deterministic three-step process, formalizing what was previously left as an implied table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Event Classification — the firing event is categorized by which existing chapter's operation it belongs to (the same classification §69.2.1's table already performs, restated here as a defined step rather than a lookup).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classified event's expected execution envelope (bounded time window, memory envelope) is resolved from the Slice Category's own definition (§69.1, §69.2); this step reads an existing definition, it does not compute a new one per event.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Category Assignment — the resolved profile determines the final Slice Category. Given the same event under the same system conditions, this assignment is deterministic and reproducible — the same property §69.1 already requires of a slice's measurement, extended here to the assignment step that precedes it.</w:t>
      </w:r>
    </w:p>
    <w:p>
      <w:pPr>
        <w:pStyle w:val="Heading3"/>
        <w:spacing w:after="120" w:before="200" w:line="288" w:lineRule="auto"/>
      </w:pPr>
      <w:r>
        <w:rPr>
          <w:rFonts w:ascii="Calibri" w:cs="Calibri" w:eastAsia="Calibri" w:hAnsi="Calibri"/>
          <w:color w:val="000000"/>
          <w:sz w:val="28"/>
          <w:szCs w:val="28"/>
        </w:rPr>
        <w:t xml:space="preserve">69.2.4 Priority Ordering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system load creates contention between slices awaiting execution, priority is resolved in a fixed order, not a configurable or agent-influenced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Safety Gate Slices (§69.2) execute first, always — an operationalization of the Safety Substrate's existing “embedded at every layer” principle (§8.1.1) applied to scheduling contention specifically, not a new safety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Recovery Slices (§69.2.1) execute next, ahead of ordinary work — a fault or an offline conflict needing resolution (§68.2) should not queue behind routine operations.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All other Slice Categories execute in the order the Scheduler Slice (§69.2.1) admits them, with no category above Ingestion, Reasoning, Response Generation, Rendering, or Sync receiving standing priority over another.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AGENT-OVERRIDE CHANNEL IN THIS PROCESS</w:t>
            </w:r>
            <w:r>
              <w:rPr>
                <w:rFonts w:ascii="Calibri" w:cs="Calibri" w:eastAsia="Calibri" w:hAnsi="Calibri"/>
                <w:b/>
                <w:bCs/>
                <w:i w:val="false"/>
                <w:iCs w:val="false"/>
                <w:strike w:val="false"/>
                <w:color w:val="333333"/>
                <w:sz w:val="24"/>
                <w:szCs w:val="24"/>
              </w:rPr>
              <w:t xml:space="preserve">The assignment process in §69.2.3 and the priority order in §69.2.4 admit no override input from an agent, a proposal, or any other actor — assignment and priority are functions of the event and current system load only. A mechanism allowing an agent to supersede scheduler defaults at runtime was considered and excluded: whatever it is called, a live channel for an agent to unilaterally change how the system executes is the same class of authority §66.5's Human Review Gate exists to prevent, and §69.6 already establishes that slice telemetry only ever reaches system behavior through Chapter 66's full pipeline, never directly.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69.3 Slice Logging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slice writes a log entry — category, duration, memory envelope, and the specific Fact Units or chapter operation it affected — to the Provenance Ledger (Chapter 5), using the same write path as any other audited action in this Bible. This chapter does not define a new telemetry store; slice logs are Provenance Ledger entries, queryable the same way any other provenance record is.</w:t>
      </w:r>
    </w:p>
    <w:p>
      <w:pPr>
        <w:pStyle w:val="Heading2"/>
        <w:spacing w:after="120" w:before="240" w:line="288" w:lineRule="auto"/>
      </w:pPr>
      <w:r>
        <w:rPr>
          <w:rFonts w:ascii="Calibri" w:cs="Calibri" w:eastAsia="Calibri" w:hAnsi="Calibri"/>
          <w:color w:val="000000"/>
          <w:sz w:val="36"/>
          <w:szCs w:val="36"/>
        </w:rPr>
        <w:t xml:space="preserve">69.4 Slice Aggregation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composite operation — ingesting a long document, composing a multi-Waypoint Tour (§46.9) — is naturally composed of many individual slices. An Operation Profile aggregates the slices belonging to one composite operation into a single summary (total duration, peak memory, slice count by category) for reporting purposes, without collapsing the individual slice log entries themselves — the detailed history remains in the Provenance Ledger even after aggregation.</w:t>
      </w:r>
    </w:p>
    <w:p>
      <w:pPr>
        <w:pStyle w:val="Heading2"/>
        <w:spacing w:after="120" w:before="240" w:line="288" w:lineRule="auto"/>
      </w:pPr>
      <w:r>
        <w:rPr>
          <w:rFonts w:ascii="Calibri" w:cs="Calibri" w:eastAsia="Calibri" w:hAnsi="Calibri"/>
          <w:color w:val="000000"/>
          <w:sz w:val="36"/>
          <w:szCs w:val="36"/>
        </w:rPr>
        <w:t xml:space="preserve">69.5 Integration with Usage Analytics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67's Usage Analytics (§67.4) is specified as aggregate counts derived from the Provenance Ledger's existing audit trail. Slice logs (§69.3) are the specific, granular records that trail is built from where compute measurement is the relevant dimension — an organization's administrator reviewing Usage Analytics is, in practice, reviewing aggregated slice data. This is the connection the source material called “billing”; this Bible does not specify pricing (§67's scope note is unchanged by this chapter), only the measurement layer underneath it, should an operator choose to build pricing on top.</w:t>
      </w:r>
    </w:p>
    <w:p>
      <w:pPr>
        <w:pStyle w:val="Heading2"/>
        <w:spacing w:after="120" w:before="240" w:line="288" w:lineRule="auto"/>
      </w:pPr>
      <w:r>
        <w:rPr>
          <w:rFonts w:ascii="Calibri" w:cs="Calibri" w:eastAsia="Calibri" w:hAnsi="Calibri"/>
          <w:color w:val="000000"/>
          <w:sz w:val="36"/>
          <w:szCs w:val="36"/>
        </w:rPr>
        <w:t xml:space="preserve">69.6 Integration with the Improvement Proposal Pipeline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Slice logs aggregated across many operations are one input to Candidate Identification (§66.1) — a Reasoning Slice category consistently running long, for instance, is exactly the kind of recurring bottleneck §66.1 already looks for in existing telemetry. This chapter adds a data source to that existing process; it does not add a new approval path. A slice-derived Candidate Record still becomes a Proposal (§66.2), still passes through the Simulation Sandbox (§66.3) and automated pre-screening (§66.4), and still requires a named human's approval at the Human Review Gate (§66.5) before anything changes — identical to a Candidate Record from any other source.</w:t>
      </w:r>
    </w:p>
    <w:p>
      <w:pPr>
        <w:pStyle w:val="Heading2"/>
        <w:spacing w:after="120" w:before="240" w:line="288" w:lineRule="auto"/>
      </w:pPr>
      <w:r>
        <w:rPr>
          <w:rFonts w:ascii="Calibri" w:cs="Calibri" w:eastAsia="Calibri" w:hAnsi="Calibri"/>
          <w:color w:val="000000"/>
          <w:sz w:val="36"/>
          <w:szCs w:val="36"/>
        </w:rPr>
        <w:t xml:space="preserve">69.7 What This Chapter Does Not Specify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UFCS, FQL, or “token” concept — slices measure operations already specified against the Fact Unit and Fact Graph architecture this Bible actually has.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autonomous deployment authority — unlike the source material's “Deployment Slice,” nothing in this chapter executes a canary rollout, shadow traffic exposure, or auto-rollback on its own. Deployment remains exactly as specified in §66.6: staged, and only after human approval.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pricing model — this chapter specifies measurement, not cost. What an operator charges for compute, if anything, is outside this Bible's scope, consistent with §65.5 and §67's scope notes.</w:t>
      </w:r>
    </w:p>
    <w:p>
      <w:pPr>
        <w:pStyle w:val="Heading2"/>
        <w:spacing w:after="120" w:before="240" w:line="288" w:lineRule="auto"/>
      </w:pPr>
      <w:r>
        <w:rPr>
          <w:rFonts w:ascii="Calibri" w:cs="Calibri" w:eastAsia="Calibri" w:hAnsi="Calibri"/>
          <w:color w:val="000000"/>
          <w:sz w:val="36"/>
          <w:szCs w:val="36"/>
        </w:rPr>
        <w:t xml:space="preserve">69.8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Usage Analytics (§67.4), and Candidate Identification (§66.1). It modifies none of their specifications.</w:t>
      </w:r>
    </w:p>
    <w:p>
      <w:pPr>
        <w:pStyle w:val="Heading2"/>
        <w:spacing w:after="120" w:before="240" w:line="288" w:lineRule="auto"/>
      </w:pPr>
      <w:r>
        <w:rPr>
          <w:rFonts w:ascii="Calibri" w:cs="Calibri" w:eastAsia="Calibri" w:hAnsi="Calibri"/>
          <w:color w:val="000000"/>
          <w:sz w:val="36"/>
          <w:szCs w:val="36"/>
        </w:rPr>
        <w:t xml:space="preserve">69.9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Processor Slice replaces opaque, model-internal token counting with a bounded, four-phase, auditable measurement unit, logged through the existing Provenance Ledger rather than a new telemetry store, feeding Usage Analytics as the real unit behind aggregate usage counts and feeding the Improvement Proposal Pipeline as one more Candidate Identification input — with no path around that pipeline's human approval requirement. The genuinely useful idea in the source material survives; the UFCS naming, the autonomous deployment authority, and the unverifiable patent references do not.</w:t>
      </w:r>
    </w:p>
    <w:p>
      <w:pPr>
        <w:pStyle w:val="Heading1"/>
        <w:spacing w:after="120" w:before="240" w:line="288" w:lineRule="auto"/>
      </w:pPr>
      <w:r>
        <w:rPr>
          <w:rFonts w:ascii="Calibri" w:cs="Calibri" w:eastAsia="Calibri" w:hAnsi="Calibri"/>
          <w:color w:val="000000"/>
          <w:sz w:val="48"/>
          <w:szCs w:val="48"/>
        </w:rPr>
        <w:t xml:space="preserve">Chapter 70: Precision Color and Geometric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device-independent color accuracy and constraint-based geometric alignment for authored visual content — diagrams, figures, UI elements, and VR objects — so that an author's chosen color and layout render within a stated tolerance across display, print, and VR output, rather than drifting between rendering modes or revisions. It is built from a real, useful submission, rebuilt on Fact Units rather than UFCS, and using this Bible's existing query and retrieval architecture rather than an invented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DISTINCT FROM, NOT A DUPLICATE OF, VCUM AND WASM</w:t>
            </w:r>
            <w:r>
              <w:rPr>
                <w:rFonts w:ascii="Calibri" w:cs="Calibri" w:eastAsia="Calibri" w:hAnsi="Calibri"/>
                <w:b/>
                <w:bCs/>
                <w:i w:val="false"/>
                <w:iCs w:val="false"/>
                <w:strike w:val="false"/>
                <w:color w:val="333333"/>
                <w:sz w:val="24"/>
                <w:szCs w:val="24"/>
              </w:rPr>
              <w:t xml:space="preserve">VCUM's Semantic Colorization Engine (§44.3.1) synthesizes plausible color for content that never had reliable color information — restoring old footage. This chapter's color matching is the opposite problem: an author already specified an exact color, and the system must reproduce it within a stated tolerance across every output mode, not infer or synthesize it. Where this chapter's calibration needs actual color synthesis (deriving a color from context), it reuses VCUM's SCE directly rather than duplicating it. Separately, WASM's Object Layer (§53.3) models conceptual spatial relationships (“cup on table”) for world understanding; this chapter's geometry is production-grade rendering precision (exact coordinates, tolerances in millimeters or fractions of a degree) for a diagram or VR object, a different granularity serving a different purpose. Neither existing system is modified by this chapter.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Color Fact Unit is a Fact Unit (Appendix A's base schema) carrying color-specific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ColorSpace</w:t>
            </w:r>
          </w:p>
        </w:tc>
        <w:tc>
          <w:tcPr>
            <w:tcW w:type="pct" w:w="50%"/>
          </w:tcPr>
          <w:p>
            <w:r>
              <w:rPr>
                <w:rFonts w:ascii="Calibri" w:cs="Calibri" w:eastAsia="Calibri" w:hAnsi="Calibri"/>
                <w:b w:val="false"/>
                <w:bCs w:val="false"/>
                <w:i w:val="false"/>
                <w:iCs w:val="false"/>
                <w:strike w:val="false"/>
                <w:color w:val="000000"/>
                <w:sz w:val="19"/>
                <w:szCs w:val="19"/>
              </w:rPr>
              <w:t xml:space="preserve">Lab, LCH, XYZ, sRGB, AdobeRGB, or DisplayP3 — the device-independent or device-referenced space the Values field is expressed in.</w:t>
            </w:r>
          </w:p>
        </w:tc>
      </w:tr>
      <w:tr>
        <w:tc>
          <w:tcPr>
            <w:tcW w:type="pct" w:w="50%"/>
          </w:tcPr>
          <w:p>
            <w:r>
              <w:rPr>
                <w:rFonts w:ascii="Calibri" w:cs="Calibri" w:eastAsia="Calibri" w:hAnsi="Calibri"/>
                <w:b w:val="false"/>
                <w:bCs w:val="false"/>
                <w:i w:val="false"/>
                <w:iCs w:val="false"/>
                <w:strike w:val="false"/>
                <w:color w:val="000000"/>
                <w:sz w:val="19"/>
                <w:szCs w:val="19"/>
              </w:rPr>
              <w:t xml:space="preserve">Values</w:t>
            </w:r>
          </w:p>
        </w:tc>
        <w:tc>
          <w:tcPr>
            <w:tcW w:type="pct" w:w="50%"/>
          </w:tcPr>
          <w:p>
            <w:r>
              <w:rPr>
                <w:rFonts w:ascii="Calibri" w:cs="Calibri" w:eastAsia="Calibri" w:hAnsi="Calibri"/>
                <w:b w:val="false"/>
                <w:bCs w:val="false"/>
                <w:i w:val="false"/>
                <w:iCs w:val="false"/>
                <w:strike w:val="false"/>
                <w:color w:val="000000"/>
                <w:sz w:val="19"/>
                <w:szCs w:val="19"/>
              </w:rPr>
              <w:t xml:space="preserve">The numeric color coordinates in the declared ColorSpace.</w:t>
            </w:r>
          </w:p>
        </w:tc>
      </w:tr>
      <w:tr>
        <w:tc>
          <w:tcPr>
            <w:tcW w:type="pct" w:w="50%"/>
          </w:tcPr>
          <w:p>
            <w:r>
              <w:rPr>
                <w:rFonts w:ascii="Calibri" w:cs="Calibri" w:eastAsia="Calibri" w:hAnsi="Calibri"/>
                <w:b w:val="false"/>
                <w:bCs w:val="false"/>
                <w:i w:val="false"/>
                <w:iCs w:val="false"/>
                <w:strike w:val="false"/>
                <w:color w:val="000000"/>
                <w:sz w:val="19"/>
                <w:szCs w:val="19"/>
              </w:rPr>
              <w:t xml:space="preserve">ICCProfileRef</w:t>
            </w:r>
          </w:p>
        </w:tc>
        <w:tc>
          <w:tcPr>
            <w:tcW w:type="pct" w:w="50%"/>
          </w:tcPr>
          <w:p>
            <w:r>
              <w:rPr>
                <w:rFonts w:ascii="Calibri" w:cs="Calibri" w:eastAsia="Calibri" w:hAnsi="Calibri"/>
                <w:b w:val="false"/>
                <w:bCs w:val="false"/>
                <w:i w:val="false"/>
                <w:iCs w:val="false"/>
                <w:strike w:val="false"/>
                <w:color w:val="000000"/>
                <w:sz w:val="19"/>
                <w:szCs w:val="19"/>
              </w:rPr>
              <w:t xml:space="preserve">Optional reference to an ICC profile Fact Unit for device-specific rendering.</w:t>
            </w:r>
          </w:p>
        </w:tc>
      </w:tr>
      <w:tr>
        <w:tc>
          <w:tcPr>
            <w:tcW w:type="pct" w:w="50%"/>
          </w:tcPr>
          <w:p>
            <w:r>
              <w:rPr>
                <w:rFonts w:ascii="Calibri" w:cs="Calibri" w:eastAsia="Calibri" w:hAnsi="Calibri"/>
                <w:b w:val="false"/>
                <w:bCs w:val="false"/>
                <w:i w:val="false"/>
                <w:iCs w:val="false"/>
                <w:strike w:val="false"/>
                <w:color w:val="000000"/>
                <w:sz w:val="19"/>
                <w:szCs w:val="19"/>
              </w:rPr>
              <w:t xml:space="preserve">DeltaEThreshold</w:t>
            </w:r>
          </w:p>
        </w:tc>
        <w:tc>
          <w:tcPr>
            <w:tcW w:type="pct" w:w="50%"/>
          </w:tcPr>
          <w:p>
            <w:r>
              <w:rPr>
                <w:rFonts w:ascii="Calibri" w:cs="Calibri" w:eastAsia="Calibri" w:hAnsi="Calibri"/>
                <w:b w:val="false"/>
                <w:bCs w:val="false"/>
                <w:i w:val="false"/>
                <w:iCs w:val="false"/>
                <w:strike w:val="false"/>
                <w:color w:val="000000"/>
                <w:sz w:val="19"/>
                <w:szCs w:val="19"/>
              </w:rPr>
              <w:t xml:space="preserve">Maximum allowed CIEΔE2000 deviation before a rendering is considered non-compliant.</w:t>
            </w:r>
          </w:p>
        </w:tc>
      </w:tr>
      <w:tr>
        <w:tc>
          <w:tcPr>
            <w:tcW w:type="pct" w:w="50%"/>
          </w:tcPr>
          <w:p>
            <w:r>
              <w:rPr>
                <w:rFonts w:ascii="Calibri" w:cs="Calibri" w:eastAsia="Calibri" w:hAnsi="Calibri"/>
                <w:b w:val="false"/>
                <w:bCs w:val="false"/>
                <w:i w:val="false"/>
                <w:iCs w:val="false"/>
                <w:strike w:val="false"/>
                <w:color w:val="000000"/>
                <w:sz w:val="19"/>
                <w:szCs w:val="19"/>
              </w:rPr>
              <w:t xml:space="preserve">RenderingIntent</w:t>
            </w:r>
          </w:p>
        </w:tc>
        <w:tc>
          <w:tcPr>
            <w:tcW w:type="pct" w:w="50%"/>
          </w:tcPr>
          <w:p>
            <w:r>
              <w:rPr>
                <w:rFonts w:ascii="Calibri" w:cs="Calibri" w:eastAsia="Calibri" w:hAnsi="Calibri"/>
                <w:b w:val="false"/>
                <w:bCs w:val="false"/>
                <w:i w:val="false"/>
                <w:iCs w:val="false"/>
                <w:strike w:val="false"/>
                <w:color w:val="000000"/>
                <w:sz w:val="19"/>
                <w:szCs w:val="19"/>
              </w:rPr>
              <w:t xml:space="preserve">Perceptual, RelativeColorimetric, AbsoluteColorimetric, or Saturation — governs out-of-gamut handling.</w:t>
            </w:r>
          </w:p>
        </w:tc>
      </w:tr>
      <w:tr>
        <w:tc>
          <w:tcPr>
            <w:tcW w:type="pct" w:w="50%"/>
          </w:tcPr>
          <w:p>
            <w:r>
              <w:rPr>
                <w:rFonts w:ascii="Calibri" w:cs="Calibri" w:eastAsia="Calibri" w:hAnsi="Calibri"/>
                <w:b w:val="false"/>
                <w:bCs w:val="false"/>
                <w:i w:val="false"/>
                <w:iCs w:val="false"/>
                <w:strike w:val="false"/>
                <w:color w:val="000000"/>
                <w:sz w:val="19"/>
                <w:szCs w:val="19"/>
              </w:rPr>
              <w:t xml:space="preserve">Locked</w:t>
            </w:r>
          </w:p>
        </w:tc>
        <w:tc>
          <w:tcPr>
            <w:tcW w:type="pct" w:w="50%"/>
          </w:tcPr>
          <w:p>
            <w:r>
              <w:rPr>
                <w:rFonts w:ascii="Calibri" w:cs="Calibri" w:eastAsia="Calibri" w:hAnsi="Calibri"/>
                <w:b w:val="false"/>
                <w:bCs w:val="false"/>
                <w:i w:val="false"/>
                <w:iCs w:val="false"/>
                <w:strike w:val="false"/>
                <w:color w:val="000000"/>
                <w:sz w:val="19"/>
                <w:szCs w:val="19"/>
              </w:rPr>
              <w:t xml:space="preserve">When true, the color cannot be modified without an explicit, logged override — an AccessControlList-governed write like any other, not a special mechanism.</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70.2 Geometry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Geometry Fact Unit carries production-precision spatial fields, distinct from WASM's conceptual spatial relations (§53.3.2):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Position, Rotation, and Scale — exact coordinates in the declared coordinate system (Cartesian2D, Cartesian3D, Polar, or Spherical).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Anchors — references to other Geometry Fact Units this one's position is defined relative to.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Tolerance — the maximum allowed positional or rotational drift before the geometry is considered non-compliant, expressed in the same units as Position (for example, millimeters for print, meters for VR).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Locked — the same AccessControlList-governed override pattern as §70.1's Color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Constraint Fact Unit expresses a relationship between two Geometry Fact Units — Align, Center, Pin, LockTo, or RelativeTo — with a priority value used to resolve conflicts when multiple constraints apply to the same geometry.</w:t>
      </w:r>
    </w:p>
    <w:p>
      <w:pPr>
        <w:pStyle w:val="Heading2"/>
        <w:spacing w:after="120" w:before="240" w:line="288" w:lineRule="auto"/>
      </w:pPr>
      <w:r>
        <w:rPr>
          <w:rFonts w:ascii="Calibri" w:cs="Calibri" w:eastAsia="Calibri" w:hAnsi="Calibri"/>
          <w:color w:val="000000"/>
          <w:sz w:val="36"/>
          <w:szCs w:val="36"/>
        </w:rPr>
        <w:t xml:space="preserve">70.3 Color Calibration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Calibration runs as a sequence of Fact Unit transformations, each stage producing a new, queryable Fact Unit rather than an opaque intermediate value: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Profile Resolution — the target device's ICC profile is resolved and the Color Fact Unit's Values are converted to that profile's connection space.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Space Normalization — colors are normalized into a device-independent master space (Lab or XYZ) with chromatic adaptation applied, producing a NormalizedColor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ΔE Validation — CIEΔE2000 is computed between the normalized color and the target profile's rendering of it; a result exceeding DeltaEThreshold (§70.1) produces a ColorDrift Fact Unit rather than silently passing, the same non-silent-failure discipline already applied to every other validation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Rendering Intent Application — the declared RenderingIntent resolves out-of-gamut colors for the specific output mode (PDF, SVG, WebGL, or VR headset), producing a RenderReadyColor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color must be synthesized rather than matched — no author-specified Color Fact Unit exists for a given element — this pipeline defers to VCUM's Semantic Colorization Engine (§44.3.1) rather than duplicating synthesis logic; this chapter's pipeline governs matching and validation, not invention.</w:t>
      </w:r>
    </w:p>
    <w:p>
      <w:pPr>
        <w:pStyle w:val="Heading2"/>
        <w:spacing w:after="120" w:before="240" w:line="288" w:lineRule="auto"/>
      </w:pPr>
      <w:r>
        <w:rPr>
          <w:rFonts w:ascii="Calibri" w:cs="Calibri" w:eastAsia="Calibri" w:hAnsi="Calibri"/>
          <w:color w:val="000000"/>
          <w:sz w:val="36"/>
          <w:szCs w:val="36"/>
        </w:rPr>
        <w:t xml:space="preserve">70.4 The Registration Constraint Graph</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alignment is resolved by a constraint graph: Geometry Fact Units are nodes, Constraint Fact Units are weighted edges, and a three-pass solver produces a final, deterministic layout: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1, Absolute Resolution — LockTo and Pin constraints resolve first, forming the layout's fixed backbone.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2, Relative Resolution — Align, Center, and RelativeTo constraints resolve against the backbone, with conflicts broken by constraint priority (§70.2).</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Pass 3, Drift Detection — the resolved geometry is compared against the previous version in the Provenance Ledger's VersionChain (Chapter 5) and against each Geometry Fact Unit's own Tolerance; an excess produces a RegistrationDrift Fact Unit, the same non-silent-failure pattern as §70.3's ΔE validation.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valid graph permits no cycles among absolute constraints; relative constraints may cycle only if the solver can still reach a deterministic result. This is a real constraint on what a valid Constraint Fact Unit set can express, not merely a recommendation.</w:t>
      </w:r>
    </w:p>
    <w:p>
      <w:pPr>
        <w:pStyle w:val="Heading2"/>
        <w:spacing w:after="120" w:before="240" w:line="288" w:lineRule="auto"/>
      </w:pPr>
      <w:r>
        <w:rPr>
          <w:rFonts w:ascii="Calibri" w:cs="Calibri" w:eastAsia="Calibri" w:hAnsi="Calibri"/>
          <w:color w:val="000000"/>
          <w:sz w:val="36"/>
          <w:szCs w:val="36"/>
        </w:rPr>
        <w:t xml:space="preserve">70.5 VR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VR-specific alignment reuses this chapter's Geometry Fact Units and Constraint Graph rather than a separate VR-only system, anchored to the Tour Waypoints already specified in §46.9 rather than inventing a parallel anchor concept: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VR object's Geometry Fact Unit anchors to a Tour Waypoint (§46.9) or an IQR scene object (Chapter 46) using the same Anchors field already specified in §70.2, not a new binding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further Constraint types apply specifically in VR: WorldLock (geometry stays fixed in world space regardless of viewer movement) and FollowUser (geometry tracks viewer position — for a heads-up display element, for instance). Both are ordinary entries in the same Constraint Fact Unit type (§70.2), not a separate VR constraint 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Drift detection (§70.4, Pass 3) in VR additionally accounts for headset tracking instability as a drift source, compared against the same per-Geometry-Fact-Unit Tolerance field — no separate VR tolerance concept.</w:t>
      </w:r>
    </w:p>
    <w:p>
      <w:pPr>
        <w:pStyle w:val="Heading2"/>
        <w:spacing w:after="120" w:before="240" w:line="288" w:lineRule="auto"/>
      </w:pPr>
      <w:r>
        <w:rPr>
          <w:rFonts w:ascii="Calibri" w:cs="Calibri" w:eastAsia="Calibri" w:hAnsi="Calibri"/>
          <w:color w:val="000000"/>
          <w:sz w:val="36"/>
          <w:szCs w:val="36"/>
        </w:rPr>
        <w:t xml:space="preserve">70.6 Querying Color and Geometry Facts</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Geometry Fact Units are retrieved and verified through this Bible's existing query architecture — QBQL (Chapter 18) for structured retrieval (for example, finding all Color Fact Units within a stated ΔE of a target value), and the Associative Recall Engine (§7.2.3) for semantic lookup — not a new query language. A “verify this figure's color accuracy” or “report registration drift since version N” request is an ordinary QBQL query against ColorDrift and RegistrationDrift Fact Units (§70.3, §70.4), which already exist as queryable Fact Units the moment a validation pass produces them.</w:t>
      </w:r>
    </w:p>
    <w:p>
      <w:pPr>
        <w:pStyle w:val="Heading2"/>
        <w:spacing w:after="120" w:before="240" w:line="288" w:lineRule="auto"/>
      </w:pPr>
      <w:r>
        <w:rPr>
          <w:rFonts w:ascii="Calibri" w:cs="Calibri" w:eastAsia="Calibri" w:hAnsi="Calibri"/>
          <w:color w:val="000000"/>
          <w:sz w:val="36"/>
          <w:szCs w:val="36"/>
        </w:rPr>
        <w:t xml:space="preserve">70.7 Integration with Print-on-Demand</w:t>
      </w:r>
    </w:p>
    <w:p>
      <w:pPr>
        <w:spacing w:after="120" w:line="360" w:lineRule="auto"/>
      </w:pPr>
      <w:r>
        <w:rPr>
          <w:rFonts w:ascii="Calibri" w:cs="Calibri" w:eastAsia="Calibri" w:hAnsi="Calibri"/>
          <w:b w:val="false"/>
          <w:bCs w:val="false"/>
          <w:i w:val="false"/>
          <w:iCs w:val="false"/>
          <w:strike w:val="false"/>
          <w:color w:val="000000"/>
          <w:sz w:val="22"/>
          <w:szCs w:val="22"/>
        </w:rPr>
        <w:t xml:space="preserve">Precision color and registration matter most where they are hardest to correct after the fact — physical print. Chapter 60's Print Production (§60.3) parameters may reference Color and Geometry Fact Units for cover art and print layout; a submission with an unresolved ColorDrift or RegistrationDrift Fact Unit above tolerance is flagged before Batch Printing (§60.3) proceeds, the same pre-flight discipline the Rights Validation Gate (§60.2) already applies to a different kind of check.</w:t>
      </w:r>
    </w:p>
    <w:p>
      <w:pPr>
        <w:pStyle w:val="Heading2"/>
        <w:spacing w:after="120" w:before="240" w:line="288" w:lineRule="auto"/>
      </w:pPr>
      <w:r>
        <w:rPr>
          <w:rFonts w:ascii="Calibri" w:cs="Calibri" w:eastAsia="Calibri" w:hAnsi="Calibri"/>
          <w:color w:val="000000"/>
          <w:sz w:val="36"/>
          <w:szCs w:val="36"/>
        </w:rPr>
        <w:t xml:space="preserve">70.8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QBQL (Chapter 18), the Associative Recall Engine (§7.2.3), VCUM's SCE (§44.3.1), Tour Waypoints (§46.9), WASM's Object Layer (§53.3, referenced only to distinguish scope), and Chapter 60's Print Production (§60.3). It modifies none of their specifications.</w:t>
      </w:r>
    </w:p>
    <w:p>
      <w:pPr>
        <w:pStyle w:val="Heading2"/>
        <w:spacing w:after="120" w:before="240" w:line="288" w:lineRule="auto"/>
      </w:pPr>
      <w:r>
        <w:rPr>
          <w:rFonts w:ascii="Calibri" w:cs="Calibri" w:eastAsia="Calibri" w:hAnsi="Calibri"/>
          <w:color w:val="000000"/>
          <w:sz w:val="36"/>
          <w:szCs w:val="36"/>
        </w:rPr>
        <w:t xml:space="preserve">70.9 Geometric Proof Engine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formal, deductive geometric reasoning — the one genuinely new capability found in a submission otherwise built on the declined manifold-layer concept (SML/GML/TML/RML) and substantially duplicating this chapter's own Geometry and Constraint Fact Units under new names. The Geometric Proof Engine (GPE) reasons over Geometry and Constraint Fact Units already specified in §70.1–§70.2 — it introduces no parallel FactType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DEDUCTIVE RULES OVER EXISTING FACT UNITS, NOT A NEW GEOMETRIC ONTOLOGY</w:t>
            </w:r>
            <w:r>
              <w:rPr>
                <w:rFonts w:ascii="Calibri" w:cs="Calibri" w:eastAsia="Calibri" w:hAnsi="Calibri"/>
                <w:b/>
                <w:bCs/>
                <w:i w:val="false"/>
                <w:iCs w:val="false"/>
                <w:strike w:val="false"/>
                <w:color w:val="333333"/>
                <w:sz w:val="24"/>
                <w:szCs w:val="24"/>
              </w:rPr>
              <w:t xml:space="preserve">The GPE applies a fixed, deterministic set of classical geometric rules (angle relationships, triangle properties, circle theorems, parallel-line properties) to Geometry Fact Units already in the Fact Graph. It does not introduce GeometricObject, SceneTopology, or SpatialRelation as new FactTypes — those would duplicate the Geometry and Constraint Fact Units §70.1–§70.2 already specify. A rule fires only against facts that already exist; per §70.9.3, it cannot introduce a new geometric entity into the Fact Graph, only a derived relationship between entities already there.</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70.9.1 Rule Set</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GPE's rule set is fixed and enumerable, not open-ended — the same bounded-primitive discipline already applied to QBPL (§48.5, nine primitives, deliberately not Turing-complete):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Angle rules — complementary, supplementary, vertical, and corresponding-angle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Triangle rules — angle-sum, exterior-angle, and congruence/similarity conditions.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Circle theorems — inscribed-angle, central-angle, and tangent-chord relationships.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Parallel-line rules — alternate-interior, corresponding, and co-interior angle relationships under a transversal.</w:t>
      </w:r>
    </w:p>
    <w:p>
      <w:pPr>
        <w:spacing w:after="120" w:line="360" w:lineRule="auto"/>
      </w:pPr>
      <w:r>
        <w:rPr>
          <w:rFonts w:ascii="Calibri" w:cs="Calibri" w:eastAsia="Calibri" w:hAnsi="Calibri"/>
          <w:b w:val="false"/>
          <w:bCs w:val="false"/>
          <w:i w:val="false"/>
          <w:iCs w:val="false"/>
          <w:strike w:val="false"/>
          <w:color w:val="000000"/>
          <w:sz w:val="22"/>
          <w:szCs w:val="22"/>
        </w:rPr>
        <w:t xml:space="preserve">Each rule is a deterministic function from a set of Geometry and Constraint Fact Units to a derived GeometricProofStep Fact Unit — the one new FactType this section actually adds, distinct from an object or a constraint: a proof step records which rule fired, which Fact Units it consumed, and what relationship it derived, with a citation back to the specific rule by name.</w:t>
      </w:r>
    </w:p>
    <w:p>
      <w:pPr>
        <w:pStyle w:val="Heading3"/>
        <w:spacing w:after="120" w:before="200" w:line="288" w:lineRule="auto"/>
      </w:pPr>
      <w:r>
        <w:rPr>
          <w:rFonts w:ascii="Calibri" w:cs="Calibri" w:eastAsia="Calibri" w:hAnsi="Calibri"/>
          <w:color w:val="000000"/>
          <w:sz w:val="28"/>
          <w:szCs w:val="28"/>
        </w:rPr>
        <w:t xml:space="preserve">70.9.2 Proof Construction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proof is a VersionChain-tracked (Chapter 5) sequence of GeometricProofStep Fact Units, each citing the prior steps and Geometry/Constraint Fact Units it depended on — the same fact-traceability lineage already required of every other derived QueryBook output (§39.11.2's compositional pattern, applied here to deduction instead of app assembly). A contradiction — two proof steps deriving incompatible relationships for the same Geometry Fact Unit — halts construction and surfaces both conflicting steps rather than silently preferring one, the same non-silent-failure discipline as §70.3's ΔE validation and §70.4's drift detection.</w:t>
      </w:r>
    </w:p>
    <w:p>
      <w:pPr>
        <w:pStyle w:val="Heading3"/>
        <w:spacing w:after="120" w:before="200" w:line="288" w:lineRule="auto"/>
      </w:pPr>
      <w:r>
        <w:rPr>
          <w:rFonts w:ascii="Calibri" w:cs="Calibri" w:eastAsia="Calibri" w:hAnsi="Calibri"/>
          <w:color w:val="000000"/>
          <w:sz w:val="28"/>
          <w:szCs w:val="28"/>
        </w:rPr>
        <w:t xml:space="preserve">70.9.3 Safety Constraints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proof step may only derive a relationship between Geometry or Constraint Fact Units that already exist in the Fact Graph — the GPE cannot introduce a new geometric entity, only a new relationship among entities already present, consistent with the Without-Information Rule (D0.4).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derived relationship is queryable through QBQL (Chapter 18) the same way any other Fact Unit is — no separate proof-query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rule application is deterministic and reproducible: the same input Fact Units under the same rule always produce the same GeometricProofStep, consistent with §48.5's determinism requirement for QBPL primitives.</w:t>
      </w:r>
    </w:p>
    <w:p>
      <w:pPr>
        <w:pStyle w:val="Heading3"/>
        <w:spacing w:after="120" w:before="200" w:line="288" w:lineRule="auto"/>
      </w:pPr>
      <w:r>
        <w:rPr>
          <w:rFonts w:ascii="Calibri" w:cs="Calibri" w:eastAsia="Calibri" w:hAnsi="Calibri"/>
          <w:color w:val="000000"/>
          <w:sz w:val="28"/>
          <w:szCs w:val="28"/>
        </w:rPr>
        <w:t xml:space="preserve">70.9.4 What This Section Does Not Add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MANIFOLD DEPENDENCY, NO UNVERIFIED PERFORMANCE CLAIMS</w:t>
            </w:r>
            <w:r>
              <w:rPr>
                <w:rFonts w:ascii="Calibri" w:cs="Calibri" w:eastAsia="Calibri" w:hAnsi="Calibri"/>
                <w:b/>
                <w:bCs/>
                <w:i w:val="false"/>
                <w:iCs w:val="false"/>
                <w:strike w:val="false"/>
                <w:color w:val="333333"/>
                <w:sz w:val="24"/>
                <w:szCs w:val="24"/>
              </w:rPr>
              <w:t xml:space="preserve">This capability does not depend on, and does not reference, a Semantic, Geometric, Temporal, or Robotics Manifold Layer — that concept was proposed and declined in this Bible's history, and nothing here reintroduces it under a different name. Separately: a submission proposing this feature also claimed compression improvements of “400%–19,900% depending on media type” with no stated methodology or benchmark. That figure is not carried forward. If a real compression benefit from geometric fact representation exists, it should be measured and stated with the same design-target caveat already applied to every other unvalidated performance figure in this Bible (Appendix C, §C.11), not asserted as a settled result.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70.10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Color and geometric precision are specified here as Fact Unit schema extensions — not a parallel UFCS-based subsystem — with a genuinely novel three-pass constraint graph for registration, calibration that defers to VCUM's existing synthesis engine rather than duplicating it, VR anchoring built on Tour Waypoints rather than a separate anchor system, and querying through QBQL and the Associative Recall Engine rather than an invented query language. ΔE and registration drift are never silent: both produce queryable Fact Units the moment tolerance is exceeded, consistent with how every other validation in this Bible already behaves.</w:t>
      </w:r>
    </w:p>
    <w:p>
      <w:pPr>
        <w:pStyle w:val="Heading1"/>
        <w:spacing w:after="120" w:before="240" w:line="288" w:lineRule="auto"/>
      </w:pPr>
      <w:r>
        <w:rPr>
          <w:rFonts w:ascii="Calibri" w:cs="Calibri" w:eastAsia="Calibri" w:hAnsi="Calibri"/>
          <w:color w:val="000000"/>
          <w:sz w:val="48"/>
          <w:szCs w:val="48"/>
        </w:rPr>
        <w:t xml:space="preserve">Chapter 71: Universal Accessibility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accessibility as a first-class requirement across every QueryBook surface — reading, VR, ingestion, and collaboration — not a downstream adaptation. It responds to a gap this Bible had no coverage for at all before this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ACCESSIBLE-BY-DEFAULT, BUILT ON EXISTING FACT UNITS</w:t>
            </w:r>
            <w:r>
              <w:rPr>
                <w:rFonts w:ascii="Calibri" w:cs="Calibri" w:eastAsia="Calibri" w:hAnsi="Calibri"/>
                <w:b/>
                <w:bCs/>
                <w:i w:val="false"/>
                <w:iCs w:val="false"/>
                <w:strike w:val="false"/>
                <w:color w:val="333333"/>
                <w:sz w:val="24"/>
                <w:szCs w:val="24"/>
              </w:rPr>
              <w:t xml:space="preserve">Alt-text, scene descriptions, and simplified-language variants are Fact Units (Appendix A), generated alongside the content they describe and version-tracked through the same Provenance Ledger (Chapter 5) as everything else — not a parallel content system requiring separate authoring. Where existing infrastructure already does the relevant work (Narrative Graph for scene description, §46.10.6's disclosure pattern for a mandatory-and-non-removable requirement), this chapter reuses it rather than duplicating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71.1 Accessible Content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No QueryBook output — a response, an IQR scene, a diagram, an audio narration — is considered complete without its accessible equivalent: alt-text for visual content, captions for audio, and a scene description for VR. This equivalent is generated as part of the same production step that creates the primary content, not a separate pass that can be skipped.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Required Accessible Equivalent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Generation Mechanism</w:t>
            </w:r>
          </w:p>
        </w:tc>
      </w:tr>
      <w:tr>
        <w:tc>
          <w:tcPr>
            <w:tcW w:type="pct" w:w="33%"/>
          </w:tcPr>
          <w:p>
            <w:r>
              <w:rPr>
                <w:rFonts w:ascii="Calibri" w:cs="Calibri" w:eastAsia="Calibri" w:hAnsi="Calibri"/>
                <w:b w:val="false"/>
                <w:bCs w:val="false"/>
                <w:i w:val="false"/>
                <w:iCs w:val="false"/>
                <w:strike w:val="false"/>
                <w:color w:val="000000"/>
                <w:sz w:val="19"/>
                <w:szCs w:val="19"/>
              </w:rPr>
              <w:t xml:space="preserve">Diagram or figure</w:t>
            </w:r>
          </w:p>
        </w:tc>
        <w:tc>
          <w:tcPr>
            <w:tcW w:type="pct" w:w="33%"/>
          </w:tcPr>
          <w:p>
            <w:r>
              <w:rPr>
                <w:rFonts w:ascii="Calibri" w:cs="Calibri" w:eastAsia="Calibri" w:hAnsi="Calibri"/>
                <w:b w:val="false"/>
                <w:bCs w:val="false"/>
                <w:i w:val="false"/>
                <w:iCs w:val="false"/>
                <w:strike w:val="false"/>
                <w:color w:val="000000"/>
                <w:sz w:val="19"/>
                <w:szCs w:val="19"/>
              </w:rPr>
              <w:t xml:space="preserve">Alt-text (AltTextUnit)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the Fact Units the diagram was composed from (Chapter 70), not a separate description written after the fact.</w:t>
            </w:r>
          </w:p>
        </w:tc>
      </w:tr>
      <w:tr>
        <w:tc>
          <w:tcPr>
            <w:tcW w:type="pct" w:w="33%"/>
          </w:tcPr>
          <w:p>
            <w:r>
              <w:rPr>
                <w:rFonts w:ascii="Calibri" w:cs="Calibri" w:eastAsia="Calibri" w:hAnsi="Calibri"/>
                <w:b w:val="false"/>
                <w:bCs w:val="false"/>
                <w:i w:val="false"/>
                <w:iCs w:val="false"/>
                <w:strike w:val="false"/>
                <w:color w:val="000000"/>
                <w:sz w:val="19"/>
                <w:szCs w:val="19"/>
              </w:rPr>
              <w:t xml:space="preserve">IQR / VR scene</w:t>
            </w:r>
          </w:p>
        </w:tc>
        <w:tc>
          <w:tcPr>
            <w:tcW w:type="pct" w:w="33%"/>
          </w:tcPr>
          <w:p>
            <w:r>
              <w:rPr>
                <w:rFonts w:ascii="Calibri" w:cs="Calibri" w:eastAsia="Calibri" w:hAnsi="Calibri"/>
                <w:b w:val="false"/>
                <w:bCs w:val="false"/>
                <w:i w:val="false"/>
                <w:iCs w:val="false"/>
                <w:strike w:val="false"/>
                <w:color w:val="000000"/>
                <w:sz w:val="19"/>
                <w:szCs w:val="19"/>
              </w:rPr>
              <w:t xml:space="preserve">Scene description (SceneDescriptionUnit)</w:t>
            </w:r>
          </w:p>
        </w:tc>
        <w:tc>
          <w:tcPr>
            <w:tcW w:type="pct" w:w="33%"/>
          </w:tcPr>
          <w:p>
            <w:r>
              <w:rPr>
                <w:rFonts w:ascii="Calibri" w:cs="Calibri" w:eastAsia="Calibri" w:hAnsi="Calibri"/>
                <w:b w:val="false"/>
                <w:bCs w:val="false"/>
                <w:i w:val="false"/>
                <w:iCs w:val="false"/>
                <w:strike w:val="false"/>
                <w:color w:val="000000"/>
                <w:sz w:val="19"/>
                <w:szCs w:val="19"/>
              </w:rPr>
              <w:t xml:space="preserve">Generated from the same Narrative Graph (Chapter 12) grounding used for the response the scene illustrates.</w:t>
            </w:r>
          </w:p>
        </w:tc>
      </w:tr>
      <w:tr>
        <w:tc>
          <w:tcPr>
            <w:tcW w:type="pct" w:w="33%"/>
          </w:tcPr>
          <w:p>
            <w:r>
              <w:rPr>
                <w:rFonts w:ascii="Calibri" w:cs="Calibri" w:eastAsia="Calibri" w:hAnsi="Calibri"/>
                <w:b w:val="false"/>
                <w:bCs w:val="false"/>
                <w:i w:val="false"/>
                <w:iCs w:val="false"/>
                <w:strike w:val="false"/>
                <w:color w:val="000000"/>
                <w:sz w:val="19"/>
                <w:szCs w:val="19"/>
              </w:rPr>
              <w:t xml:space="preserve">Audio narration or Presenter Mode output</w:t>
            </w:r>
          </w:p>
        </w:tc>
        <w:tc>
          <w:tcPr>
            <w:tcW w:type="pct" w:w="33%"/>
          </w:tcPr>
          <w:p>
            <w:r>
              <w:rPr>
                <w:rFonts w:ascii="Calibri" w:cs="Calibri" w:eastAsia="Calibri" w:hAnsi="Calibri"/>
                <w:b w:val="false"/>
                <w:bCs w:val="false"/>
                <w:i w:val="false"/>
                <w:iCs w:val="false"/>
                <w:strike w:val="false"/>
                <w:color w:val="000000"/>
                <w:sz w:val="19"/>
                <w:szCs w:val="19"/>
              </w:rPr>
              <w:t xml:space="preserve">Captions</w:t>
            </w:r>
          </w:p>
        </w:tc>
        <w:tc>
          <w:tcPr>
            <w:tcW w:type="pct" w:w="33%"/>
          </w:tcPr>
          <w:p>
            <w:r>
              <w:rPr>
                <w:rFonts w:ascii="Calibri" w:cs="Calibri" w:eastAsia="Calibri" w:hAnsi="Calibri"/>
                <w:b w:val="false"/>
                <w:bCs w:val="false"/>
                <w:i w:val="false"/>
                <w:iCs w:val="false"/>
                <w:strike w:val="false"/>
                <w:color w:val="000000"/>
                <w:sz w:val="19"/>
                <w:szCs w:val="19"/>
              </w:rPr>
              <w:t xml:space="preserve">Generated at the same stage as the audio itself, using the underlying response text already produced.</w:t>
            </w:r>
          </w:p>
        </w:tc>
      </w:tr>
      <w:tr>
        <w:tc>
          <w:tcPr>
            <w:tcW w:type="pct" w:w="33%"/>
          </w:tcPr>
          <w:p>
            <w:r>
              <w:rPr>
                <w:rFonts w:ascii="Calibri" w:cs="Calibri" w:eastAsia="Calibri" w:hAnsi="Calibri"/>
                <w:b w:val="false"/>
                <w:bCs w:val="false"/>
                <w:i w:val="false"/>
                <w:iCs w:val="false"/>
                <w:strike w:val="false"/>
                <w:color w:val="000000"/>
                <w:sz w:val="19"/>
                <w:szCs w:val="19"/>
              </w:rPr>
              <w:t xml:space="preserve">Tactile diagram (braille embosser export)</w:t>
            </w:r>
          </w:p>
        </w:tc>
        <w:tc>
          <w:tcPr>
            <w:tcW w:type="pct" w:w="33%"/>
          </w:tcPr>
          <w:p>
            <w:r>
              <w:rPr>
                <w:rFonts w:ascii="Calibri" w:cs="Calibri" w:eastAsia="Calibri" w:hAnsi="Calibri"/>
                <w:b w:val="false"/>
                <w:bCs w:val="false"/>
                <w:i w:val="false"/>
                <w:iCs w:val="false"/>
                <w:strike w:val="false"/>
                <w:color w:val="000000"/>
                <w:sz w:val="19"/>
                <w:szCs w:val="19"/>
              </w:rPr>
              <w:t xml:space="preserve">TactileDiagramUnit</w:t>
            </w:r>
          </w:p>
        </w:tc>
        <w:tc>
          <w:tcPr>
            <w:tcW w:type="pct" w:w="33%"/>
          </w:tcPr>
          <w:p>
            <w:r>
              <w:rPr>
                <w:rFonts w:ascii="Calibri" w:cs="Calibri" w:eastAsia="Calibri" w:hAnsi="Calibri"/>
                <w:b w:val="false"/>
                <w:bCs w:val="false"/>
                <w:i w:val="false"/>
                <w:iCs w:val="false"/>
                <w:strike w:val="false"/>
                <w:color w:val="000000"/>
                <w:sz w:val="19"/>
                <w:szCs w:val="19"/>
              </w:rPr>
              <w:t xml:space="preserve">Derived from Chapter 70's Geometry Fact Units — the same spatial data already used for precision registration, re-exported for embossing rather than re-authored.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71.2 Alternative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Large-print, high-contrast, dyslexia-friendly, and simplified-language modes are presentation-layer transformations of the same underlying Fact Units — not separate content. A SimplifiedLanguageUnit, for instance, reuses the Expertise Level Calibration already specified in the ARE Pipeline (§52.8.3) at its most accessible setting, rather than a new simplification mechanism.</w:t>
      </w:r>
    </w:p>
    <w:p>
      <w:pPr>
        <w:pStyle w:val="Heading2"/>
        <w:spacing w:after="120" w:before="240" w:line="288" w:lineRule="auto"/>
      </w:pPr>
      <w:r>
        <w:rPr>
          <w:rFonts w:ascii="Calibri" w:cs="Calibri" w:eastAsia="Calibri" w:hAnsi="Calibri"/>
          <w:color w:val="000000"/>
          <w:sz w:val="36"/>
          <w:szCs w:val="36"/>
        </w:rPr>
        <w:t xml:space="preserve">71.3 VR Accessibility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Spatial audio and haptic cues are required outputs of any VR scene (Chapter 46), not optional enhancements.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Tour (§46.9) supports a low-motion mode and teleport-only navigation as alternatives to continuous movement between Waypoints.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avatar-free option is available for any Tour using Presenter Mode (§46.10) — Voice-Only mode, already specified, serves this directly; no new mode was needed.</w:t>
      </w:r>
    </w:p>
    <w:p>
      <w:pPr>
        <w:pStyle w:val="Heading2"/>
        <w:spacing w:after="120" w:before="240" w:line="288" w:lineRule="auto"/>
      </w:pPr>
      <w:r>
        <w:rPr>
          <w:rFonts w:ascii="Calibri" w:cs="Calibri" w:eastAsia="Calibri" w:hAnsi="Calibri"/>
          <w:color w:val="000000"/>
          <w:sz w:val="36"/>
          <w:szCs w:val="36"/>
        </w:rPr>
        <w:t xml:space="preserve">71.4 Cognitive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step-by-step explanation mode and a reduced-pacing mode are additional Pedagogical Mode behaviors layered on the existing TEACH and BRIEF settings (§52.9), not new Interactive Modes — they adjust how an existing mode paces and structures its output, the same way any other Pedagogical Mode parameter already does.</w:t>
      </w:r>
    </w:p>
    <w:p>
      <w:pPr>
        <w:pStyle w:val="Heading2"/>
        <w:spacing w:after="120" w:before="240" w:line="288" w:lineRule="auto"/>
      </w:pPr>
      <w:r>
        <w:rPr>
          <w:rFonts w:ascii="Calibri" w:cs="Calibri" w:eastAsia="Calibri" w:hAnsi="Calibri"/>
          <w:color w:val="000000"/>
          <w:sz w:val="36"/>
          <w:szCs w:val="36"/>
        </w:rPr>
        <w:t xml:space="preserve">71.5 Robotics and Alternative Control Accessibility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QueryBook is controlled through the Robot Memory Domain (Chapter 56) or another non-visual, non-auditory interface, input is accepted through whichever control surface the connecting device declares in its Capability Declaration (§49.3.3.1) — voice-free, gesture-free, eye-tracking, or switch-control input are all valid declared capabilities under the existing Source Connector contract, not a separate accessibility-specific connector type.</w:t>
      </w:r>
    </w:p>
    <w:p>
      <w:pPr>
        <w:pStyle w:val="Heading2"/>
        <w:spacing w:after="120" w:before="240" w:line="288" w:lineRule="auto"/>
      </w:pPr>
      <w:r>
        <w:rPr>
          <w:rFonts w:ascii="Calibri" w:cs="Calibri" w:eastAsia="Calibri" w:hAnsi="Calibri"/>
          <w:color w:val="000000"/>
          <w:sz w:val="36"/>
          <w:szCs w:val="36"/>
        </w:rPr>
        <w:t xml:space="preserve">71.6 Accessibility Fact Unit Fields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fields extend the base Fact Unit schema (Appendix A) for accessibility purposes: AltText, SceneDescription, TactileExport, and SimplifiedVariant. Each is optional per Fact Unit but, per §71.1, required before that Fact Unit's content is considered production-complete for reader-facing output.</w:t>
      </w:r>
    </w:p>
    <w:p>
      <w:pPr>
        <w:pStyle w:val="Heading2"/>
        <w:spacing w:after="120" w:before="240" w:line="288" w:lineRule="auto"/>
      </w:pPr>
      <w:r>
        <w:rPr>
          <w:rFonts w:ascii="Calibri" w:cs="Calibri" w:eastAsia="Calibri" w:hAnsi="Calibri"/>
          <w:color w:val="000000"/>
          <w:sz w:val="36"/>
          <w:szCs w:val="36"/>
        </w:rPr>
        <w:t xml:space="preserve">71.7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Narrative Graph (Chapter 12), the ARE Pipeline (§52.8), Tour and Presenter Mode (§46.9–§46.10), the Source Connector Registry (§49.3.3), and Chapter 70's Geometry Fact Units. It modifies none of their specifications.</w:t>
      </w:r>
    </w:p>
    <w:p>
      <w:pPr>
        <w:pStyle w:val="Heading2"/>
        <w:spacing w:after="120" w:before="240" w:line="288" w:lineRule="auto"/>
      </w:pPr>
      <w:r>
        <w:rPr>
          <w:rFonts w:ascii="Calibri" w:cs="Calibri" w:eastAsia="Calibri" w:hAnsi="Calibri"/>
          <w:color w:val="000000"/>
          <w:sz w:val="36"/>
          <w:szCs w:val="36"/>
        </w:rPr>
        <w:t xml:space="preserve">71.8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Accessible equivalents are specified as a required, not optional, part of content production — generated from the same Fact Units and at the same production stage as the primary content, using existing infrastructure (Narrative Graph, ARE Pipeline, Geometry Fact Units, Source Connector capability declarations) rather than a parallel accessibility-specific system.</w:t>
      </w:r>
    </w:p>
    <w:p>
      <w:pPr>
        <w:pStyle w:val="Heading1"/>
        <w:spacing w:after="120" w:before="240" w:line="288" w:lineRule="auto"/>
      </w:pPr>
      <w:r>
        <w:rPr>
          <w:rFonts w:ascii="Calibri" w:cs="Calibri" w:eastAsia="Calibri" w:hAnsi="Calibri"/>
          <w:color w:val="000000"/>
          <w:sz w:val="48"/>
          <w:szCs w:val="48"/>
        </w:rPr>
        <w:t xml:space="preserve">Chapter 72: Data Portability and Exit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complete export guarantee: a reader can leave QueryBook with everything they created or accumulated, in open formats, with provenance intact. It closes a gap this Bible had no coverage for — exports existed for specific cases (Chapter 60's print formats, Chapter 64's PDF/CSV board exports) but nothing guaranteed comprehensive account-level portability.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EXPORT OF EXISTING FACT UNITS, NOT A NEW STORAGE FORMAT</w:t>
            </w:r>
            <w:r>
              <w:rPr>
                <w:rFonts w:ascii="Calibri" w:cs="Calibri" w:eastAsia="Calibri" w:hAnsi="Calibri"/>
                <w:b/>
                <w:bCs/>
                <w:i w:val="false"/>
                <w:iCs w:val="false"/>
                <w:strike w:val="false"/>
                <w:color w:val="333333"/>
                <w:sz w:val="24"/>
                <w:szCs w:val="24"/>
              </w:rPr>
              <w:t xml:space="preserve">Every exportable item in this chapter is already a Fact Unit somewhere in this Bible — a Personal Note (Chapter 63), a board post (Chapter 64), an ingested document (Chapter 4). This chapter specifies serialization formats and an export process, not a new place data lives.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72.1 What Can Be Exported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Content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Format(s)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Chapter</w:t>
            </w:r>
          </w:p>
        </w:tc>
      </w:tr>
      <w:tr>
        <w:tc>
          <w:tcPr>
            <w:tcW w:type="pct" w:w="33%"/>
          </w:tcPr>
          <w:p>
            <w:r>
              <w:rPr>
                <w:rFonts w:ascii="Calibri" w:cs="Calibri" w:eastAsia="Calibri" w:hAnsi="Calibri"/>
                <w:b w:val="false"/>
                <w:bCs w:val="false"/>
                <w:i w:val="false"/>
                <w:iCs w:val="false"/>
                <w:strike w:val="false"/>
                <w:color w:val="000000"/>
                <w:sz w:val="19"/>
                <w:szCs w:val="19"/>
              </w:rPr>
              <w:t xml:space="preserve">Personal Notes and annotations</w:t>
            </w:r>
          </w:p>
        </w:tc>
        <w:tc>
          <w:tcPr>
            <w:tcW w:type="pct" w:w="33%"/>
          </w:tcPr>
          <w:p>
            <w:r>
              <w:rPr>
                <w:rFonts w:ascii="Calibri" w:cs="Calibri" w:eastAsia="Calibri" w:hAnsi="Calibri"/>
                <w:b w:val="false"/>
                <w:bCs w:val="false"/>
                <w:i w:val="false"/>
                <w:iCs w:val="false"/>
                <w:strike w:val="false"/>
                <w:color w:val="000000"/>
                <w:sz w:val="19"/>
                <w:szCs w:val="19"/>
              </w:rPr>
              <w:t xml:space="preserve">JSON (full fidelity), TXT (plain text)</w:t>
            </w:r>
          </w:p>
        </w:tc>
        <w:tc>
          <w:tcPr>
            <w:tcW w:type="pct" w:w="33%"/>
          </w:tcPr>
          <w:p>
            <w:r>
              <w:rPr>
                <w:rFonts w:ascii="Calibri" w:cs="Calibri" w:eastAsia="Calibri" w:hAnsi="Calibri"/>
                <w:b w:val="false"/>
                <w:bCs w:val="false"/>
                <w:i w:val="false"/>
                <w:iCs w:val="false"/>
                <w:strike w:val="false"/>
                <w:color w:val="000000"/>
                <w:sz w:val="19"/>
                <w:szCs w:val="19"/>
              </w:rPr>
              <w:t xml:space="preserve">Chapter 63</w:t>
            </w:r>
          </w:p>
        </w:tc>
      </w:tr>
      <w:tr>
        <w:tc>
          <w:tcPr>
            <w:tcW w:type="pct" w:w="33%"/>
          </w:tcPr>
          <w:p>
            <w:r>
              <w:rPr>
                <w:rFonts w:ascii="Calibri" w:cs="Calibri" w:eastAsia="Calibri" w:hAnsi="Calibri"/>
                <w:b w:val="false"/>
                <w:bCs w:val="false"/>
                <w:i w:val="false"/>
                <w:iCs w:val="false"/>
                <w:strike w:val="false"/>
                <w:color w:val="000000"/>
                <w:sz w:val="19"/>
                <w:szCs w:val="19"/>
              </w:rPr>
              <w:t xml:space="preserve">Message board posts and threads a reader authored</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64</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history and Fact Units a reader's actions created</w:t>
            </w:r>
          </w:p>
        </w:tc>
        <w:tc>
          <w:tcPr>
            <w:tcW w:type="pct" w:w="33%"/>
          </w:tcPr>
          <w:p>
            <w:r>
              <w:rPr>
                <w:rFonts w:ascii="Calibri" w:cs="Calibri" w:eastAsia="Calibri" w:hAnsi="Calibri"/>
                <w:b w:val="false"/>
                <w:bCs w:val="false"/>
                <w:i w:val="false"/>
                <w:iCs w:val="false"/>
                <w:strike w:val="false"/>
                <w:color w:val="000000"/>
                <w:sz w:val="19"/>
                <w:szCs w:val="19"/>
              </w:rPr>
              <w:t xml:space="preserve">JSON (Fact Universe representation)</w:t>
            </w:r>
          </w:p>
        </w:tc>
        <w:tc>
          <w:tcPr>
            <w:tcW w:type="pct" w:w="33%"/>
          </w:tcPr>
          <w:p>
            <w:r>
              <w:rPr>
                <w:rFonts w:ascii="Calibri" w:cs="Calibri" w:eastAsia="Calibri" w:hAnsi="Calibri"/>
                <w:b w:val="false"/>
                <w:bCs w:val="false"/>
                <w:i w:val="false"/>
                <w:iCs w:val="false"/>
                <w:strike w:val="false"/>
                <w:color w:val="000000"/>
                <w:sz w:val="19"/>
                <w:szCs w:val="19"/>
              </w:rPr>
              <w:t xml:space="preserve">Chapter 4, Appendix A</w:t>
            </w:r>
          </w:p>
        </w:tc>
      </w:tr>
      <w:tr>
        <w:tc>
          <w:tcPr>
            <w:tcW w:type="pct" w:w="33%"/>
          </w:tcPr>
          <w:p>
            <w:r>
              <w:rPr>
                <w:rFonts w:ascii="Calibri" w:cs="Calibri" w:eastAsia="Calibri" w:hAnsi="Calibri"/>
                <w:b w:val="false"/>
                <w:bCs w:val="false"/>
                <w:i w:val="false"/>
                <w:iCs w:val="false"/>
                <w:strike w:val="false"/>
                <w:color w:val="000000"/>
                <w:sz w:val="19"/>
                <w:szCs w:val="19"/>
              </w:rPr>
              <w:t xml:space="preserve">A purchased or licensed book's reader-facing content</w:t>
            </w:r>
          </w:p>
        </w:tc>
        <w:tc>
          <w:tcPr>
            <w:tcW w:type="pct" w:w="33%"/>
          </w:tcPr>
          <w:p>
            <w:r>
              <w:rPr>
                <w:rFonts w:ascii="Calibri" w:cs="Calibri" w:eastAsia="Calibri" w:hAnsi="Calibri"/>
                <w:b w:val="false"/>
                <w:bCs w:val="false"/>
                <w:i w:val="false"/>
                <w:iCs w:val="false"/>
                <w:strike w:val="false"/>
                <w:color w:val="000000"/>
                <w:sz w:val="19"/>
                <w:szCs w:val="19"/>
              </w:rPr>
              <w:t xml:space="preserve">EPUB, where the Publisher's rights terms (§60.2) permit export</w:t>
            </w:r>
          </w:p>
        </w:tc>
        <w:tc>
          <w:tcPr>
            <w:tcW w:type="pct" w:w="33%"/>
          </w:tcPr>
          <w:p>
            <w:r>
              <w:rPr>
                <w:rFonts w:ascii="Calibri" w:cs="Calibri" w:eastAsia="Calibri" w:hAnsi="Calibri"/>
                <w:b w:val="false"/>
                <w:bCs w:val="false"/>
                <w:i w:val="false"/>
                <w:iCs w:val="false"/>
                <w:strike w:val="false"/>
                <w:color w:val="000000"/>
                <w:sz w:val="19"/>
                <w:szCs w:val="19"/>
              </w:rPr>
              <w:t xml:space="preserve">Chapter 60</w:t>
            </w:r>
          </w:p>
        </w:tc>
      </w:tr>
      <w:tr>
        <w:tc>
          <w:tcPr>
            <w:tcW w:type="pct" w:w="33%"/>
          </w:tcPr>
          <w:p>
            <w:r>
              <w:rPr>
                <w:rFonts w:ascii="Calibri" w:cs="Calibri" w:eastAsia="Calibri" w:hAnsi="Calibri"/>
                <w:b w:val="false"/>
                <w:bCs w:val="false"/>
                <w:i w:val="false"/>
                <w:iCs w:val="false"/>
                <w:strike w:val="false"/>
                <w:color w:val="000000"/>
                <w:sz w:val="19"/>
                <w:szCs w:val="19"/>
              </w:rPr>
              <w:t xml:space="preserve">IQR / Tour scenes a reader has access to</w:t>
            </w:r>
          </w:p>
        </w:tc>
        <w:tc>
          <w:tcPr>
            <w:tcW w:type="pct" w:w="33%"/>
          </w:tcPr>
          <w:p>
            <w:r>
              <w:rPr>
                <w:rFonts w:ascii="Calibri" w:cs="Calibri" w:eastAsia="Calibri" w:hAnsi="Calibri"/>
                <w:b w:val="false"/>
                <w:bCs w:val="false"/>
                <w:i w:val="false"/>
                <w:iCs w:val="false"/>
                <w:strike w:val="false"/>
                <w:color w:val="000000"/>
                <w:sz w:val="19"/>
                <w:szCs w:val="19"/>
              </w:rPr>
              <w:t xml:space="preserve">glTF or USD, per §46.2's existing open-format delivery</w:t>
            </w:r>
          </w:p>
        </w:tc>
        <w:tc>
          <w:tcPr>
            <w:tcW w:type="pct" w:w="33%"/>
          </w:tcPr>
          <w:p>
            <w:r>
              <w:rPr>
                <w:rFonts w:ascii="Calibri" w:cs="Calibri" w:eastAsia="Calibri" w:hAnsi="Calibri"/>
                <w:b w:val="false"/>
                <w:bCs w:val="false"/>
                <w:i w:val="false"/>
                <w:iCs w:val="false"/>
                <w:strike w:val="false"/>
                <w:color w:val="000000"/>
                <w:sz w:val="19"/>
                <w:szCs w:val="19"/>
              </w:rPr>
              <w:t xml:space="preserve">Chapter 46</w:t>
            </w:r>
          </w:p>
        </w:tc>
      </w:tr>
      <w:tr>
        <w:tc>
          <w:tcPr>
            <w:tcW w:type="pct" w:w="33%"/>
          </w:tcPr>
          <w:p>
            <w:r>
              <w:rPr>
                <w:rFonts w:ascii="Calibri" w:cs="Calibri" w:eastAsia="Calibri" w:hAnsi="Calibri"/>
                <w:b w:val="false"/>
                <w:bCs w:val="false"/>
                <w:i w:val="false"/>
                <w:iCs w:val="false"/>
                <w:strike w:val="false"/>
                <w:color w:val="000000"/>
                <w:sz w:val="19"/>
                <w:szCs w:val="19"/>
              </w:rPr>
              <w:t xml:space="preserve">Event history and Class Board participation</w:t>
            </w:r>
          </w:p>
        </w:tc>
        <w:tc>
          <w:tcPr>
            <w:tcW w:type="pct" w:w="33%"/>
          </w:tcPr>
          <w:p>
            <w:r>
              <w:rPr>
                <w:rFonts w:ascii="Calibri" w:cs="Calibri" w:eastAsia="Calibri" w:hAnsi="Calibri"/>
                <w:b w:val="false"/>
                <w:bCs w:val="false"/>
                <w:i w:val="false"/>
                <w:iCs w:val="false"/>
                <w:strike w:val="false"/>
                <w:color w:val="000000"/>
                <w:sz w:val="19"/>
                <w:szCs w:val="19"/>
              </w:rPr>
              <w:t xml:space="preserve">JSON, CSV</w:t>
            </w:r>
          </w:p>
        </w:tc>
        <w:tc>
          <w:tcPr>
            <w:tcW w:type="pct" w:w="33%"/>
          </w:tcPr>
          <w:p>
            <w:r>
              <w:rPr>
                <w:rFonts w:ascii="Calibri" w:cs="Calibri" w:eastAsia="Calibri" w:hAnsi="Calibri"/>
                <w:b w:val="false"/>
                <w:bCs w:val="false"/>
                <w:i w:val="false"/>
                <w:iCs w:val="false"/>
                <w:strike w:val="false"/>
                <w:color w:val="000000"/>
                <w:sz w:val="19"/>
                <w:szCs w:val="19"/>
              </w:rPr>
              <w:t xml:space="preserve">Chapter 62, Chapter 64</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Every format listed is already open and non-proprietary — JSON, CSV, TXT, EPUB, glTF/USD — consistent with §46.2's existing commitment to open 3D delivery formats. This chapter does not introduce a new file format for any content type.</w:t>
      </w:r>
    </w:p>
    <w:p>
      <w:pPr>
        <w:pStyle w:val="Heading2"/>
        <w:spacing w:after="120" w:before="240" w:line="288" w:lineRule="auto"/>
      </w:pPr>
      <w:r>
        <w:rPr>
          <w:rFonts w:ascii="Calibri" w:cs="Calibri" w:eastAsia="Calibri" w:hAnsi="Calibri"/>
          <w:color w:val="000000"/>
          <w:sz w:val="36"/>
          <w:szCs w:val="36"/>
        </w:rPr>
        <w:t xml:space="preserve">72.2 Export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requests an export of one category or their full account; the request is an AccessControlList-governed action (Appendix A) scoped to content the requesting identity actually owns or authored.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export includes each Fact Unit's provenance metadata — creation timestamp, VersionChain reference (Chapter 5) — not just its current-state content, so the export remains independently verifiable after leaving QueryBook.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export does not delete or restrict the reader's continued access within QueryBook; exporting and retaining access are independent, consistent with this being a portability guarantee, not an account-closure workflow.</w:t>
      </w:r>
    </w:p>
    <w:p>
      <w:pPr>
        <w:pStyle w:val="Heading2"/>
        <w:spacing w:after="120" w:before="240" w:line="288" w:lineRule="auto"/>
      </w:pPr>
      <w:r>
        <w:rPr>
          <w:rFonts w:ascii="Calibri" w:cs="Calibri" w:eastAsia="Calibri" w:hAnsi="Calibri"/>
          <w:color w:val="000000"/>
          <w:sz w:val="36"/>
          <w:szCs w:val="36"/>
        </w:rPr>
        <w:t xml:space="preserve">72.3 What This Chapter Does Not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A Publisher's Rights Validation Gate (§60.2) may restrict export of a specific book's full text where the author or publisher has not licensed it for export — portability applies to what a reader created or was granted rights to, not a blanket right to copy content someone else holds rights over. This chapter does not override Chapter 60's existing rights model; it operates within it.</w:t>
      </w:r>
    </w:p>
    <w:p>
      <w:pPr>
        <w:pStyle w:val="Heading2"/>
        <w:spacing w:after="120" w:before="240" w:line="288" w:lineRule="auto"/>
      </w:pPr>
      <w:r>
        <w:rPr>
          <w:rFonts w:ascii="Calibri" w:cs="Calibri" w:eastAsia="Calibri" w:hAnsi="Calibri"/>
          <w:color w:val="000000"/>
          <w:sz w:val="36"/>
          <w:szCs w:val="36"/>
        </w:rPr>
        <w:t xml:space="preserve">72.4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Chapters 4, 46, 60, 62, 63, and 64 as content sources, and the AccessControlList pattern governing what a given identity may export. It modifies none of their specifications.</w:t>
      </w:r>
    </w:p>
    <w:p>
      <w:pPr>
        <w:pStyle w:val="Heading2"/>
        <w:spacing w:after="120" w:before="240" w:line="288" w:lineRule="auto"/>
      </w:pPr>
      <w:r>
        <w:rPr>
          <w:rFonts w:ascii="Calibri" w:cs="Calibri" w:eastAsia="Calibri" w:hAnsi="Calibri"/>
          <w:color w:val="000000"/>
          <w:sz w:val="36"/>
          <w:szCs w:val="36"/>
        </w:rPr>
        <w:t xml:space="preserve">72.5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export their notes, board activity, ingestion history, and licensed content in open, non-proprietary formats, with provenance preserved, without that export restricting their continued access — built entirely from existing Fact Units and existing rights boundaries, not a new data store or a bypass of Chapter 60's licensing model.</w:t>
      </w:r>
    </w:p>
    <w:p>
      <w:pPr>
        <w:pStyle w:val="Heading1"/>
        <w:spacing w:after="120" w:before="240" w:line="288" w:lineRule="auto"/>
      </w:pPr>
      <w:r>
        <w:rPr>
          <w:rFonts w:ascii="Calibri" w:cs="Calibri" w:eastAsia="Calibri" w:hAnsi="Calibri"/>
          <w:color w:val="000000"/>
          <w:sz w:val="48"/>
          <w:szCs w:val="48"/>
        </w:rPr>
        <w:t xml:space="preserve">Chapter 73: Template Debug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Template Debug Mode, named in the Interactive Mode Registry (§52.13.2) as an operator tool since early in this Bible's development but never actually built — flagged explicitly in Pass 34 and again in Pass 39 as a gap worth its own dedicated pass. This is that pass.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INSPECTS EXISTING EXECUTION, DOES NOT ADD A NEW ONE</w:t>
            </w:r>
            <w:r>
              <w:rPr>
                <w:rFonts w:ascii="Calibri" w:cs="Calibri" w:eastAsia="Calibri" w:hAnsi="Calibri"/>
                <w:b/>
                <w:bCs/>
                <w:i w:val="false"/>
                <w:iCs w:val="false"/>
                <w:strike w:val="false"/>
                <w:color w:val="333333"/>
                <w:sz w:val="24"/>
                <w:szCs w:val="24"/>
              </w:rPr>
              <w:t xml:space="preserve">Template Debug Mode observes the real execution of QBPL programs (§48.3), the ARE Pipeline (§52.8), and IQR scene composition (Chapter 46) — it does not run a separate simulated version of any of them. A debug session watches the same execution a reader or author would otherwise see, with additional instrumentation exposed, not a parallel test environment that could diverge from real behavior.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73.1 Access</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an operator/authoring tool, scoped to the same privilege requirements as any other administrative function (§9.5.1) — not reader-facing, consistent with how the Interactive Mode Registry already described it before this chapter existed.</w:t>
      </w:r>
    </w:p>
    <w:p>
      <w:pPr>
        <w:pStyle w:val="Heading2"/>
        <w:spacing w:after="120" w:before="240" w:line="288" w:lineRule="auto"/>
      </w:pPr>
      <w:r>
        <w:rPr>
          <w:rFonts w:ascii="Calibri" w:cs="Calibri" w:eastAsia="Calibri" w:hAnsi="Calibri"/>
          <w:color w:val="000000"/>
          <w:sz w:val="36"/>
          <w:szCs w:val="36"/>
        </w:rPr>
        <w:t xml:space="preserve">73.2 Step-Through Execution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 pauses execution at each stage boundary already defined by the system being debugged — the ARE Pipeline's five stages (§52.8), a QBPL program's sequential operations (§48.3.2), or the Registration Constraint Graph's three passes (§70.4) — rather than defining new debug-specific breakpoints. Stepping through is pausing between checkpoints that already exist in the specification.</w:t>
      </w:r>
    </w:p>
    <w:p>
      <w:pPr>
        <w:pStyle w:val="Heading2"/>
        <w:spacing w:after="120" w:before="240" w:line="288" w:lineRule="auto"/>
      </w:pPr>
      <w:r>
        <w:rPr>
          <w:rFonts w:ascii="Calibri" w:cs="Calibri" w:eastAsia="Calibri" w:hAnsi="Calibri"/>
          <w:color w:val="000000"/>
          <w:sz w:val="36"/>
          <w:szCs w:val="36"/>
        </w:rPr>
        <w:t xml:space="preserve">73.3 Inspection Views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View</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Shows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33%"/>
          </w:tcPr>
          <w:p>
            <w:r>
              <w:rPr>
                <w:rFonts w:ascii="Calibri" w:cs="Calibri" w:eastAsia="Calibri" w:hAnsi="Calibri"/>
                <w:b w:val="false"/>
                <w:bCs w:val="false"/>
                <w:i w:val="false"/>
                <w:iCs w:val="false"/>
                <w:strike w:val="false"/>
                <w:color w:val="000000"/>
                <w:sz w:val="19"/>
                <w:szCs w:val="19"/>
              </w:rPr>
              <w:t xml:space="preserve">Fact Unit Bindings</w:t>
            </w:r>
          </w:p>
        </w:tc>
        <w:tc>
          <w:tcPr>
            <w:tcW w:type="pct" w:w="33%"/>
          </w:tcPr>
          <w:p>
            <w:r>
              <w:rPr>
                <w:rFonts w:ascii="Calibri" w:cs="Calibri" w:eastAsia="Calibri" w:hAnsi="Calibri"/>
                <w:b w:val="false"/>
                <w:bCs w:val="false"/>
                <w:i w:val="false"/>
                <w:iCs w:val="false"/>
                <w:strike w:val="false"/>
                <w:color w:val="000000"/>
                <w:sz w:val="19"/>
                <w:szCs w:val="19"/>
              </w:rPr>
              <w:t xml:space="preserve">Which Fact Units a template stage is currently operating on, and their current field values.</w:t>
            </w:r>
          </w:p>
        </w:tc>
        <w:tc>
          <w:tcPr>
            <w:tcW w:type="pct" w:w="33%"/>
          </w:tcPr>
          <w:p>
            <w:r>
              <w:rPr>
                <w:rFonts w:ascii="Calibri" w:cs="Calibri" w:eastAsia="Calibri" w:hAnsi="Calibri"/>
                <w:b w:val="false"/>
                <w:bCs w:val="false"/>
                <w:i w:val="false"/>
                <w:iCs w:val="false"/>
                <w:strike w:val="false"/>
                <w:color w:val="000000"/>
                <w:sz w:val="19"/>
                <w:szCs w:val="19"/>
              </w:rPr>
              <w:t xml:space="preserve">The Fact Unit itself (Appendix A) — no new binding representation.</w:t>
            </w:r>
          </w:p>
        </w:tc>
      </w:tr>
      <w:tr>
        <w:tc>
          <w:tcPr>
            <w:tcW w:type="pct" w:w="33%"/>
          </w:tcPr>
          <w:p>
            <w:r>
              <w:rPr>
                <w:rFonts w:ascii="Calibri" w:cs="Calibri" w:eastAsia="Calibri" w:hAnsi="Calibri"/>
                <w:b w:val="false"/>
                <w:bCs w:val="false"/>
                <w:i w:val="false"/>
                <w:iCs w:val="false"/>
                <w:strike w:val="false"/>
                <w:color w:val="000000"/>
                <w:sz w:val="19"/>
                <w:szCs w:val="19"/>
              </w:rPr>
              <w:t xml:space="preserve">Safety Gate Triggers</w:t>
            </w:r>
          </w:p>
        </w:tc>
        <w:tc>
          <w:tcPr>
            <w:tcW w:type="pct" w:w="33%"/>
          </w:tcPr>
          <w:p>
            <w:r>
              <w:rPr>
                <w:rFonts w:ascii="Calibri" w:cs="Calibri" w:eastAsia="Calibri" w:hAnsi="Calibri"/>
                <w:b w:val="false"/>
                <w:bCs w:val="false"/>
                <w:i w:val="false"/>
                <w:iCs w:val="false"/>
                <w:strike w:val="false"/>
                <w:color w:val="000000"/>
                <w:sz w:val="19"/>
                <w:szCs w:val="19"/>
              </w:rPr>
              <w:t xml:space="preserve">Which Safety Substrate enforcement point (Chapter 8) evaluated this step, and its pass/fail result with stated reason.</w:t>
            </w:r>
          </w:p>
        </w:tc>
        <w:tc>
          <w:tcPr>
            <w:tcW w:type="pct" w:w="33%"/>
          </w:tcPr>
          <w:p>
            <w:r>
              <w:rPr>
                <w:rFonts w:ascii="Calibri" w:cs="Calibri" w:eastAsia="Calibri" w:hAnsi="Calibri"/>
                <w:b w:val="false"/>
                <w:bCs w:val="false"/>
                <w:i w:val="false"/>
                <w:iCs w:val="false"/>
                <w:strike w:val="false"/>
                <w:color w:val="000000"/>
                <w:sz w:val="19"/>
                <w:szCs w:val="19"/>
              </w:rPr>
              <w:t xml:space="preserve">The Safety Substrate's existing per-action evaluation (Appendix H, §H.6).</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w:t>
            </w:r>
          </w:p>
        </w:tc>
        <w:tc>
          <w:tcPr>
            <w:tcW w:type="pct" w:w="33%"/>
          </w:tcPr>
          <w:p>
            <w:r>
              <w:rPr>
                <w:rFonts w:ascii="Calibri" w:cs="Calibri" w:eastAsia="Calibri" w:hAnsi="Calibri"/>
                <w:b w:val="false"/>
                <w:bCs w:val="false"/>
                <w:i w:val="false"/>
                <w:iCs w:val="false"/>
                <w:strike w:val="false"/>
                <w:color w:val="000000"/>
                <w:sz w:val="19"/>
                <w:szCs w:val="19"/>
              </w:rPr>
              <w:t xml:space="preserve">The Processor Slice category and duration for the step just executed.</w:t>
            </w:r>
          </w:p>
        </w:tc>
        <w:tc>
          <w:tcPr>
            <w:tcW w:type="pct" w:w="33%"/>
          </w:tcPr>
          <w:p>
            <w:r>
              <w:rPr>
                <w:rFonts w:ascii="Calibri" w:cs="Calibri" w:eastAsia="Calibri" w:hAnsi="Calibri"/>
                <w:b w:val="false"/>
                <w:bCs w:val="false"/>
                <w:i w:val="false"/>
                <w:iCs w:val="false"/>
                <w:strike w:val="false"/>
                <w:color w:val="000000"/>
                <w:sz w:val="19"/>
                <w:szCs w:val="19"/>
              </w:rPr>
              <w:t xml:space="preserve">Chapter 69, unmodified — the debug view surfaces existing slice logs, it does not create a debug-specific measurement.</w:t>
            </w:r>
          </w:p>
        </w:tc>
      </w:tr>
      <w:tr>
        <w:tc>
          <w:tcPr>
            <w:tcW w:type="pct" w:w="33%"/>
          </w:tcPr>
          <w:p>
            <w:r>
              <w:rPr>
                <w:rFonts w:ascii="Calibri" w:cs="Calibri" w:eastAsia="Calibri" w:hAnsi="Calibri"/>
                <w:b w:val="false"/>
                <w:bCs w:val="false"/>
                <w:i w:val="false"/>
                <w:iCs w:val="false"/>
                <w:strike w:val="false"/>
                <w:color w:val="000000"/>
                <w:sz w:val="19"/>
                <w:szCs w:val="19"/>
              </w:rPr>
              <w:t xml:space="preserve">Version History</w:t>
            </w:r>
          </w:p>
        </w:tc>
        <w:tc>
          <w:tcPr>
            <w:tcW w:type="pct" w:w="33%"/>
          </w:tcPr>
          <w:p>
            <w:r>
              <w:rPr>
                <w:rFonts w:ascii="Calibri" w:cs="Calibri" w:eastAsia="Calibri" w:hAnsi="Calibri"/>
                <w:b w:val="false"/>
                <w:bCs w:val="false"/>
                <w:i w:val="false"/>
                <w:iCs w:val="false"/>
                <w:strike w:val="false"/>
                <w:color w:val="000000"/>
                <w:sz w:val="19"/>
                <w:szCs w:val="19"/>
              </w:rPr>
              <w:t xml:space="preserve">The VersionChain entry this step is about to write or has just written.</w:t>
            </w:r>
          </w:p>
        </w:tc>
        <w:tc>
          <w:tcPr>
            <w:tcW w:type="pct" w:w="33%"/>
          </w:tcPr>
          <w:p>
            <w:r>
              <w:rPr>
                <w:rFonts w:ascii="Calibri" w:cs="Calibri" w:eastAsia="Calibri" w:hAnsi="Calibri"/>
                <w:b w:val="false"/>
                <w:bCs w:val="false"/>
                <w:i w:val="false"/>
                <w:iCs w:val="false"/>
                <w:strike w:val="false"/>
                <w:color w:val="000000"/>
                <w:sz w:val="19"/>
                <w:szCs w:val="19"/>
              </w:rPr>
              <w:t xml:space="preserve">The Provenance Ledger (Chapter 5).</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73.3.1 Failing Node Highlighting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template stage fails — a Safety Substrate rejection, an ambiguity halt (§48.4.1's Stage 3), a ΔE or registration drift finding (§70.3–§70.4) — Template Debug Mode highlights the specific stage and surfaces the existing failure reason already produced by that system, rather than generating a separate debug-specific error message that could describe the failure differently than the system's own account of it.</w:t>
      </w:r>
    </w:p>
    <w:p>
      <w:pPr>
        <w:pStyle w:val="Heading2"/>
        <w:spacing w:after="120" w:before="240" w:line="288" w:lineRule="auto"/>
      </w:pPr>
      <w:r>
        <w:rPr>
          <w:rFonts w:ascii="Calibri" w:cs="Calibri" w:eastAsia="Calibri" w:hAnsi="Calibri"/>
          <w:color w:val="000000"/>
          <w:sz w:val="36"/>
          <w:szCs w:val="36"/>
        </w:rPr>
        <w:t xml:space="preserve">73.4 Debug Trace Records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debug session's step sequence is recorded as a TemplateDebugTrace Fact Unit — a read-only log of which stages executed, in what order, with what Fact Unit bindings — itself provenance-tracked through the Provenance Ledger (Chapter 5) like any other Fact Unit, so a debug trace can be reviewed later or attached to a bug report without re-running the original session.</w:t>
      </w:r>
    </w:p>
    <w:p>
      <w:pPr>
        <w:pStyle w:val="Heading2"/>
        <w:spacing w:after="120" w:before="240" w:line="288" w:lineRule="auto"/>
      </w:pPr>
      <w:r>
        <w:rPr>
          <w:rFonts w:ascii="Calibri" w:cs="Calibri" w:eastAsia="Calibri" w:hAnsi="Calibri"/>
          <w:color w:val="000000"/>
          <w:sz w:val="36"/>
          <w:szCs w:val="36"/>
        </w:rPr>
        <w:t xml:space="preserve">73.5 What This Chapter Does Not Add</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does not execute against a simulated or mocked version of the Fact Graph, Safety Substrate, or any other subsystem — it observes real execution with additional visibility. This is a deliberate choice: a debugger that runs against a simulation risks the simulation diverging from real behavior, which would make debugging less trustworthy, not more.</w:t>
      </w:r>
    </w:p>
    <w:p>
      <w:pPr>
        <w:pStyle w:val="Heading2"/>
        <w:spacing w:after="120" w:before="240" w:line="288" w:lineRule="auto"/>
      </w:pPr>
      <w:r>
        <w:rPr>
          <w:rFonts w:ascii="Calibri" w:cs="Calibri" w:eastAsia="Calibri" w:hAnsi="Calibri"/>
          <w:color w:val="000000"/>
          <w:sz w:val="36"/>
          <w:szCs w:val="36"/>
        </w:rPr>
        <w:t xml:space="preserve">73.6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the ARE Pipeline (§52.8), the Safety Substrate (Chapter 8), Chapter 69's Slice Categories, the Provenance Ledger (Chapter 5), and the administrative privilege model (§9.5.1). It modifies none of their specifications — it adds observation, not new execution paths.</w:t>
      </w:r>
    </w:p>
    <w:p>
      <w:pPr>
        <w:pStyle w:val="Heading2"/>
        <w:spacing w:after="120" w:before="240" w:line="288" w:lineRule="auto"/>
      </w:pPr>
      <w:r>
        <w:rPr>
          <w:rFonts w:ascii="Calibri" w:cs="Calibri" w:eastAsia="Calibri" w:hAnsi="Calibri"/>
          <w:color w:val="000000"/>
          <w:sz w:val="36"/>
          <w:szCs w:val="36"/>
        </w:rPr>
        <w:t xml:space="preserve">73.7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Template Debug Mode is specified as an instrumented view into real execution — stepping through existing pipeline stages, surfacing existing Safety Substrate and drift-detection results, and recording a reviewable trace — rather than a separate simulated debugging environment. This closes the named-but-unspecified gap flagged in Passes 34 and 39.</w:t>
      </w:r>
    </w:p>
    <w:p>
      <w:pPr>
        <w:pStyle w:val="Heading1"/>
        <w:spacing w:after="120" w:before="240" w:line="288" w:lineRule="auto"/>
      </w:pPr>
      <w:r>
        <w:rPr>
          <w:rFonts w:ascii="Calibri" w:cs="Calibri" w:eastAsia="Calibri" w:hAnsi="Calibri"/>
          <w:color w:val="000000"/>
          <w:sz w:val="48"/>
          <w:szCs w:val="48"/>
        </w:rPr>
        <w:t xml:space="preserve">Chapter 74: Multi-Author Collaboration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61's Drafting Tools were specified for a single author. This chapter adds real-time co-authoring with conflict resolution, closing a genuine gap: nothing in this Bible previously defined what happens when two authors edit the same book's Fact Graph concurrently.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CONCURRENCY CONTROL OVER THE EXISTING FACT GRAPH, NOT A SEPARATE EDITING SYSTEM</w:t>
            </w:r>
            <w:r>
              <w:rPr>
                <w:rFonts w:ascii="Calibri" w:cs="Calibri" w:eastAsia="Calibri" w:hAnsi="Calibri"/>
                <w:b/>
                <w:bCs/>
                <w:i w:val="false"/>
                <w:iCs w:val="false"/>
                <w:strike w:val="false"/>
                <w:color w:val="333333"/>
                <w:sz w:val="24"/>
                <w:szCs w:val="24"/>
              </w:rPr>
              <w:t xml:space="preserve">Co-authoring uses the same Manuscript Fact Units and Provenance Ledger VersionChain already specified in Chapter 61 — this chapter adds concurrency rules for multiple identities writing to that same Fact Graph, not a separate collaborative document format.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74.1 Author Sessions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AuthorSession Fact Unit tracks which authors are actively editing a given book's Fact Graph, scoped by the same Role and AccessControlList model already governing who may author content at all (Chapter 65, Appendix A) — co-authoring access is granted the same way any other authoring permission is, not a separate collaboration-specific permission.</w:t>
      </w:r>
    </w:p>
    <w:p>
      <w:pPr>
        <w:pStyle w:val="Heading2"/>
        <w:spacing w:after="120" w:before="240" w:line="288" w:lineRule="auto"/>
      </w:pPr>
      <w:r>
        <w:rPr>
          <w:rFonts w:ascii="Calibri" w:cs="Calibri" w:eastAsia="Calibri" w:hAnsi="Calibri"/>
          <w:color w:val="000000"/>
          <w:sz w:val="36"/>
          <w:szCs w:val="36"/>
        </w:rPr>
        <w:t xml:space="preserve">74.2 Concurrency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Optimistic concurrency — authors edit independently; conflicts are detected at write time by comparing the VersionChain head each author started from (Chapter 5) against the current head, the same staleness check already implicit in any versioned write.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Fact-level locking is available as an explicit, author-initiated action for a specific Fact Unit an author wants uncontested access to — not a default, since most concurrent edits to different Fact Units in the same book never actually conflict.</w:t>
      </w:r>
    </w:p>
    <w:p>
      <w:pPr>
        <w:pStyle w:val="Heading2"/>
        <w:spacing w:after="120" w:before="240" w:line="288" w:lineRule="auto"/>
      </w:pPr>
      <w:r>
        <w:rPr>
          <w:rFonts w:ascii="Calibri" w:cs="Calibri" w:eastAsia="Calibri" w:hAnsi="Calibri"/>
          <w:color w:val="000000"/>
          <w:sz w:val="36"/>
          <w:szCs w:val="36"/>
        </w:rPr>
        <w:t xml:space="preserve">74.3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two authors' edits to the same Fact Unit genuinely conflict, resolution follows the type of content in conflict, reusing detection mechanisms already specified elsewhere rather than inventing new diff logic per content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Conflict Type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Detection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Resolution</w:t>
            </w:r>
          </w:p>
        </w:tc>
      </w:tr>
      <w:tr>
        <w:tc>
          <w:tcPr>
            <w:tcW w:type="pct" w:w="33%"/>
          </w:tcPr>
          <w:p>
            <w:r>
              <w:rPr>
                <w:rFonts w:ascii="Calibri" w:cs="Calibri" w:eastAsia="Calibri" w:hAnsi="Calibri"/>
                <w:b w:val="false"/>
                <w:bCs w:val="false"/>
                <w:i w:val="false"/>
                <w:iCs w:val="false"/>
                <w:strike w:val="false"/>
                <w:color w:val="000000"/>
                <w:sz w:val="19"/>
                <w:szCs w:val="19"/>
              </w:rPr>
              <w:t xml:space="preserve">Narrative text</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w:t>
            </w:r>
          </w:p>
        </w:tc>
        <w:tc>
          <w:tcPr>
            <w:tcW w:type="pct" w:w="33%"/>
          </w:tcPr>
          <w:p>
            <w:r>
              <w:rPr>
                <w:rFonts w:ascii="Calibri" w:cs="Calibri" w:eastAsia="Calibri" w:hAnsi="Calibri"/>
                <w:b w:val="false"/>
                <w:bCs w:val="false"/>
                <w:i w:val="false"/>
                <w:iCs w:val="false"/>
                <w:strike w:val="false"/>
                <w:color w:val="000000"/>
                <w:sz w:val="19"/>
                <w:szCs w:val="19"/>
              </w:rPr>
              <w:t xml:space="preserve">Both versions preserved in the chain; authors choose which becomes canonical, or manually merge — the same conflict-preservation principle already established for Personal Notes (§63.3).</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or Constraint Fact Units</w:t>
            </w:r>
          </w:p>
        </w:tc>
        <w:tc>
          <w:tcPr>
            <w:tcW w:type="pct" w:w="33%"/>
          </w:tcPr>
          <w:p>
            <w:r>
              <w:rPr>
                <w:rFonts w:ascii="Calibri" w:cs="Calibri" w:eastAsia="Calibri" w:hAnsi="Calibri"/>
                <w:b w:val="false"/>
                <w:bCs w:val="false"/>
                <w:i w:val="false"/>
                <w:iCs w:val="false"/>
                <w:strike w:val="false"/>
                <w:color w:val="000000"/>
                <w:sz w:val="19"/>
                <w:szCs w:val="19"/>
              </w:rPr>
              <w:t xml:space="preserve">The Registration Constraint Graph's existing drift detection (§70.4)</w:t>
            </w:r>
          </w:p>
        </w:tc>
        <w:tc>
          <w:tcPr>
            <w:tcW w:type="pct" w:w="33%"/>
          </w:tcPr>
          <w:p>
            <w:r>
              <w:rPr>
                <w:rFonts w:ascii="Calibri" w:cs="Calibri" w:eastAsia="Calibri" w:hAnsi="Calibri"/>
                <w:b w:val="false"/>
                <w:bCs w:val="false"/>
                <w:i w:val="false"/>
                <w:iCs w:val="false"/>
                <w:strike w:val="false"/>
                <w:color w:val="000000"/>
                <w:sz w:val="19"/>
                <w:szCs w:val="19"/>
              </w:rPr>
              <w:t xml:space="preserve">A RegistrationDrift finding between two authors' concurrent geometry edits is surfaced the same way any other registration drift already is — not silently resolved.</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 nodes (Counterfactual Exploration, §61.3)</w:t>
            </w:r>
          </w:p>
        </w:tc>
        <w:tc>
          <w:tcPr>
            <w:tcW w:type="pct" w:w="33%"/>
          </w:tcPr>
          <w:p>
            <w:r>
              <w:rPr>
                <w:rFonts w:ascii="Calibri" w:cs="Calibri" w:eastAsia="Calibri" w:hAnsi="Calibri"/>
                <w:b w:val="false"/>
                <w:bCs w:val="false"/>
                <w:i w:val="false"/>
                <w:iCs w:val="false"/>
                <w:strike w:val="false"/>
                <w:color w:val="000000"/>
                <w:sz w:val="19"/>
                <w:szCs w:val="19"/>
              </w:rPr>
              <w:t xml:space="preserve">VersionChain divergence on the Scenario Graph's own Fact Units (Chapter 11)</w:t>
            </w:r>
          </w:p>
        </w:tc>
        <w:tc>
          <w:tcPr>
            <w:tcW w:type="pct" w:w="33%"/>
          </w:tcPr>
          <w:p>
            <w:r>
              <w:rPr>
                <w:rFonts w:ascii="Calibri" w:cs="Calibri" w:eastAsia="Calibri" w:hAnsi="Calibri"/>
                <w:b w:val="false"/>
                <w:bCs w:val="false"/>
                <w:i w:val="false"/>
                <w:iCs w:val="false"/>
                <w:strike w:val="false"/>
                <w:color w:val="000000"/>
                <w:sz w:val="19"/>
                <w:szCs w:val="19"/>
              </w:rPr>
              <w:t xml:space="preserve">Both branches preserved; this is exactly what a Scenario Graph already represents — divergent hypothetical branches — so a genuine authoring conflict here often resolves as two valid scenario branches rather than requiring a single winner.</w:t>
            </w:r>
          </w:p>
        </w:tc>
      </w:tr>
      <w:tr>
        <w:tc>
          <w:tcPr>
            <w:tcW w:type="pct" w:w="33%"/>
          </w:tcPr>
          <w:p>
            <w:r>
              <w:rPr>
                <w:rFonts w:ascii="Calibri" w:cs="Calibri" w:eastAsia="Calibri" w:hAnsi="Calibri"/>
                <w:b w:val="false"/>
                <w:bCs w:val="false"/>
                <w:i w:val="false"/>
                <w:iCs w:val="false"/>
                <w:strike w:val="false"/>
                <w:color w:val="000000"/>
                <w:sz w:val="19"/>
                <w:szCs w:val="19"/>
              </w:rPr>
              <w:t xml:space="preserve">Tour and Instructor Tour Waypoint sequences</w:t>
            </w:r>
          </w:p>
        </w:tc>
        <w:tc>
          <w:tcPr>
            <w:tcW w:type="pct" w:w="33%"/>
          </w:tcPr>
          <w:p>
            <w:r>
              <w:rPr>
                <w:rFonts w:ascii="Calibri" w:cs="Calibri" w:eastAsia="Calibri" w:hAnsi="Calibri"/>
                <w:b w:val="false"/>
                <w:bCs w:val="false"/>
                <w:i w:val="false"/>
                <w:iCs w:val="false"/>
                <w:strike w:val="false"/>
                <w:color w:val="000000"/>
                <w:sz w:val="19"/>
                <w:szCs w:val="19"/>
              </w:rPr>
              <w:t xml:space="preserve">Standard VersionChain divergence (Chapter 5), applied to the Tour's Waypoint-sequence Fact Units</w:t>
            </w:r>
          </w:p>
        </w:tc>
        <w:tc>
          <w:tcPr>
            <w:tcW w:type="pct" w:w="33%"/>
          </w:tcPr>
          <w:p>
            <w:r>
              <w:rPr>
                <w:rFonts w:ascii="Calibri" w:cs="Calibri" w:eastAsia="Calibri" w:hAnsi="Calibri"/>
                <w:b w:val="false"/>
                <w:bCs w:val="false"/>
                <w:i w:val="false"/>
                <w:iCs w:val="false"/>
                <w:strike w:val="false"/>
                <w:color w:val="000000"/>
                <w:sz w:val="19"/>
                <w:szCs w:val="19"/>
              </w:rPr>
              <w:t xml:space="preserve">Both sequences preserved in the chain; the Tour's owner — the book's author for an author Tour (§46.9), the hosting instructor for an Instructor Tour (§83.1) — chooses which becomes canonical or manually merges the sequence. Presenter narration authorization (§46.10.1, §83.3) is never merged or transferred between conflicting versions — each version retains only the narration its own author or instructor actually authorized.</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There is no separate “geometric diff” or “narrative diff” engine — each conflict type is resolved using the detection and preservation mechanism the relevant chapter already specifies for its own content.</w:t>
      </w:r>
    </w:p>
    <w:p>
      <w:pPr>
        <w:pStyle w:val="Heading2"/>
        <w:spacing w:after="120" w:before="240" w:line="288" w:lineRule="auto"/>
      </w:pPr>
      <w:r>
        <w:rPr>
          <w:rFonts w:ascii="Calibri" w:cs="Calibri" w:eastAsia="Calibri" w:hAnsi="Calibri"/>
          <w:color w:val="000000"/>
          <w:sz w:val="36"/>
          <w:szCs w:val="36"/>
        </w:rPr>
        <w:t xml:space="preserve">74.4 Merge Resolution Record</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resolved conflict produces a MergeResolutionUnit Fact Unit, recording which versions were in conflict, who resolved it, and how — provenance-tracked through the Provenance Ledger (Chapter 5) like any other consequential write, per this Bible's standing audit discipline (Appendix H, §H.6).</w:t>
      </w:r>
    </w:p>
    <w:p>
      <w:pPr>
        <w:pStyle w:val="Heading2"/>
        <w:spacing w:after="120" w:before="240" w:line="288" w:lineRule="auto"/>
      </w:pPr>
      <w:r>
        <w:rPr>
          <w:rFonts w:ascii="Calibri" w:cs="Calibri" w:eastAsia="Calibri" w:hAnsi="Calibri"/>
          <w:color w:val="000000"/>
          <w:sz w:val="36"/>
          <w:szCs w:val="36"/>
        </w:rPr>
        <w:t xml:space="preserve">74.5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61's Manuscript Fact Units, the Provenance Ledger (Chapter 5), Chapter 65's Role and AccessControlList model, Chapter 70's Registration Constraint Graph (for geometry conflicts), and Chapter 11's Scenario Graph (for counterfactual conflicts). It modifies none of their specifications.</w:t>
      </w:r>
    </w:p>
    <w:p>
      <w:pPr>
        <w:pStyle w:val="Heading2"/>
        <w:spacing w:after="120" w:before="240" w:line="288" w:lineRule="auto"/>
      </w:pPr>
      <w:r>
        <w:rPr>
          <w:rFonts w:ascii="Calibri" w:cs="Calibri" w:eastAsia="Calibri" w:hAnsi="Calibri"/>
          <w:color w:val="000000"/>
          <w:sz w:val="36"/>
          <w:szCs w:val="36"/>
        </w:rPr>
        <w:t xml:space="preserve">74.6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authors can co-edit a book's Fact Graph under optimistic concurrency with explicit locking available where needed, and conflicts resolve using the detection and preservation mechanisms each content type already has — VersionChain divergence for narrative text, Registration drift detection for geometry, and branch preservation for Scenario Graphs — rather than a new, separate conflict-resolution engine.</w:t>
      </w:r>
    </w:p>
    <w:p>
      <w:pPr>
        <w:pStyle w:val="Heading1"/>
        <w:spacing w:after="120" w:before="240" w:line="288" w:lineRule="auto"/>
      </w:pPr>
      <w:r>
        <w:rPr>
          <w:rFonts w:ascii="Calibri" w:cs="Calibri" w:eastAsia="Calibri" w:hAnsi="Calibri"/>
          <w:color w:val="000000"/>
          <w:sz w:val="48"/>
          <w:szCs w:val="48"/>
        </w:rPr>
        <w:t xml:space="preserve">Chapter 75: Moderation Appeals</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64 specifies moderation actions — flagging, hiding, banning, locking, archiving — but never specified what a moderated user can do if they believe the action was wrong.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REVIEW OF AN EXISTING DECISION, NOT A NEW MODERATION AUTHORITY</w:t>
            </w:r>
            <w:r>
              <w:rPr>
                <w:rFonts w:ascii="Calibri" w:cs="Calibri" w:eastAsia="Calibri" w:hAnsi="Calibri"/>
                <w:b/>
                <w:bCs/>
                <w:i w:val="false"/>
                <w:iCs w:val="false"/>
                <w:strike w:val="false"/>
                <w:color w:val="333333"/>
                <w:sz w:val="24"/>
                <w:szCs w:val="24"/>
              </w:rPr>
              <w:t xml:space="preserve">An appeal reviews a moderation action already logged to the Provenance Ledger (§64.4) — it does not create new moderation powers, and it does not bypass the Safety Substrate gating that governed the original action. This chapter specifies how a human reviews a decision already made, using the record that decision already produced.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75.1 What Can Be Appealed</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moderation action already specified in §64.4 — a flag, a hide, a ban, a lock, an archive — can be appealed by the affected identity, using the same AccessControlList-governed submission process as any other consequential request (Appendix A).</w:t>
      </w:r>
    </w:p>
    <w:p>
      <w:pPr>
        <w:pStyle w:val="Heading2"/>
        <w:spacing w:after="120" w:before="240" w:line="288" w:lineRule="auto"/>
      </w:pPr>
      <w:r>
        <w:rPr>
          <w:rFonts w:ascii="Calibri" w:cs="Calibri" w:eastAsia="Calibri" w:hAnsi="Calibri"/>
          <w:color w:val="000000"/>
          <w:sz w:val="36"/>
          <w:szCs w:val="36"/>
        </w:rPr>
        <w:t xml:space="preserve">75.2 Appeals Workflow</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Submission — the affected identity submits an AppealUnit Fact Unit, referencing the specific moderation action's Provenance Ledger entry (§64.4) being contested.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Explanation — the system generates an AppealNarrativeUnit explaining the original moderation decision in plain language, reusing the Narrative Graph (Chapter 12) the same way any other grounded explanation in this Bible is produced — not a new explanation-generation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Human review — a moderator with the appropriate Role (Chapter 65) reviews the AppealUnit and the original action's logged reason (§64.4); this review is itself a Safety Substrate-gated action, consistent with §66.5's Human Review Gate discipline applied here to moderation rather than architectural proposals.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Decision — the reviewing moderator's decision (uphold, reverse, or modify the original action) is logged to the Provenance Ledger (Chapter 5) as a ModerationDecisionUnit, with the moderator's identity and stated reasoning — the same non-anonymous accountability already required of the original moderation action itself.</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Notification — the appealing identity receives the decision and its stated reasoning, delivered through the existing notification pattern (§52.13.4) already used for other consequential events.</w:t>
      </w:r>
    </w:p>
    <w:p>
      <w:pPr>
        <w:pStyle w:val="Heading2"/>
        <w:spacing w:after="120" w:before="240" w:line="288" w:lineRule="auto"/>
      </w:pPr>
      <w:r>
        <w:rPr>
          <w:rFonts w:ascii="Calibri" w:cs="Calibri" w:eastAsia="Calibri" w:hAnsi="Calibri"/>
          <w:color w:val="000000"/>
          <w:sz w:val="36"/>
          <w:szCs w:val="36"/>
        </w:rPr>
        <w:t xml:space="preserve">75.3 What an Appeal Cannot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cannot reverse a Safety Substrate finding directly — if the original action was gated by a Safety Substrate rule (Chapter 8), the appeal reviews whether that rule was applied correctly to this case, not whether the rule itself should exist. Changing a safety rule is a Chapter 66 Improvement Proposal Pipeline matter, not an appeals matter.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appeal does not automatically restore access while pending — the original moderation action remains in effect during review, consistent with treating the original decision as valid until a human reviewer determines otherwise, not presumptively wrong.</w:t>
      </w:r>
    </w:p>
    <w:p>
      <w:pPr>
        <w:pStyle w:val="Heading2"/>
        <w:spacing w:after="120" w:before="240" w:line="288" w:lineRule="auto"/>
      </w:pPr>
      <w:r>
        <w:rPr>
          <w:rFonts w:ascii="Calibri" w:cs="Calibri" w:eastAsia="Calibri" w:hAnsi="Calibri"/>
          <w:color w:val="000000"/>
          <w:sz w:val="36"/>
          <w:szCs w:val="36"/>
        </w:rPr>
        <w:t xml:space="preserve">75.4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§64.4's moderation actions and audit log, the Provenance Ledger (Chapter 5), the Narrative Graph (Chapter 12), Chapter 65's Role model, and §52.13.4's notification pattern. It modifies none of their specifications.</w:t>
      </w:r>
    </w:p>
    <w:p>
      <w:pPr>
        <w:pStyle w:val="Heading2"/>
        <w:spacing w:after="120" w:before="240" w:line="288" w:lineRule="auto"/>
      </w:pPr>
      <w:r>
        <w:rPr>
          <w:rFonts w:ascii="Calibri" w:cs="Calibri" w:eastAsia="Calibri" w:hAnsi="Calibri"/>
          <w:color w:val="000000"/>
          <w:sz w:val="36"/>
          <w:szCs w:val="36"/>
        </w:rPr>
        <w:t xml:space="preserve">75.5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moderated user can appeal, receive a plain-language explanation of the original decision generated from the existing Narrative Graph, and have a named human reviewer uphold, reverse, or modify the action — all logged with the same accountability discipline already required of the original moderation. An appeal reviews how a rule was applied, not whether the rule itself should exist — that question belongs to Chapter 66's proposal pipeline, with its own human gate.</w:t>
      </w:r>
    </w:p>
    <w:p>
      <w:pPr>
        <w:pStyle w:val="Heading1"/>
        <w:spacing w:after="120" w:before="240" w:line="288" w:lineRule="auto"/>
      </w:pPr>
      <w:r>
        <w:rPr>
          <w:rFonts w:ascii="Calibri" w:cs="Calibri" w:eastAsia="Calibri" w:hAnsi="Calibri"/>
          <w:color w:val="000000"/>
          <w:sz w:val="48"/>
          <w:szCs w:val="48"/>
        </w:rPr>
        <w:t xml:space="preserve">Chapter 76: Platform Internationalization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48's NLPL already guarantees multilingual compilation — the same instruction compiles to an identical program regardless of source language (§48.4.2). This chapter extends localization to the platform surface itself: the Reader Portal, Interactive Mode Registry, and other UI a reader actually sees, which was never previously specified.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ONE SAFETY STANDARD, LOCALIZED PRESENTATION</w:t>
            </w:r>
            <w:r>
              <w:rPr>
                <w:rFonts w:ascii="Calibri" w:cs="Calibri" w:eastAsia="Calibri" w:hAnsi="Calibri"/>
                <w:b/>
                <w:bCs/>
                <w:i w:val="false"/>
                <w:iCs w:val="false"/>
                <w:strike w:val="false"/>
                <w:color w:val="333333"/>
                <w:sz w:val="24"/>
                <w:szCs w:val="24"/>
              </w:rPr>
              <w:t xml:space="preserve">Locale affects language, formatting, and culturally appropriate examples — it does not affect what the Safety Substrate (Chapter 8) or Prime Directive (Domain 0) permit. “Multilingual safety rules” in this chapter means the same rules correctly expressed and understood in every supported language, not different rules in different regions. This distinction is stated explicitly because it is easy to misread otherwise.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76.1 What Is Localized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Reader Portal (§36.8) and its interface text.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Interactive Mode Registry labels and prompts (§52.13.2), not the underlying Fact Graph content they operate 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NLPL's user-facing prompts and error messages (Chapter 48) — distinct from NLPL's compilation guarantee, which was already locale-independent before this chapter.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 UI elements and Presenter Mode's mandatory disclosure text (§46.10.6) — the disclosure's non-removability (§46.10.6) is preserved in every locale; only its language changes.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Robot Memory Domain (Chapter 56) status and control surface text, where a connected device renders text at all.</w:t>
      </w:r>
    </w:p>
    <w:p>
      <w:pPr>
        <w:pStyle w:val="Heading2"/>
        <w:spacing w:after="120" w:before="240" w:line="288" w:lineRule="auto"/>
      </w:pPr>
      <w:r>
        <w:rPr>
          <w:rFonts w:ascii="Calibri" w:cs="Calibri" w:eastAsia="Calibri" w:hAnsi="Calibri"/>
          <w:color w:val="000000"/>
          <w:sz w:val="36"/>
          <w:szCs w:val="36"/>
        </w:rPr>
        <w:t xml:space="preserve">76.2 What Is Not Translated</w:t>
      </w:r>
    </w:p>
    <w:p>
      <w:pPr>
        <w:spacing w:after="120" w:line="360" w:lineRule="auto"/>
      </w:pPr>
      <w:r>
        <w:rPr>
          <w:rFonts w:ascii="Calibri" w:cs="Calibri" w:eastAsia="Calibri" w:hAnsi="Calibri"/>
          <w:b w:val="false"/>
          <w:bCs w:val="false"/>
          <w:i w:val="false"/>
          <w:iCs w:val="false"/>
          <w:strike w:val="false"/>
          <w:color w:val="000000"/>
          <w:sz w:val="22"/>
          <w:szCs w:val="22"/>
        </w:rPr>
        <w:t xml:space="preserve">A book's own authored content is not machine-translated by this chapter — that would materially change the work itself, a decision that belongs to the author and publisher (Chapter 60), not to a platform localization layer. This chapter localizes the platform a reader uses to access content, not the content's own language.</w:t>
      </w:r>
    </w:p>
    <w:p>
      <w:pPr>
        <w:pStyle w:val="Heading2"/>
        <w:spacing w:after="120" w:before="240" w:line="288" w:lineRule="auto"/>
      </w:pPr>
      <w:r>
        <w:rPr>
          <w:rFonts w:ascii="Calibri" w:cs="Calibri" w:eastAsia="Calibri" w:hAnsi="Calibri"/>
          <w:color w:val="000000"/>
          <w:sz w:val="36"/>
          <w:szCs w:val="36"/>
        </w:rPr>
        <w:t xml:space="preserve">76.3 Locale-Aware Formatting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Right-to-left layout support for applicable languages, applied at the presentation layer without altering the underlying Fact Graph's stored text direction metadata.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Culturally appropriate examples in Tutorial Mode and Comprehension Check (§52.13.2) are locale-scoped variants of the same underlying pedagogical Fact Units, not separately authored per-locale content requiring independent maintenance.</w:t>
      </w:r>
    </w:p>
    <w:p>
      <w:pPr>
        <w:pStyle w:val="Heading2"/>
        <w:spacing w:after="120" w:before="240" w:line="288" w:lineRule="auto"/>
      </w:pPr>
      <w:r>
        <w:rPr>
          <w:rFonts w:ascii="Calibri" w:cs="Calibri" w:eastAsia="Calibri" w:hAnsi="Calibri"/>
          <w:color w:val="000000"/>
          <w:sz w:val="36"/>
          <w:szCs w:val="36"/>
        </w:rPr>
        <w:t xml:space="preserve">76.4 Multilingual Ingestion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Ingestion Templates (D0.5.1) may be authored or applied in any supported language; the resulting Fact Units are language-neutral per the Multimodal Ingestion Pipeline's existing design (Chapter 4) — ingesting a document in French produces the same kind of Fact Unit ingesting it in Japanese would, consistent with NLPL's existing locale-independence guarantee (§48.4.2) extended here to ingestion specifically.</w:t>
      </w:r>
    </w:p>
    <w:p>
      <w:pPr>
        <w:pStyle w:val="Heading2"/>
        <w:spacing w:after="120" w:before="240" w:line="288" w:lineRule="auto"/>
      </w:pPr>
      <w:r>
        <w:rPr>
          <w:rFonts w:ascii="Calibri" w:cs="Calibri" w:eastAsia="Calibri" w:hAnsi="Calibri"/>
          <w:color w:val="000000"/>
          <w:sz w:val="36"/>
          <w:szCs w:val="36"/>
        </w:rPr>
        <w:t xml:space="preserve">76.5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§36.8's Reader Portal, §52.13.2's Interactive Mode Registry, Chapter 48's NLPL, §46.10.6's disclosure requirement, Chapter 56's RMD, Chapter 4's Ingestion Pipeline, and Chapter 60's publisher-controlled translation rights. It modifies none of their specifications, and does not alter the Safety Substrate or Prime Directive in any locale.</w:t>
      </w:r>
    </w:p>
    <w:p>
      <w:pPr>
        <w:pStyle w:val="Heading2"/>
        <w:spacing w:after="120" w:before="240" w:line="288" w:lineRule="auto"/>
      </w:pPr>
      <w:r>
        <w:rPr>
          <w:rFonts w:ascii="Calibri" w:cs="Calibri" w:eastAsia="Calibri" w:hAnsi="Calibri"/>
          <w:color w:val="000000"/>
          <w:sz w:val="36"/>
          <w:szCs w:val="36"/>
        </w:rPr>
        <w:t xml:space="preserve">76.6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Platform UI, prompts, and mandatory disclosures are localized without changing what they mean or what they permit — one safety standard, presented correctly in every supported language. A book's own content translation remains a publisher decision (Chapter 60), not something this chapter does automatically.</w:t>
      </w:r>
    </w:p>
    <w:p>
      <w:pPr>
        <w:pStyle w:val="Heading1"/>
        <w:spacing w:after="120" w:before="240" w:line="288" w:lineRule="auto"/>
      </w:pPr>
      <w:r>
        <w:rPr>
          <w:rFonts w:ascii="Calibri" w:cs="Calibri" w:eastAsia="Calibri" w:hAnsi="Calibri"/>
          <w:color w:val="000000"/>
          <w:sz w:val="48"/>
          <w:szCs w:val="48"/>
        </w:rPr>
        <w:t xml:space="preserve">Chapter 77: Validation and Benchmarking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Bible contains many performance figures explicitly marked as unvalidated design targets — Appendix C, §C.11, §44.5, and elsewhere — but never specified how or when those figures actually get measured. This chapter closes that gap: a formal process for turning a design target into a validated result, or retracting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NOTE — A PROCESS FOR VALIDATING EXISTING CLAIMS, NOT NEW CLAIMS</w:t>
            </w:r>
            <w:r>
              <w:rPr>
                <w:rFonts w:ascii="Calibri" w:cs="Calibri" w:eastAsia="Calibri" w:hAnsi="Calibri"/>
                <w:b/>
                <w:bCs/>
                <w:i w:val="false"/>
                <w:iCs w:val="false"/>
                <w:strike w:val="false"/>
                <w:color w:val="333333"/>
                <w:sz w:val="24"/>
                <w:szCs w:val="24"/>
              </w:rPr>
              <w:t xml:space="preserve">This chapter introduces no new performance figures of its own. It specifies how the design-target figures already scattered across this Bible get benchmarked, and what happens to a figure that fails validation — retraction, not quiet retention.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77.1 What Gets Benchmarked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Benchmark 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Validates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Existing Design-Target Source</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accuracy</w:t>
            </w:r>
          </w:p>
        </w:tc>
        <w:tc>
          <w:tcPr>
            <w:tcW w:type="pct" w:w="33%"/>
          </w:tcPr>
          <w:p>
            <w:r>
              <w:rPr>
                <w:rFonts w:ascii="Calibri" w:cs="Calibri" w:eastAsia="Calibri" w:hAnsi="Calibri"/>
                <w:b w:val="false"/>
                <w:bCs w:val="false"/>
                <w:i w:val="false"/>
                <w:iCs w:val="false"/>
                <w:strike w:val="false"/>
                <w:color w:val="000000"/>
                <w:sz w:val="19"/>
                <w:szCs w:val="19"/>
              </w:rPr>
              <w:t xml:space="preserve">Fact Synthesis correctness against ground-truth source content</w:t>
            </w:r>
          </w:p>
        </w:tc>
        <w:tc>
          <w:tcPr>
            <w:tcW w:type="pct" w:w="33%"/>
          </w:tcPr>
          <w:p>
            <w:r>
              <w:rPr>
                <w:rFonts w:ascii="Calibri" w:cs="Calibri" w:eastAsia="Calibri" w:hAnsi="Calibri"/>
                <w:b w:val="false"/>
                <w:bCs w:val="false"/>
                <w:i w:val="false"/>
                <w:iCs w:val="false"/>
                <w:strike w:val="false"/>
                <w:color w:val="000000"/>
                <w:sz w:val="19"/>
                <w:szCs w:val="19"/>
              </w:rPr>
              <w:t xml:space="preserve">Chapter 4</w:t>
            </w:r>
          </w:p>
        </w:tc>
      </w:tr>
      <w:tr>
        <w:tc>
          <w:tcPr>
            <w:tcW w:type="pct" w:w="33%"/>
          </w:tcPr>
          <w:p>
            <w:r>
              <w:rPr>
                <w:rFonts w:ascii="Calibri" w:cs="Calibri" w:eastAsia="Calibri" w:hAnsi="Calibri"/>
                <w:b w:val="false"/>
                <w:bCs w:val="false"/>
                <w:i w:val="false"/>
                <w:iCs w:val="false"/>
                <w:strike w:val="false"/>
                <w:color w:val="000000"/>
                <w:sz w:val="19"/>
                <w:szCs w:val="19"/>
              </w:rPr>
              <w:t xml:space="preserve">Retrieval and response quality</w:t>
            </w:r>
          </w:p>
        </w:tc>
        <w:tc>
          <w:tcPr>
            <w:tcW w:type="pct" w:w="33%"/>
          </w:tcPr>
          <w:p>
            <w:r>
              <w:rPr>
                <w:rFonts w:ascii="Calibri" w:cs="Calibri" w:eastAsia="Calibri" w:hAnsi="Calibri"/>
                <w:b w:val="false"/>
                <w:bCs w:val="false"/>
                <w:i w:val="false"/>
                <w:iCs w:val="false"/>
                <w:strike w:val="false"/>
                <w:color w:val="000000"/>
                <w:sz w:val="19"/>
                <w:szCs w:val="19"/>
              </w:rPr>
              <w:t xml:space="preserve">Associative Recall Engine and ARE Pipeline output against the Factual Groundedness metric</w:t>
            </w:r>
          </w:p>
        </w:tc>
        <w:tc>
          <w:tcPr>
            <w:tcW w:type="pct" w:w="33%"/>
          </w:tcPr>
          <w:p>
            <w:r>
              <w:rPr>
                <w:rFonts w:ascii="Calibri" w:cs="Calibri" w:eastAsia="Calibri" w:hAnsi="Calibri"/>
                <w:b w:val="false"/>
                <w:bCs w:val="false"/>
                <w:i w:val="false"/>
                <w:iCs w:val="false"/>
                <w:strike w:val="false"/>
                <w:color w:val="000000"/>
                <w:sz w:val="19"/>
                <w:szCs w:val="19"/>
              </w:rPr>
              <w:t xml:space="preserve">§7.2.3, Chapter 16</w:t>
            </w:r>
          </w:p>
        </w:tc>
      </w:tr>
      <w:tr>
        <w:tc>
          <w:tcPr>
            <w:tcW w:type="pct" w:w="33%"/>
          </w:tcPr>
          <w:p>
            <w:r>
              <w:rPr>
                <w:rFonts w:ascii="Calibri" w:cs="Calibri" w:eastAsia="Calibri" w:hAnsi="Calibri"/>
                <w:b w:val="false"/>
                <w:bCs w:val="false"/>
                <w:i w:val="false"/>
                <w:iCs w:val="false"/>
                <w:strike w:val="false"/>
                <w:color w:val="000000"/>
                <w:sz w:val="19"/>
                <w:szCs w:val="19"/>
              </w:rPr>
              <w:t xml:space="preserve">Geometric registration</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registration-drift tolerances actually holding under real workloads</w:t>
            </w:r>
          </w:p>
        </w:tc>
        <w:tc>
          <w:tcPr>
            <w:tcW w:type="pct" w:w="33%"/>
          </w:tcPr>
          <w:p>
            <w:r>
              <w:rPr>
                <w:rFonts w:ascii="Calibri" w:cs="Calibri" w:eastAsia="Calibri" w:hAnsi="Calibri"/>
                <w:b w:val="false"/>
                <w:bCs w:val="false"/>
                <w:i w:val="false"/>
                <w:iCs w:val="false"/>
                <w:strike w:val="false"/>
                <w:color w:val="000000"/>
                <w:sz w:val="19"/>
                <w:szCs w:val="19"/>
              </w:rPr>
              <w:t xml:space="preserve">Chapter 70, §C.11</w:t>
            </w:r>
          </w:p>
        </w:tc>
      </w:tr>
      <w:tr>
        <w:tc>
          <w:tcPr>
            <w:tcW w:type="pct" w:w="33%"/>
          </w:tcPr>
          <w:p>
            <w:r>
              <w:rPr>
                <w:rFonts w:ascii="Calibri" w:cs="Calibri" w:eastAsia="Calibri" w:hAnsi="Calibri"/>
                <w:b w:val="false"/>
                <w:bCs w:val="false"/>
                <w:i w:val="false"/>
                <w:iCs w:val="false"/>
                <w:strike w:val="false"/>
                <w:color w:val="000000"/>
                <w:sz w:val="19"/>
                <w:szCs w:val="19"/>
              </w:rPr>
              <w:t xml:space="preserve">Predictive accuracy</w:t>
            </w:r>
          </w:p>
        </w:tc>
        <w:tc>
          <w:tcPr>
            <w:tcW w:type="pct" w:w="33%"/>
          </w:tcPr>
          <w:p>
            <w:r>
              <w:rPr>
                <w:rFonts w:ascii="Calibri" w:cs="Calibri" w:eastAsia="Calibri" w:hAnsi="Calibri"/>
                <w:b w:val="false"/>
                <w:bCs w:val="false"/>
                <w:i w:val="false"/>
                <w:iCs w:val="false"/>
                <w:strike w:val="false"/>
                <w:color w:val="000000"/>
                <w:sz w:val="19"/>
                <w:szCs w:val="19"/>
              </w:rPr>
              <w:t xml:space="preserve">PIE (Chapter 10) forecasts against realized outcomes</w:t>
            </w:r>
          </w:p>
        </w:tc>
        <w:tc>
          <w:tcPr>
            <w:tcW w:type="pct" w:w="33%"/>
          </w:tcPr>
          <w:p>
            <w:r>
              <w:rPr>
                <w:rFonts w:ascii="Calibri" w:cs="Calibri" w:eastAsia="Calibri" w:hAnsi="Calibri"/>
                <w:b w:val="false"/>
                <w:bCs w:val="false"/>
                <w:i w:val="false"/>
                <w:iCs w:val="false"/>
                <w:strike w:val="false"/>
                <w:color w:val="000000"/>
                <w:sz w:val="19"/>
                <w:szCs w:val="19"/>
              </w:rPr>
              <w:t xml:space="preserve">Chapter 10</w:t>
            </w:r>
          </w:p>
        </w:tc>
      </w:tr>
      <w:tr>
        <w:tc>
          <w:tcPr>
            <w:tcW w:type="pct" w:w="33%"/>
          </w:tcPr>
          <w:p>
            <w:r>
              <w:rPr>
                <w:rFonts w:ascii="Calibri" w:cs="Calibri" w:eastAsia="Calibri" w:hAnsi="Calibri"/>
                <w:b w:val="false"/>
                <w:bCs w:val="false"/>
                <w:i w:val="false"/>
                <w:iCs w:val="false"/>
                <w:strike w:val="false"/>
                <w:color w:val="000000"/>
                <w:sz w:val="19"/>
                <w:szCs w:val="19"/>
              </w:rPr>
              <w:t xml:space="preserve">Slice measurement overhead</w:t>
            </w:r>
          </w:p>
        </w:tc>
        <w:tc>
          <w:tcPr>
            <w:tcW w:type="pct" w:w="33%"/>
          </w:tcPr>
          <w:p>
            <w:r>
              <w:rPr>
                <w:rFonts w:ascii="Calibri" w:cs="Calibri" w:eastAsia="Calibri" w:hAnsi="Calibri"/>
                <w:b w:val="false"/>
                <w:bCs w:val="false"/>
                <w:i w:val="false"/>
                <w:iCs w:val="false"/>
                <w:strike w:val="false"/>
                <w:color w:val="000000"/>
                <w:sz w:val="19"/>
                <w:szCs w:val="19"/>
              </w:rPr>
              <w:t xml:space="preserve">Whether Chapter 69's measurement layer itself adds acceptable overhead to the operations it measures</w:t>
            </w:r>
          </w:p>
        </w:tc>
        <w:tc>
          <w:tcPr>
            <w:tcW w:type="pct" w:w="33%"/>
          </w:tcPr>
          <w:p>
            <w:r>
              <w:rPr>
                <w:rFonts w:ascii="Calibri" w:cs="Calibri" w:eastAsia="Calibri" w:hAnsi="Calibri"/>
                <w:b w:val="false"/>
                <w:bCs w:val="false"/>
                <w:i w:val="false"/>
                <w:iCs w:val="false"/>
                <w:strike w:val="false"/>
                <w:color w:val="000000"/>
                <w:sz w:val="19"/>
                <w:szCs w:val="19"/>
              </w:rPr>
              <w:t xml:space="preserve">Chapter 69</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77.2 Benchmark Process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BenchmarkUnit Fact Unit defines a specific, reproducible test: the operation being measured, the workload used, and the metric being evaluated — not a vague performance claim, a concrete, repeatable procedure.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Running a benchmark produces a ValidationReportUnit, provenance-tracked through the Provenance Ledger (Chapter 5) like any other Fact Unit, recording the actual measured result against the existing design-target figure it's checking.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PerformanceTargetUnit links a specific design-target figure already stated elsewhere in this Bible (for instance, §C.11's figures) to the BenchmarkUnit that would validate it — closing the loop between a claim and the test that either confirms or retracts it.</w:t>
      </w:r>
    </w:p>
    <w:p>
      <w:pPr>
        <w:pStyle w:val="Heading2"/>
        <w:spacing w:after="120" w:before="240" w:line="288" w:lineRule="auto"/>
      </w:pPr>
      <w:r>
        <w:rPr>
          <w:rFonts w:ascii="Calibri" w:cs="Calibri" w:eastAsia="Calibri" w:hAnsi="Calibri"/>
          <w:color w:val="000000"/>
          <w:sz w:val="36"/>
          <w:szCs w:val="36"/>
        </w:rPr>
        <w:t xml:space="preserve">77.3 Outcome of Validation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validates within stated tolerance is marked validated in its ValidationReportUnit, with the benchmark conditions recorded so the validation can be reproduced or re-checked later.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figure that fails validation is retracted, not quietly retained — the design-target language in the originating section (for example, §C.11's own “should be revalidated before external-facing use” framing) is updated to reflect the actual measured result, consistent with this Bible's standing discipline of not letting an unvalidated figure sit unchallenged once it's actually been checked.</w:t>
      </w:r>
    </w:p>
    <w:p>
      <w:pPr>
        <w:pStyle w:val="Heading2"/>
        <w:spacing w:after="120" w:before="240" w:line="288" w:lineRule="auto"/>
      </w:pPr>
      <w:r>
        <w:rPr>
          <w:rFonts w:ascii="Calibri" w:cs="Calibri" w:eastAsia="Calibri" w:hAnsi="Calibri"/>
          <w:color w:val="000000"/>
          <w:sz w:val="36"/>
          <w:szCs w:val="36"/>
        </w:rPr>
        <w:t xml:space="preserve">77.4 Reuse of Existing Slice Measurement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benchmark measures compute cost or duration, it reads from the Processor Slice categories already specified in Chapter 69 rather than a separate benchmarking-specific measurement mechanism — a benchmark run is itself composed of ordinary Ingestion, Reasoning, Response Generation, or Rendering Slices, measured the same way any other operation already is.</w:t>
      </w:r>
    </w:p>
    <w:p>
      <w:pPr>
        <w:pStyle w:val="Heading2"/>
        <w:spacing w:after="120" w:before="240" w:line="288" w:lineRule="auto"/>
      </w:pPr>
      <w:r>
        <w:rPr>
          <w:rFonts w:ascii="Calibri" w:cs="Calibri" w:eastAsia="Calibri" w:hAnsi="Calibri"/>
          <w:color w:val="000000"/>
          <w:sz w:val="36"/>
          <w:szCs w:val="36"/>
        </w:rPr>
        <w:t xml:space="preserve">77.5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Provenance Ledger (Chapter 5), Chapter 69's Slice Categories, and every design-target figure already stated elsewhere in this Bible — Appendix C, Chapter 4, §7.2.3, Chapter 10, Chapter 16, and Chapter 70. It modifies none of their specifications directly; it links to them and, on validation or retraction, updates their stated confidence level rather than their underlying architecture.</w:t>
      </w:r>
    </w:p>
    <w:p>
      <w:pPr>
        <w:pStyle w:val="Heading2"/>
        <w:spacing w:after="120" w:before="240" w:line="288" w:lineRule="auto"/>
      </w:pPr>
      <w:r>
        <w:rPr>
          <w:rFonts w:ascii="Calibri" w:cs="Calibri" w:eastAsia="Calibri" w:hAnsi="Calibri"/>
          <w:color w:val="000000"/>
          <w:sz w:val="36"/>
          <w:szCs w:val="36"/>
        </w:rPr>
        <w:t xml:space="preserve">77.6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design-target figure already in this Bible now has a defined path to becoming either a validated result or a retracted claim, using BenchmarkUnit, ValidationReportUnit, and PerformanceTargetUnit Fact Units that reuse the existing Provenance Ledger and Processor Slice infrastructure. No new performance claims were introduced by this chapter — only the process for checking the ones that already existed.</w:t>
      </w:r>
    </w:p>
    <w:p>
      <w:pPr>
        <w:pStyle w:val="Heading1"/>
        <w:spacing w:after="120" w:before="240" w:line="288" w:lineRule="auto"/>
      </w:pPr>
      <w:r>
        <w:rPr>
          <w:rFonts w:ascii="Calibri" w:cs="Calibri" w:eastAsia="Calibri" w:hAnsi="Calibri"/>
          <w:color w:val="000000"/>
          <w:sz w:val="48"/>
          <w:szCs w:val="48"/>
        </w:rPr>
        <w:t xml:space="preserve">Chapter 78: QueryBook AI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structures a dedicated, subsystem-assigned front end to the Improvement Proposal Pipeline already fully specified in Chapter 66. QueryBook AI Evolution is not a new authority or a new pipeline — it is System Agents, one per major subsystem, whose job is to continuously run Candidate Identification (§66.1) for their assigned area and draft Proposals (§66.2) for a human to evaluate. Every proposal a System Agent produces still passes through the same Simulation Sandbox (§66.3), the same automated pre-screening (§66.4), and the same Human Review Gate (§66.5) as any other candidate, with no shortcut for having originated from a named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CHAPTER GRANTS NO NEW AUTHORITY</w:t>
            </w:r>
            <w:r>
              <w:rPr>
                <w:rFonts w:ascii="Calibri" w:cs="Calibri" w:eastAsia="Calibri" w:hAnsi="Calibri"/>
                <w:b/>
                <w:bCs/>
                <w:i w:val="false"/>
                <w:iCs w:val="false"/>
                <w:strike w:val="false"/>
                <w:color w:val="333333"/>
                <w:sz w:val="24"/>
                <w:szCs w:val="24"/>
              </w:rPr>
              <w:t xml:space="preserve">QueryBook AI Evolution is a name and an organizational structure over Chapter 66's existing pipeline — candidate identification, proposal drafting, sandbox testing, and a recommendation to a human. It does not modify §66.5's Human Review Gate, and it does not touch §66.8's Permanent Exclusions list. A System Agent recommends; a named human admin approves. That is the entire authority a System Agent has, regardless of which subsystem it is assigned to or how the proposal was generated.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78.1 System Agents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is assigned to exactly one already-specified subsystem, scoped to that subsystem's own Slice Category (Chapter 69) where one exists. An agent's Candidate Identification work (§66.1) is bounded to its assigned area — an agent assigned to Ingestion does not draft proposals about Rendering, and vice versa.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System Agent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Assigned Subsystem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Draws Candidates From</w:t>
            </w:r>
          </w:p>
        </w:tc>
      </w:tr>
      <w:tr>
        <w:tc>
          <w:tcPr>
            <w:tcW w:type="pct" w:w="33%"/>
          </w:tcPr>
          <w:p>
            <w:r>
              <w:rPr>
                <w:rFonts w:ascii="Calibri" w:cs="Calibri" w:eastAsia="Calibri" w:hAnsi="Calibri"/>
                <w:b w:val="false"/>
                <w:bCs w:val="false"/>
                <w:i w:val="false"/>
                <w:iCs w:val="false"/>
                <w:strike w:val="false"/>
                <w:color w:val="000000"/>
                <w:sz w:val="19"/>
                <w:szCs w:val="19"/>
              </w:rPr>
              <w:t xml:space="preserve">Ingestion Agent</w:t>
            </w:r>
          </w:p>
        </w:tc>
        <w:tc>
          <w:tcPr>
            <w:tcW w:type="pct" w:w="33%"/>
          </w:tcPr>
          <w:p>
            <w:r>
              <w:rPr>
                <w:rFonts w:ascii="Calibri" w:cs="Calibri" w:eastAsia="Calibri" w:hAnsi="Calibri"/>
                <w:b w:val="false"/>
                <w:bCs w:val="false"/>
                <w:i w:val="false"/>
                <w:iCs w:val="false"/>
                <w:strike w:val="false"/>
                <w:color w:val="000000"/>
                <w:sz w:val="19"/>
                <w:szCs w:val="19"/>
              </w:rPr>
              <w:t xml:space="preserve">Multimodal Ingestion Pipeline (Chapter 4)</w:t>
            </w:r>
          </w:p>
        </w:tc>
        <w:tc>
          <w:tcPr>
            <w:tcW w:type="pct" w:w="33%"/>
          </w:tcPr>
          <w:p>
            <w:r>
              <w:rPr>
                <w:rFonts w:ascii="Calibri" w:cs="Calibri" w:eastAsia="Calibri" w:hAnsi="Calibri"/>
                <w:b w:val="false"/>
                <w:bCs w:val="false"/>
                <w:i w:val="false"/>
                <w:iCs w:val="false"/>
                <w:strike w:val="false"/>
                <w:color w:val="000000"/>
                <w:sz w:val="19"/>
                <w:szCs w:val="19"/>
              </w:rPr>
              <w:t xml:space="preserve">Ingestion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Reasoning Agent</w:t>
            </w:r>
          </w:p>
        </w:tc>
        <w:tc>
          <w:tcPr>
            <w:tcW w:type="pct" w:w="33%"/>
          </w:tcPr>
          <w:p>
            <w:r>
              <w:rPr>
                <w:rFonts w:ascii="Calibri" w:cs="Calibri" w:eastAsia="Calibri" w:hAnsi="Calibri"/>
                <w:b w:val="false"/>
                <w:bCs w:val="false"/>
                <w:i w:val="false"/>
                <w:iCs w:val="false"/>
                <w:strike w:val="false"/>
                <w:color w:val="000000"/>
                <w:sz w:val="19"/>
                <w:szCs w:val="19"/>
              </w:rPr>
              <w:t xml:space="preserve">NCL and AEM (Chapters 7, 15)</w:t>
            </w:r>
          </w:p>
        </w:tc>
        <w:tc>
          <w:tcPr>
            <w:tcW w:type="pct" w:w="33%"/>
          </w:tcPr>
          <w:p>
            <w:r>
              <w:rPr>
                <w:rFonts w:ascii="Calibri" w:cs="Calibri" w:eastAsia="Calibri" w:hAnsi="Calibri"/>
                <w:b w:val="false"/>
                <w:bCs w:val="false"/>
                <w:i w:val="false"/>
                <w:iCs w:val="false"/>
                <w:strike w:val="false"/>
                <w:color w:val="000000"/>
                <w:sz w:val="19"/>
                <w:szCs w:val="19"/>
              </w:rPr>
              <w:t xml:space="preserve">Reasoning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Response Agent</w:t>
            </w:r>
          </w:p>
        </w:tc>
        <w:tc>
          <w:tcPr>
            <w:tcW w:type="pct" w:w="33%"/>
          </w:tcPr>
          <w:p>
            <w:r>
              <w:rPr>
                <w:rFonts w:ascii="Calibri" w:cs="Calibri" w:eastAsia="Calibri" w:hAnsi="Calibri"/>
                <w:b w:val="false"/>
                <w:bCs w:val="false"/>
                <w:i w:val="false"/>
                <w:iCs w:val="false"/>
                <w:strike w:val="false"/>
                <w:color w:val="000000"/>
                <w:sz w:val="19"/>
                <w:szCs w:val="19"/>
              </w:rPr>
              <w:t xml:space="preserve">The ARE Pipeline (§52.8)</w:t>
            </w:r>
          </w:p>
        </w:tc>
        <w:tc>
          <w:tcPr>
            <w:tcW w:type="pct" w:w="33%"/>
          </w:tcPr>
          <w:p>
            <w:r>
              <w:rPr>
                <w:rFonts w:ascii="Calibri" w:cs="Calibri" w:eastAsia="Calibri" w:hAnsi="Calibri"/>
                <w:b w:val="false"/>
                <w:bCs w:val="false"/>
                <w:i w:val="false"/>
                <w:iCs w:val="false"/>
                <w:strike w:val="false"/>
                <w:color w:val="000000"/>
                <w:sz w:val="19"/>
                <w:szCs w:val="19"/>
              </w:rPr>
              <w:t xml:space="preserve">Response Generation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Rendering Agent</w:t>
            </w:r>
          </w:p>
        </w:tc>
        <w:tc>
          <w:tcPr>
            <w:tcW w:type="pct" w:w="33%"/>
          </w:tcPr>
          <w:p>
            <w:r>
              <w:rPr>
                <w:rFonts w:ascii="Calibri" w:cs="Calibri" w:eastAsia="Calibri" w:hAnsi="Calibri"/>
                <w:b w:val="false"/>
                <w:bCs w:val="false"/>
                <w:i w:val="false"/>
                <w:iCs w:val="false"/>
                <w:strike w:val="false"/>
                <w:color w:val="000000"/>
                <w:sz w:val="19"/>
                <w:szCs w:val="19"/>
              </w:rPr>
              <w:t xml:space="preserve">IQR and VCUM (Chapters 44, 46)</w:t>
            </w:r>
          </w:p>
        </w:tc>
        <w:tc>
          <w:tcPr>
            <w:tcW w:type="pct" w:w="33%"/>
          </w:tcPr>
          <w:p>
            <w:r>
              <w:rPr>
                <w:rFonts w:ascii="Calibri" w:cs="Calibri" w:eastAsia="Calibri" w:hAnsi="Calibri"/>
                <w:b w:val="false"/>
                <w:bCs w:val="false"/>
                <w:i w:val="false"/>
                <w:iCs w:val="false"/>
                <w:strike w:val="false"/>
                <w:color w:val="000000"/>
                <w:sz w:val="19"/>
                <w:szCs w:val="19"/>
              </w:rPr>
              <w:t xml:space="preserve">Rendering Slice telemetry (§69.2)</w:t>
            </w:r>
          </w:p>
        </w:tc>
      </w:tr>
      <w:tr>
        <w:tc>
          <w:tcPr>
            <w:tcW w:type="pct" w:w="33%"/>
          </w:tcPr>
          <w:p>
            <w:r>
              <w:rPr>
                <w:rFonts w:ascii="Calibri" w:cs="Calibri" w:eastAsia="Calibri" w:hAnsi="Calibri"/>
                <w:b w:val="false"/>
                <w:bCs w:val="false"/>
                <w:i w:val="false"/>
                <w:iCs w:val="false"/>
                <w:strike w:val="false"/>
                <w:color w:val="000000"/>
                <w:sz w:val="19"/>
                <w:szCs w:val="19"/>
              </w:rPr>
              <w:t xml:space="preserve">Geometry Agent</w:t>
            </w:r>
          </w:p>
        </w:tc>
        <w:tc>
          <w:tcPr>
            <w:tcW w:type="pct" w:w="33%"/>
          </w:tcPr>
          <w:p>
            <w:r>
              <w:rPr>
                <w:rFonts w:ascii="Calibri" w:cs="Calibri" w:eastAsia="Calibri" w:hAnsi="Calibri"/>
                <w:b w:val="false"/>
                <w:bCs w:val="false"/>
                <w:i w:val="false"/>
                <w:iCs w:val="false"/>
                <w:strike w:val="false"/>
                <w:color w:val="000000"/>
                <w:sz w:val="19"/>
                <w:szCs w:val="19"/>
              </w:rPr>
              <w:t xml:space="preserve">Precision Color and Geometric Registration (Chapter 70)</w:t>
            </w:r>
          </w:p>
        </w:tc>
        <w:tc>
          <w:tcPr>
            <w:tcW w:type="pct" w:w="33%"/>
          </w:tcPr>
          <w:p>
            <w:r>
              <w:rPr>
                <w:rFonts w:ascii="Calibri" w:cs="Calibri" w:eastAsia="Calibri" w:hAnsi="Calibri"/>
                <w:b w:val="false"/>
                <w:bCs w:val="false"/>
                <w:i w:val="false"/>
                <w:iCs w:val="false"/>
                <w:strike w:val="false"/>
                <w:color w:val="000000"/>
                <w:sz w:val="19"/>
                <w:szCs w:val="19"/>
              </w:rPr>
              <w:t xml:space="preserve">ΔE and registration drift findings (§70.3–§70.4)</w:t>
            </w:r>
          </w:p>
        </w:tc>
      </w:tr>
      <w:tr>
        <w:tc>
          <w:tcPr>
            <w:tcW w:type="pct" w:w="33%"/>
          </w:tcPr>
          <w:p>
            <w:r>
              <w:rPr>
                <w:rFonts w:ascii="Calibri" w:cs="Calibri" w:eastAsia="Calibri" w:hAnsi="Calibri"/>
                <w:b w:val="false"/>
                <w:bCs w:val="false"/>
                <w:i w:val="false"/>
                <w:iCs w:val="false"/>
                <w:strike w:val="false"/>
                <w:color w:val="000000"/>
                <w:sz w:val="19"/>
                <w:szCs w:val="19"/>
              </w:rPr>
              <w:t xml:space="preserve">Robotics Agent</w:t>
            </w:r>
          </w:p>
        </w:tc>
        <w:tc>
          <w:tcPr>
            <w:tcW w:type="pct" w:w="33%"/>
          </w:tcPr>
          <w:p>
            <w:r>
              <w:rPr>
                <w:rFonts w:ascii="Calibri" w:cs="Calibri" w:eastAsia="Calibri" w:hAnsi="Calibri"/>
                <w:b w:val="false"/>
                <w:bCs w:val="false"/>
                <w:i w:val="false"/>
                <w:iCs w:val="false"/>
                <w:strike w:val="false"/>
                <w:color w:val="000000"/>
                <w:sz w:val="19"/>
                <w:szCs w:val="19"/>
              </w:rPr>
              <w:t xml:space="preserve">The Robot Memory Domain (Chapter 56)</w:t>
            </w:r>
          </w:p>
        </w:tc>
        <w:tc>
          <w:tcPr>
            <w:tcW w:type="pct" w:w="33%"/>
          </w:tcPr>
          <w:p>
            <w:r>
              <w:rPr>
                <w:rFonts w:ascii="Calibri" w:cs="Calibri" w:eastAsia="Calibri" w:hAnsi="Calibri"/>
                <w:b w:val="false"/>
                <w:bCs w:val="false"/>
                <w:i w:val="false"/>
                <w:iCs w:val="false"/>
                <w:strike w:val="false"/>
                <w:color w:val="000000"/>
                <w:sz w:val="19"/>
                <w:szCs w:val="19"/>
              </w:rPr>
              <w:t xml:space="preserve">RMD integration telemetry (§56.4)</w:t>
            </w:r>
          </w:p>
        </w:tc>
      </w:tr>
      <w:tr>
        <w:tc>
          <w:tcPr>
            <w:tcW w:type="pct" w:w="33%"/>
          </w:tcPr>
          <w:p>
            <w:r>
              <w:rPr>
                <w:rFonts w:ascii="Calibri" w:cs="Calibri" w:eastAsia="Calibri" w:hAnsi="Calibri"/>
                <w:b w:val="false"/>
                <w:bCs w:val="false"/>
                <w:i w:val="false"/>
                <w:iCs w:val="false"/>
                <w:strike w:val="false"/>
                <w:color w:val="000000"/>
                <w:sz w:val="19"/>
                <w:szCs w:val="19"/>
              </w:rPr>
              <w:t xml:space="preserve">Accessibility Agent</w:t>
            </w:r>
          </w:p>
        </w:tc>
        <w:tc>
          <w:tcPr>
            <w:tcW w:type="pct" w:w="33%"/>
          </w:tcPr>
          <w:p>
            <w:r>
              <w:rPr>
                <w:rFonts w:ascii="Calibri" w:cs="Calibri" w:eastAsia="Calibri" w:hAnsi="Calibri"/>
                <w:b w:val="false"/>
                <w:bCs w:val="false"/>
                <w:i w:val="false"/>
                <w:iCs w:val="false"/>
                <w:strike w:val="false"/>
                <w:color w:val="000000"/>
                <w:sz w:val="19"/>
                <w:szCs w:val="19"/>
              </w:rPr>
              <w:t xml:space="preserve">The Universal Accessibility Layer (Chapter 71)</w:t>
            </w:r>
          </w:p>
        </w:tc>
        <w:tc>
          <w:tcPr>
            <w:tcW w:type="pct" w:w="33%"/>
          </w:tcPr>
          <w:p>
            <w:r>
              <w:rPr>
                <w:rFonts w:ascii="Calibri" w:cs="Calibri" w:eastAsia="Calibri" w:hAnsi="Calibri"/>
                <w:b w:val="false"/>
                <w:bCs w:val="false"/>
                <w:i w:val="false"/>
                <w:iCs w:val="false"/>
                <w:strike w:val="false"/>
                <w:color w:val="000000"/>
                <w:sz w:val="19"/>
                <w:szCs w:val="19"/>
              </w:rPr>
              <w:t xml:space="preserve">Coverage gaps against §71.1's accessible-content requirement</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a representative, not exhaustive, assignment list — an agent can be assigned to any subsystem with its own telemetry source, following this same pattern, without this chapter's specification needing to change, the same extensibility principle already established for Slice Categories (§69.2).</w:t>
      </w:r>
    </w:p>
    <w:p>
      <w:pPr>
        <w:pStyle w:val="Heading2"/>
        <w:spacing w:after="120" w:before="240" w:line="288" w:lineRule="auto"/>
      </w:pPr>
      <w:r>
        <w:rPr>
          <w:rFonts w:ascii="Calibri" w:cs="Calibri" w:eastAsia="Calibri" w:hAnsi="Calibri"/>
          <w:color w:val="000000"/>
          <w:sz w:val="36"/>
          <w:szCs w:val="36"/>
        </w:rPr>
        <w:t xml:space="preserve">78.2 What a System Agent Does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Monitors its assigned subsystem's existing telemetry — Slice measurements (Chapter 69), drift findings (Chapter 70), coverage gaps (Chapter 71) — for the same kind of recurring pattern §66.1 already looks for from any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Drafts a Proposal Fact Unit (§66.2) when a pattern is found, scoped by §66.2's existing schema — Scope, Change Description, Risk Assessment, Performance Prediction, Rollback Plan.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Submits the Proposal to the existing Simulation Sandbox (§66.3) for testing — an agent does not have its own separate testing environment; it uses the one Chapter 66 already specifies.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is automatically pre-screened (§66.4) against §66.8's Permanent Exclusions before any human sees it, exactly as any other proposal is.</w:t>
      </w:r>
    </w:p>
    <w:p>
      <w:pPr>
        <w:pStyle w:val="Heading2"/>
        <w:spacing w:after="120" w:before="240" w:line="288" w:lineRule="auto"/>
      </w:pPr>
      <w:r>
        <w:rPr>
          <w:rFonts w:ascii="Calibri" w:cs="Calibri" w:eastAsia="Calibri" w:hAnsi="Calibri"/>
          <w:color w:val="000000"/>
          <w:sz w:val="36"/>
          <w:szCs w:val="36"/>
        </w:rPr>
        <w:t xml:space="preserve">78.3 What a System Agent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does not approve its own proposal, or any proposal. Approval is exclusively the Human Review Gate's function (§66.5) — a named, accountable admin, not an agent, however confident the agent's Fitness Score.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 cannot draft a proposal scoped to another agent's assigned subsystem, to Chapter 66's own Human Review Gate, or to anything on §66.8's Permanent Exclusions list — the Safety Substrate, the Prime Directive, Presenter Mode's authorization requirements (§46.10), or the private-note guarantees (§63.4).</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System Agent's recommendation carries no more weight in review than a human-originated Candidate Record — §66.5 already states a reviewer evaluates the Fitness Score and Risk Profile as evidence, not as a decision; that applies identically here.</w:t>
      </w:r>
    </w:p>
    <w:p>
      <w:pPr>
        <w:pStyle w:val="Heading2"/>
        <w:spacing w:after="120" w:before="240" w:line="288" w:lineRule="auto"/>
      </w:pPr>
      <w:r>
        <w:rPr>
          <w:rFonts w:ascii="Calibri" w:cs="Calibri" w:eastAsia="Calibri" w:hAnsi="Calibri"/>
          <w:color w:val="000000"/>
          <w:sz w:val="36"/>
          <w:szCs w:val="36"/>
        </w:rPr>
        <w:t xml:space="preserve">78.4 Deployment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Agent's approved proposal deploys exactly as §66.6 already specifies — staged rollout, only after human approval. No System Agent has deployment authority of its own; approval and deployment remain the same two-step, human-gated sequence for every proposal in this Bible, regardless of source.</w:t>
      </w:r>
    </w:p>
    <w:p>
      <w:pPr>
        <w:pStyle w:val="Heading2"/>
        <w:spacing w:after="120" w:before="240" w:line="288" w:lineRule="auto"/>
      </w:pPr>
      <w:r>
        <w:rPr>
          <w:rFonts w:ascii="Calibri" w:cs="Calibri" w:eastAsia="Calibri" w:hAnsi="Calibri"/>
          <w:color w:val="000000"/>
          <w:sz w:val="36"/>
          <w:szCs w:val="36"/>
        </w:rPr>
        <w:t xml:space="preserve">78.5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entire Improvement Proposal Pipeline (Chapter 66) unmodified, Chapter 69's Slice Categories, and the specific subsystem chapters an agent monitors (Chapters 4, 7, 15, 44, 46, 52, 56, 70, 71 as representative examples per §78.1). It modifies none of their specifications, and §66.5's Human Review Gate and §66.8's Permanent Exclusions apply to every System Agent exactly as specified in Chapter 66.</w:t>
      </w:r>
    </w:p>
    <w:p>
      <w:pPr>
        <w:pStyle w:val="Heading2"/>
        <w:spacing w:after="120" w:before="240" w:line="288" w:lineRule="auto"/>
      </w:pPr>
      <w:r>
        <w:rPr>
          <w:rFonts w:ascii="Calibri" w:cs="Calibri" w:eastAsia="Calibri" w:hAnsi="Calibri"/>
          <w:color w:val="000000"/>
          <w:sz w:val="36"/>
          <w:szCs w:val="36"/>
        </w:rPr>
        <w:t xml:space="preserve">78.6 Human-Directed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§78.1's System Agents identify candidates from telemetry — a pattern noticed in existing data. This section adds the other legitimate way a proposal can start: a person directly specifying what they want investigated, before any telemetry pattern exists to notice. Both paths converge on the exact same pipeline from that point forward.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PIPELINE, SAME GATE, NO SHORTCUT</w:t>
            </w:r>
            <w:r>
              <w:rPr>
                <w:rFonts w:ascii="Calibri" w:cs="Calibri" w:eastAsia="Calibri" w:hAnsi="Calibri"/>
                <w:b/>
                <w:bCs/>
                <w:i w:val="false"/>
                <w:iCs w:val="false"/>
                <w:strike w:val="false"/>
                <w:color w:val="333333"/>
                <w:sz w:val="24"/>
                <w:szCs w:val="24"/>
              </w:rPr>
              <w:t xml:space="preserve">A human-directed proposal receives no expedited review, no different Fitness Score threshold, and no exemption from anything in §66.8's Permanent Exclusions list. Directing what gets investigated is not the same authority as approving what gets deployed — those remain two separate steps even when the same admin does both.</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78.6.1 Direction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License Owner holding a Role entitled to propose changes in the relevant subsystem (Chapter 65, Chapter 67) may submit a Proposal Fact Unit (§66.2) directly — Scope, Change Description, and an initial Performance Prediction — without waiting for a System Agent to surface the same idea from telemetry. This is the “proposal before sandbox development” entry point: the human states what they want explored first, in the same structured form §66.2 already requires of any proposal.</w:t>
      </w:r>
    </w:p>
    <w:p>
      <w:pPr>
        <w:pStyle w:val="Heading3"/>
        <w:spacing w:after="120" w:before="200" w:line="288" w:lineRule="auto"/>
      </w:pPr>
      <w:r>
        <w:rPr>
          <w:rFonts w:ascii="Calibri" w:cs="Calibri" w:eastAsia="Calibri" w:hAnsi="Calibri"/>
          <w:color w:val="000000"/>
          <w:sz w:val="28"/>
          <w:szCs w:val="28"/>
        </w:rPr>
        <w:t xml:space="preserve">78.6.2 Sandbox and Review, Unchanged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proposal enters the Simulation Sandbox (§66.3) exactly as any System Agent's proposal does — there is no separate, faster testing path for a human-directed idea.</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Automated pre-screening (§66.4) checks it against §66.8's Permanent Exclusions before any human reviewer sees it, identically to §78.3's rule for System Agents — a human directing a proposal cannot direct one targeting the Safety Substrate, the Prime Directive, Chapter 66's own Human Review Gate, or the other permanently excluded items, any more than an agent can.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evaluates it on the same Fitness Score and Risk Profile evidence as any other proposal — the reviewer is not the same thing as the director, even when one person happens to hold both roles; the review step still has to actually happen.</w:t>
      </w:r>
    </w:p>
    <w:p>
      <w:pPr>
        <w:pStyle w:val="Heading3"/>
        <w:spacing w:after="120" w:before="200" w:line="288" w:lineRule="auto"/>
      </w:pPr>
      <w:r>
        <w:rPr>
          <w:rFonts w:ascii="Calibri" w:cs="Calibri" w:eastAsia="Calibri" w:hAnsi="Calibri"/>
          <w:color w:val="000000"/>
          <w:sz w:val="28"/>
          <w:szCs w:val="28"/>
        </w:rPr>
        <w:t xml:space="preserve">78.6.3 Why This Matters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is the structural answer to using AI to improve AI responsibly: a person directs what gets explored, an agent or the sandbox does the exploratory work, and a named human still has to say yes before anything changes — with a fixed list of things that yes can never apply to. Directing a proposal is participation in the process, not authority over its outcome.</w:t>
      </w:r>
    </w:p>
    <w:p>
      <w:pPr>
        <w:pStyle w:val="Heading2"/>
        <w:spacing w:after="120" w:before="240" w:line="288" w:lineRule="auto"/>
      </w:pPr>
      <w:r>
        <w:rPr>
          <w:rFonts w:ascii="Calibri" w:cs="Calibri" w:eastAsia="Calibri" w:hAnsi="Calibri"/>
          <w:color w:val="000000"/>
          <w:sz w:val="36"/>
          <w:szCs w:val="36"/>
        </w:rPr>
        <w:t xml:space="preserve">78.7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AI Evolution names and organizes what Chapter 66 already fully specifies: subsystem-assigned agents that identify candidates, draft proposals, and submit them to the existing sandbox and pre-screening — with a named human admin as the only party who can approve anything, and the same Permanent Exclusions list unreachable by any agent regardless of assignment. The name is new; the authority structure underneath it is not.</w:t>
      </w:r>
    </w:p>
    <w:p>
      <w:pPr>
        <w:pStyle w:val="Heading1"/>
        <w:spacing w:after="120" w:before="240" w:line="288" w:lineRule="auto"/>
      </w:pPr>
      <w:r>
        <w:rPr>
          <w:rFonts w:ascii="Calibri" w:cs="Calibri" w:eastAsia="Calibri" w:hAnsi="Calibri"/>
          <w:color w:val="000000"/>
          <w:sz w:val="48"/>
          <w:szCs w:val="48"/>
        </w:rPr>
        <w:t xml:space="preserve">Chapter 79: Formal Verification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adds machine-checkable, formal proof to the programs and proposals already specified elsewhere in this Bible — QBPL programs (§48.3), WATCH programs (§49.4), and Improvement Proposals (Chapter 66, Chapter 78) — using Lean, a proof assistant capable of verifying that a specific, precisely stated property genuinely holds, not merely that a test suite happened to pass. It is additive to every mechanism it touches: nothing here replaces the Human Review Gate (§66.5), the Simulation Sandbox (§66.3), or the Verification and Confirmation Gate (§48.4.1); it gives each of them a stronger form of evidence to work from.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FORMAL VERIFICATION IS, AND WHAT IT IS NOT, HERE</w:t>
            </w:r>
            <w:r>
              <w:rPr>
                <w:rFonts w:ascii="Calibri" w:cs="Calibri" w:eastAsia="Calibri" w:hAnsi="Calibri"/>
                <w:b/>
                <w:bCs/>
                <w:i w:val="false"/>
                <w:iCs w:val="false"/>
                <w:strike w:val="false"/>
                <w:color w:val="333333"/>
                <w:sz w:val="24"/>
                <w:szCs w:val="24"/>
              </w:rPr>
              <w:t xml:space="preserve">A Lean proof in this chapter establishes that a precisely specifiable property holds for all possible inputs — termination, a stated bound never being exceeded, non-interference with a named FactType — which is a fundamentally stronger guarantee than a passing test, which only confirms behavior on the specific cases tested. This is possible here specifically because QBPL's primitive set is small, fixed, and deliberately non-Turing-complete (§48.5) — a property that would make formal verification impractical for an unbounded general-purpose language is exactly what makes it tractable for QBPL. A Lean proof does not, and cannot, verify open-ended judgments — whether a change is a good idea, whether a response reads naturally, whether a proposal is worth deploying. Those remain exactly what they already were: a named human's decision at the Human Review Gate.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79.1 What Gets Proved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Target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Property Verified</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Why It's Formally Tractable</w:t>
            </w:r>
          </w:p>
        </w:tc>
      </w:tr>
      <w:tr>
        <w:tc>
          <w:tcPr>
            <w:tcW w:type="pct" w:w="33%"/>
          </w:tcPr>
          <w:p>
            <w:r>
              <w:rPr>
                <w:rFonts w:ascii="Calibri" w:cs="Calibri" w:eastAsia="Calibri" w:hAnsi="Calibri"/>
                <w:b w:val="false"/>
                <w:bCs w:val="false"/>
                <w:i w:val="false"/>
                <w:iCs w:val="false"/>
                <w:strike w:val="false"/>
                <w:color w:val="000000"/>
                <w:sz w:val="19"/>
                <w:szCs w:val="19"/>
              </w:rPr>
              <w:t xml:space="preserve">A QBPL program using REPEAT-UNTIL-BOUND (§48.5)</w:t>
            </w:r>
          </w:p>
        </w:tc>
        <w:tc>
          <w:tcPr>
            <w:tcW w:type="pct" w:w="33%"/>
          </w:tcPr>
          <w:p>
            <w:r>
              <w:rPr>
                <w:rFonts w:ascii="Calibri" w:cs="Calibri" w:eastAsia="Calibri" w:hAnsi="Calibri"/>
                <w:b w:val="false"/>
                <w:bCs w:val="false"/>
                <w:i w:val="false"/>
                <w:iCs w:val="false"/>
                <w:strike w:val="false"/>
                <w:color w:val="000000"/>
                <w:sz w:val="19"/>
                <w:szCs w:val="19"/>
              </w:rPr>
              <w:t xml:space="preserve">The loop terminates within its declared bound under all reachable inputs, not merely the inputs a test happened to cover.</w:t>
            </w:r>
          </w:p>
        </w:tc>
        <w:tc>
          <w:tcPr>
            <w:tcW w:type="pct" w:w="33%"/>
          </w:tcPr>
          <w:p>
            <w:r>
              <w:rPr>
                <w:rFonts w:ascii="Calibri" w:cs="Calibri" w:eastAsia="Calibri" w:hAnsi="Calibri"/>
                <w:b w:val="false"/>
                <w:bCs w:val="false"/>
                <w:i w:val="false"/>
                <w:iCs w:val="false"/>
                <w:strike w:val="false"/>
                <w:color w:val="000000"/>
                <w:sz w:val="19"/>
                <w:szCs w:val="19"/>
              </w:rPr>
              <w:t xml:space="preserve">REPEAT-UNTIL-BOUND is one of nine fixed primitives with a formally defined semantics (§48.5) — the property being proved is precisely stated, not inferred from behavior.</w:t>
            </w:r>
          </w:p>
        </w:tc>
      </w:tr>
      <w:tr>
        <w:tc>
          <w:tcPr>
            <w:tcW w:type="pct" w:w="33%"/>
          </w:tcPr>
          <w:p>
            <w:r>
              <w:rPr>
                <w:rFonts w:ascii="Calibri" w:cs="Calibri" w:eastAsia="Calibri" w:hAnsi="Calibri"/>
                <w:b w:val="false"/>
                <w:bCs w:val="false"/>
                <w:i w:val="false"/>
                <w:iCs w:val="false"/>
                <w:strike w:val="false"/>
                <w:color w:val="000000"/>
                <w:sz w:val="19"/>
                <w:szCs w:val="19"/>
              </w:rPr>
              <w:t xml:space="preserve">A WATCH program's trigger clause (§49.4)</w:t>
            </w:r>
          </w:p>
        </w:tc>
        <w:tc>
          <w:tcPr>
            <w:tcW w:type="pct" w:w="33%"/>
          </w:tcPr>
          <w:p>
            <w:r>
              <w:rPr>
                <w:rFonts w:ascii="Calibri" w:cs="Calibri" w:eastAsia="Calibri" w:hAnsi="Calibri"/>
                <w:b w:val="false"/>
                <w:bCs w:val="false"/>
                <w:i w:val="false"/>
                <w:iCs w:val="false"/>
                <w:strike w:val="false"/>
                <w:color w:val="000000"/>
                <w:sz w:val="19"/>
                <w:szCs w:val="19"/>
              </w:rPr>
              <w:t xml:space="preserve">The trigger condition is well-formed and the program's ASSERT/RETRACT operations only target FactTypes the program's declared Scope actually covers.</w:t>
            </w:r>
          </w:p>
        </w:tc>
        <w:tc>
          <w:tcPr>
            <w:tcW w:type="pct" w:w="33%"/>
          </w:tcPr>
          <w:p>
            <w:r>
              <w:rPr>
                <w:rFonts w:ascii="Calibri" w:cs="Calibri" w:eastAsia="Calibri" w:hAnsi="Calibri"/>
                <w:b w:val="false"/>
                <w:bCs w:val="false"/>
                <w:i w:val="false"/>
                <w:iCs w:val="false"/>
                <w:strike w:val="false"/>
                <w:color w:val="000000"/>
                <w:sz w:val="19"/>
                <w:szCs w:val="19"/>
              </w:rPr>
              <w:t xml:space="preserve">WATCH programs compile through the same bounded QBPL primitive set; the proof is over that compiled form, not over the original natural-language instruction.</w:t>
            </w:r>
          </w:p>
        </w:tc>
      </w:tr>
      <w:tr>
        <w:tc>
          <w:tcPr>
            <w:tcW w:type="pct" w:w="33%"/>
          </w:tcPr>
          <w:p>
            <w:r>
              <w:rPr>
                <w:rFonts w:ascii="Calibri" w:cs="Calibri" w:eastAsia="Calibri" w:hAnsi="Calibri"/>
                <w:b w:val="false"/>
                <w:bCs w:val="false"/>
                <w:i w:val="false"/>
                <w:iCs w:val="false"/>
                <w:strike w:val="false"/>
                <w:color w:val="000000"/>
                <w:sz w:val="19"/>
                <w:szCs w:val="19"/>
              </w:rPr>
              <w:t xml:space="preserve">An Improvement Proposal touching QBPL or WATCH behavior (Chapter 66, Chapter 78)</w:t>
            </w:r>
          </w:p>
        </w:tc>
        <w:tc>
          <w:tcPr>
            <w:tcW w:type="pct" w:w="33%"/>
          </w:tcPr>
          <w:p>
            <w:r>
              <w:rPr>
                <w:rFonts w:ascii="Calibri" w:cs="Calibri" w:eastAsia="Calibri" w:hAnsi="Calibri"/>
                <w:b w:val="false"/>
                <w:bCs w:val="false"/>
                <w:i w:val="false"/>
                <w:iCs w:val="false"/>
                <w:strike w:val="false"/>
                <w:color w:val="000000"/>
                <w:sz w:val="19"/>
                <w:szCs w:val="19"/>
              </w:rPr>
              <w:t xml:space="preserve">The proposal's Scope (§66.2) provably does not reach any FactType or mechanism on the Permanent Exclusions list (§66.8).</w:t>
            </w:r>
          </w:p>
        </w:tc>
        <w:tc>
          <w:tcPr>
            <w:tcW w:type="pct" w:w="33%"/>
          </w:tcPr>
          <w:p>
            <w:r>
              <w:rPr>
                <w:rFonts w:ascii="Calibri" w:cs="Calibri" w:eastAsia="Calibri" w:hAnsi="Calibri"/>
                <w:b w:val="false"/>
                <w:bCs w:val="false"/>
                <w:i w:val="false"/>
                <w:iCs w:val="false"/>
                <w:strike w:val="false"/>
                <w:color w:val="000000"/>
                <w:sz w:val="19"/>
                <w:szCs w:val="19"/>
              </w:rPr>
              <w:t xml:space="preserve">The Permanent Exclusions list is a fixed, enumerable set of named targets — non-interference with a fixed, named set is a tractable property to formally prove, distinct from proving the proposal is otherwise a good idea.</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79.2 Where Verification Sits in the Existing Pipeline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QBPL or NLPL-compiled program: Lean verification runs as part of Stage 5, the Verification and Confirmation Gate (§48.4.1), producing a proof artifact the confirming human sees alongside the program itself — the human confirmation step is unchanged; it now has stronger evidence to confirm against.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 WATCH program: verification runs at registration with the Continuous Query Engine (§49.5), before the program is added to the WATCH Program Registry — a program that fails verification is not registered, the same way a program failing any other registration check already isn't.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For an Improvement Proposal: verification runs as an additional step within Automated Pre-Screening (§66.4), for any proposal whose Scope touches QBPL or WATCH program behavior — a proposal that fails a required proof is rejected at pre-screening with the specific unproved property named, the same way a proposal targeting a Permanent Exclusion already is rejected there.</w:t>
      </w:r>
    </w:p>
    <w:p>
      <w:pPr>
        <w:pStyle w:val="Heading2"/>
        <w:spacing w:after="120" w:before="240" w:line="288" w:lineRule="auto"/>
      </w:pPr>
      <w:r>
        <w:rPr>
          <w:rFonts w:ascii="Calibri" w:cs="Calibri" w:eastAsia="Calibri" w:hAnsi="Calibri"/>
          <w:color w:val="000000"/>
          <w:sz w:val="36"/>
          <w:szCs w:val="36"/>
        </w:rPr>
        <w:t xml:space="preserve">79.3 Proof Artifacts as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completed Lean proof is stored as a VerificationProof Fact Unit, provenance-tracked through the Provenance Ledger (Chapter 5) like any other Fact Unit — referencing the specific program or proposal it verifies, the exact property statement proved, and the proof itself, so a proof can be independently re-checked later rather than taken on the verifier's word. Where a proof cannot be constructed — the property doesn't hold, or isn't expressible in a form Lean can check — that outcome is recorded too, as a FailedVerification Fact Unit stating which specific property could not be established, not a silent rejection with no reason attached.</w:t>
      </w:r>
    </w:p>
    <w:p>
      <w:pPr>
        <w:pStyle w:val="Heading2"/>
        <w:spacing w:after="120" w:before="240" w:line="288" w:lineRule="auto"/>
      </w:pPr>
      <w:r>
        <w:rPr>
          <w:rFonts w:ascii="Calibri" w:cs="Calibri" w:eastAsia="Calibri" w:hAnsi="Calibri"/>
          <w:color w:val="000000"/>
          <w:sz w:val="36"/>
          <w:szCs w:val="36"/>
        </w:rPr>
        <w:t xml:space="preserve">79.4 System Agents and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System Agent (§78.1) drafting a proposal that touches QBPL or WATCH behavior must produce a VerificationProof before that proposal can pass Automated Pre-Screening (§66.4) — the same requirement applies identically whether the proposal originated from a System Agent's telemetry-driven Candidate Identification or from a Human-Directed Proposal (§78.6). Formal verification is not a substitute for §78.3's existing rule that no agent approves its own proposal; a proof establishes that a stated property holds, not that the change should be made.</w:t>
      </w:r>
    </w:p>
    <w:p>
      <w:pPr>
        <w:pStyle w:val="Heading2"/>
        <w:spacing w:after="120" w:before="240" w:line="288" w:lineRule="auto"/>
      </w:pPr>
      <w:r>
        <w:rPr>
          <w:rFonts w:ascii="Calibri" w:cs="Calibri" w:eastAsia="Calibri" w:hAnsi="Calibri"/>
          <w:color w:val="000000"/>
          <w:sz w:val="36"/>
          <w:szCs w:val="36"/>
        </w:rPr>
        <w:t xml:space="preserve">79.5 What This Chapter Does Not Change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Human Review Gate (§66.5) still evaluates every proposal; a VerificationProof is additional evidence available to the reviewer, exactly as Fitness Score and Risk Profile already are — not a replacement for the reviewer's judgment.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Permanent Exclusions list (§66.8) is unchanged, and is not itself a valid target for a Lean-verified proposal — a proof cannot establish that a change to the Safety Substrate, the Prime Directive, or this pipeline's own gate is safe, because no proposal reaching that target passes Automated Pre-Screening (§66.4) far enough to reach the verification step at all.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Narrative Graph output (Chapter 12), and other natural-language generation are not formally verified by this chapter — their correctness is governed by the Factual Groundedness metric and citation discipline already specified elsewhere, not by a Lean proof, because their outputs are not the kind of precisely specifiable property Lean verification applies to.</w:t>
      </w:r>
    </w:p>
    <w:p>
      <w:pPr>
        <w:pStyle w:val="Heading2"/>
        <w:spacing w:after="120" w:before="240" w:line="288" w:lineRule="auto"/>
      </w:pPr>
      <w:r>
        <w:rPr>
          <w:rFonts w:ascii="Calibri" w:cs="Calibri" w:eastAsia="Calibri" w:hAnsi="Calibri"/>
          <w:color w:val="000000"/>
          <w:sz w:val="36"/>
          <w:szCs w:val="36"/>
        </w:rPr>
        <w:t xml:space="preserve">79.6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QBPL (§48.3, §48.5), the NLPL compilation pipeline (§48.4.1), WATCH programs and the CQE (§49.4–§49.5), the Improvement Proposal Pipeline (Chapter 66), QueryBook AI Evolution (Chapter 78), and the Provenance Ledger (Chapter 5). It modifies none of their specifications — it adds a verification step each of them now passes through, and a Fact Unit type recording the result.</w:t>
      </w:r>
    </w:p>
    <w:p>
      <w:pPr>
        <w:pStyle w:val="Heading2"/>
        <w:spacing w:after="120" w:before="240" w:line="288" w:lineRule="auto"/>
      </w:pPr>
      <w:r>
        <w:rPr>
          <w:rFonts w:ascii="Calibri" w:cs="Calibri" w:eastAsia="Calibri" w:hAnsi="Calibri"/>
          <w:color w:val="000000"/>
          <w:sz w:val="36"/>
          <w:szCs w:val="36"/>
        </w:rPr>
        <w:t xml:space="preserve">79.7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Lean-based formal verification is specified here as evidence, not authority: it proves precisely stated properties — termination, declared bounds, non-interference with named exclusions — for QBPL programs, WATCH programs, and the proposals that touch them, storing every proof or failure as a re-checkable Fact Unit. It strengthens what a human reviewer, or a confirming author, has in front of them at the moment of decision. It does not decide anything itself, and it has no path to the Permanent Exclusions list any more than an ordinary proposal does.</w:t>
      </w:r>
    </w:p>
    <w:p>
      <w:pPr>
        <w:pStyle w:val="Heading1"/>
        <w:spacing w:after="120" w:before="240" w:line="288" w:lineRule="auto"/>
      </w:pPr>
      <w:r>
        <w:rPr>
          <w:rFonts w:ascii="Calibri" w:cs="Calibri" w:eastAsia="Calibri" w:hAnsi="Calibri"/>
          <w:color w:val="000000"/>
          <w:sz w:val="48"/>
          <w:szCs w:val="48"/>
        </w:rPr>
        <w:t xml:space="preserve">Chapter 80: Human Reasoning and Motivation Modeling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formally represents a subject's goals, motivations, and planning process as content — a historical figure's decision-making, a case study's reasoning, a novel character's stated ambitions — reusing Discussion Mode's existing viewpoint-adoption authority (§52.13.3) and the Scenario Graph's existing PLANNING type (Chapter 11),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THIS MODELS A SUBJECT, NEVER QUERYBOOK ITSELF</w:t>
            </w:r>
            <w:r>
              <w:rPr>
                <w:rFonts w:ascii="Calibri" w:cs="Calibri" w:eastAsia="Calibri" w:hAnsi="Calibri"/>
                <w:b/>
                <w:bCs/>
                <w:i w:val="false"/>
                <w:iCs w:val="false"/>
                <w:strike w:val="false"/>
                <w:color w:val="333333"/>
                <w:sz w:val="24"/>
                <w:szCs w:val="24"/>
              </w:rPr>
              <w:t xml:space="preserve">Every Goal, Motivation, and Planning representation this chapter specifies describes someone or something documented in the Fact Graph — a person, a character, an organization, a case study subject. None of it describes QueryBook's own operating state. QueryBook does not acquire goals, curiosity, urgency, or a self-model by virtue of being able to represent those properties in a subject it is analyzing — the same distinction this Bible already draws for a novel's narrator (§4.1: a character's stated belief is a fact about what the character believes, not an assertion the system is making). A capability set describing an autonomous, self-motivated, goal-driven QueryBook was proposed separately and declined; this chapter is not a narrower version of that proposal wearing an academic framing — it is a fundamentally different thing, and this callout exists so that distinction is never lost in a later pass.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80.1 Goal and Motivation Fact Units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Fact Unit types extend the base schema (Appendix A) for this purpose: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Subject</w:t>
            </w:r>
          </w:p>
        </w:tc>
        <w:tc>
          <w:tcPr>
            <w:tcW w:type="pct" w:w="50%"/>
          </w:tcPr>
          <w:p>
            <w:r>
              <w:rPr>
                <w:rFonts w:ascii="Calibri" w:cs="Calibri" w:eastAsia="Calibri" w:hAnsi="Calibri"/>
                <w:b w:val="false"/>
                <w:bCs w:val="false"/>
                <w:i w:val="false"/>
                <w:iCs w:val="false"/>
                <w:strike w:val="false"/>
                <w:color w:val="000000"/>
                <w:sz w:val="19"/>
                <w:szCs w:val="19"/>
              </w:rPr>
              <w:t xml:space="preserve">A reference to the specific person, character, or entity this goal or motivation describes — required; a Goal or Motivation Fact Unit with no Subject is invalid.</w:t>
            </w:r>
          </w:p>
        </w:tc>
      </w:tr>
      <w:tr>
        <w:tc>
          <w:tcPr>
            <w:tcW w:type="pct" w:w="50%"/>
          </w:tcPr>
          <w:p>
            <w:r>
              <w:rPr>
                <w:rFonts w:ascii="Calibri" w:cs="Calibri" w:eastAsia="Calibri" w:hAnsi="Calibri"/>
                <w:b w:val="false"/>
                <w:bCs w:val="false"/>
                <w:i w:val="false"/>
                <w:iCs w:val="false"/>
                <w:strike w:val="false"/>
                <w:color w:val="000000"/>
                <w:sz w:val="19"/>
                <w:szCs w:val="19"/>
              </w:rPr>
              <w:t xml:space="preserve">StatedOrInferred</w:t>
            </w:r>
          </w:p>
        </w:tc>
        <w:tc>
          <w:tcPr>
            <w:tcW w:type="pct" w:w="50%"/>
          </w:tcPr>
          <w:p>
            <w:r>
              <w:rPr>
                <w:rFonts w:ascii="Calibri" w:cs="Calibri" w:eastAsia="Calibri" w:hAnsi="Calibri"/>
                <w:b w:val="false"/>
                <w:bCs w:val="false"/>
                <w:i w:val="false"/>
                <w:iCs w:val="false"/>
                <w:strike w:val="false"/>
                <w:color w:val="000000"/>
                <w:sz w:val="19"/>
                <w:szCs w:val="19"/>
              </w:rPr>
              <w:t xml:space="preserve">Whether the source material directly states this goal (“she wanted to unify the provinces”) or whether it is inferred from the Subject's documented actions and decisions — carried as a distinct field, not collapsed into a single confidence number, since a reader evaluating the claim needs to know which kind of claim it is.</w:t>
            </w:r>
          </w:p>
        </w:tc>
      </w:tr>
      <w:tr>
        <w:tc>
          <w:tcPr>
            <w:tcW w:type="pct" w:w="50%"/>
          </w:tcPr>
          <w:p>
            <w:r>
              <w:rPr>
                <w:rFonts w:ascii="Calibri" w:cs="Calibri" w:eastAsia="Calibri" w:hAnsi="Calibri"/>
                <w:b w:val="false"/>
                <w:bCs w:val="false"/>
                <w:i w:val="false"/>
                <w:iCs w:val="false"/>
                <w:strike w:val="false"/>
                <w:color w:val="000000"/>
                <w:sz w:val="19"/>
                <w:szCs w:val="19"/>
              </w:rPr>
              <w:t xml:space="preserve">ConfidenceScore</w:t>
            </w:r>
          </w:p>
        </w:tc>
        <w:tc>
          <w:tcPr>
            <w:tcW w:type="pct" w:w="50%"/>
          </w:tcPr>
          <w:p>
            <w:r>
              <w:rPr>
                <w:rFonts w:ascii="Calibri" w:cs="Calibri" w:eastAsia="Calibri" w:hAnsi="Calibri"/>
                <w:b w:val="false"/>
                <w:bCs w:val="false"/>
                <w:i w:val="false"/>
                <w:iCs w:val="false"/>
                <w:strike w:val="false"/>
                <w:color w:val="000000"/>
                <w:sz w:val="19"/>
                <w:szCs w:val="19"/>
              </w:rPr>
              <w:t xml:space="preserve">The same field every Fact Unit already carries (Appendix A), reflecting certainty in this specific attribution — lower for an inferred motivation than for one the text states directly, consistent with how confidence already works everywhere else in this Bible.</w:t>
            </w:r>
          </w:p>
        </w:tc>
      </w:tr>
      <w:tr>
        <w:tc>
          <w:tcPr>
            <w:tcW w:type="pct" w:w="50%"/>
          </w:tcPr>
          <w:p>
            <w:r>
              <w:rPr>
                <w:rFonts w:ascii="Calibri" w:cs="Calibri" w:eastAsia="Calibri" w:hAnsi="Calibri"/>
                <w:b w:val="false"/>
                <w:bCs w:val="false"/>
                <w:i w:val="false"/>
                <w:iCs w:val="false"/>
                <w:strike w:val="false"/>
                <w:color w:val="000000"/>
                <w:sz w:val="19"/>
                <w:szCs w:val="19"/>
              </w:rPr>
              <w:t xml:space="preserve">SupportingFactUnits</w:t>
            </w:r>
          </w:p>
        </w:tc>
        <w:tc>
          <w:tcPr>
            <w:tcW w:type="pct" w:w="50%"/>
          </w:tcPr>
          <w:p>
            <w:r>
              <w:rPr>
                <w:rFonts w:ascii="Calibri" w:cs="Calibri" w:eastAsia="Calibri" w:hAnsi="Calibri"/>
                <w:b w:val="false"/>
                <w:bCs w:val="false"/>
                <w:i w:val="false"/>
                <w:iCs w:val="false"/>
                <w:strike w:val="false"/>
                <w:color w:val="000000"/>
                <w:sz w:val="19"/>
                <w:szCs w:val="19"/>
              </w:rPr>
              <w:t xml:space="preserve">The specific facts — documented actions, statements, outcomes — that ground this goal or motivation attribution, the same citation discipline already required of any derived claim (§12, the Narrative Graph).</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80.2 Representing How a Goal Was Pursued</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the source material documents not just a goal but how a subject pursued it — adapting to setbacks, weighing options, changing course — this is represented using the Scenario Graph's existing PLANNING type (Chapter 11), not a new planning representation. A PLANNING-type Scenario Graph node, applied here, traces the Subject's actual documented decision points and the options available to them at each one, reusing WASM's Affordance layer (§53.3) to represent what actions were genuinely available in that situation — grounding “why did they choose this” in what they could actually have chosen from, not an open-ended hypothetical.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Applied to a historical figure's memoir, for instance, this would let a reader ask what specific alternatives a subject weighed before a documented decision, and get an answer grounded in what the text and its supporting facts actually establish — not a psychological profile invented to fill the gap where the source material is silent, consistent with the Without-Information Rule (D0.4) governing every other QueryBook output.</w:t>
      </w:r>
    </w:p>
    <w:p>
      <w:pPr>
        <w:pStyle w:val="Heading2"/>
        <w:spacing w:after="120" w:before="240" w:line="288" w:lineRule="auto"/>
      </w:pPr>
      <w:r>
        <w:rPr>
          <w:rFonts w:ascii="Calibri" w:cs="Calibri" w:eastAsia="Calibri" w:hAnsi="Calibri"/>
          <w:color w:val="000000"/>
          <w:sz w:val="36"/>
          <w:szCs w:val="36"/>
        </w:rPr>
        <w:t xml:space="preserve">80.3 Where This Surfaces for a Reader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and Guided Exploration (§52.13.2) — a direct question about a subject's goal or motivation is answered from these Fact Units the same way any other question is answered, with the same citation discipline.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 gains grounded material to adopt a documented viewpoint from when analyzing or critiquing a subject's reasoning, rather than reconstructing that viewpoint freshly each time from scattered narrative facts.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 a subject's documented decision-making process becomes explicit teaching material; a comprehension check can test whether a student correctly identified a documented motivation, grounded in the same Fact Units the lesson itself drew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Semantic Exploration and Fact Graph Visualization (§52.13.2, §52.13.2.2) — a Goal or Motivation Fact Unit is connected through the Ontology Mesh (Chapter 6) like any other fact, so a reader can follow a subject's documented motivation into a related topic elsewhere in the same book, or — where AEM synthesis (Chapter 15) supports it — into a genuinely comparable pattern in a different work in their library, using the same cross-book thematic capability already specified in §36.5.</w:t>
      </w:r>
    </w:p>
    <w:p>
      <w:pPr>
        <w:pStyle w:val="Heading2"/>
        <w:spacing w:after="120" w:before="240" w:line="288" w:lineRule="auto"/>
      </w:pPr>
      <w:r>
        <w:rPr>
          <w:rFonts w:ascii="Calibri" w:cs="Calibri" w:eastAsia="Calibri" w:hAnsi="Calibri"/>
          <w:color w:val="000000"/>
          <w:sz w:val="36"/>
          <w:szCs w:val="36"/>
        </w:rPr>
        <w:t xml:space="preserve">80.4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Discussion Mode (§52.13.3), the Scenario Graph and its PLANNING type (Chapter 11), WASM's Affordance layer (§53.3), the Ontology Mesh (Chapter 6), AEM synthesis (Chapter 15), and the Narrative Graph's citation discipline (Chapter 12). It modifies none of their specifications.</w:t>
      </w:r>
    </w:p>
    <w:p>
      <w:pPr>
        <w:pStyle w:val="Heading2"/>
        <w:spacing w:after="120" w:before="240" w:line="288" w:lineRule="auto"/>
      </w:pPr>
      <w:r>
        <w:rPr>
          <w:rFonts w:ascii="Calibri" w:cs="Calibri" w:eastAsia="Calibri" w:hAnsi="Calibri"/>
          <w:color w:val="000000"/>
          <w:sz w:val="36"/>
          <w:szCs w:val="36"/>
        </w:rPr>
        <w:t xml:space="preserve">80.5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subject's goals, motivations, and planning process can now be formally modeled as grounded, cited, queryable Fact Units — reusing Discussion Mode's existing viewpoint-adoption authority and the Scenario Graph's existing PLANNING type rather than introducing a new reasoning subsystem — and surfaced across Q&amp;A, Discussion Mode, Tutorial Mode, and Semantic Exploration alike. Every representation describes a subject in the Fact Graph, never QueryBook's own state; the distinction is stated explicitly in §80's scope note because it is the entire reason this chapter is safe to specify at all.</w:t>
      </w:r>
    </w:p>
    <w:p>
      <w:pPr>
        <w:pStyle w:val="Heading1"/>
        <w:spacing w:after="120" w:before="240" w:line="288" w:lineRule="auto"/>
      </w:pPr>
      <w:r>
        <w:rPr>
          <w:rFonts w:ascii="Calibri" w:cs="Calibri" w:eastAsia="Calibri" w:hAnsi="Calibri"/>
          <w:color w:val="000000"/>
          <w:sz w:val="48"/>
          <w:szCs w:val="48"/>
        </w:rPr>
        <w:t xml:space="preserve">Chapter 81: UFCS/FQL as an Optional External Resource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UFCS (Unified Fact Cognitive Substrate) and FQL (Fact Query Language) — separately owned, separately patented technology — can connect to QueryBook, following the same pattern already established for any other external system in §49.3.3: registered through the Source Connector Registry, never woven into an existing chapter's specification. This chapter is drawn from an actual patent search report describing UFCS's real technical claims, not a feature list of unverified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COMPLETE WITHOUT THIS CHAPTER</w:t>
            </w:r>
            <w:r>
              <w:rPr>
                <w:rFonts w:ascii="Calibri" w:cs="Calibri" w:eastAsia="Calibri" w:hAnsi="Calibri"/>
                <w:b/>
                <w:bCs/>
                <w:i w:val="false"/>
                <w:iCs w:val="false"/>
                <w:strike w:val="false"/>
                <w:color w:val="333333"/>
                <w:sz w:val="24"/>
                <w:szCs w:val="24"/>
              </w:rPr>
              <w:t xml:space="preserve">Every capability described below has a QueryBook-native counterpart already fully specified elsewhere in this Bible, built independently and requiring nothing from UFCS/FQL to function: the Predictive Inference Engine (Chapter 10) and AEM synthesis (Chapter 15) for inference beyond directly-stored facts, the Provenance Ledger (Chapter 5) for explainable, source-traceable answers, and the Ontology Mesh (Chapter 6) for multi-entity relationship retrieval. This chapter adds an optional, separately-patented alternative resource an operator may choose to connect — it does not fill a gap QueryBook's core architecture otherwise has, and no other chapter in this Bible depends on it.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81.1 What UFCS/FQL Actually Is</w:t>
      </w:r>
    </w:p>
    <w:p>
      <w:pPr>
        <w:spacing w:after="120" w:line="360" w:lineRule="auto"/>
      </w:pPr>
      <w:r>
        <w:rPr>
          <w:rFonts w:ascii="Calibri" w:cs="Calibri" w:eastAsia="Calibri" w:hAnsi="Calibri"/>
          <w:b w:val="false"/>
          <w:bCs w:val="false"/>
          <w:i w:val="false"/>
          <w:iCs w:val="false"/>
          <w:strike w:val="false"/>
          <w:color w:val="000000"/>
          <w:sz w:val="22"/>
          <w:szCs w:val="22"/>
        </w:rPr>
        <w:t xml:space="preserve">Per the patent search report this chapter is drawn from, UFCS is a search and retrieval system operating on a hypergraph substrate, with the Fact Atom — a structured, provenance-carrying semantic unit — as its retrieval unit, distinct from a document, an entity, or a generic graph node. FQL is its query language.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Capability</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Does, Per the Source Report</w:t>
            </w:r>
          </w:p>
        </w:tc>
      </w:tr>
      <w:tr>
        <w:tc>
          <w:tcPr>
            <w:tcW w:type="pct" w:w="50%"/>
          </w:tcPr>
          <w:p>
            <w:r>
              <w:rPr>
                <w:rFonts w:ascii="Calibri" w:cs="Calibri" w:eastAsia="Calibri" w:hAnsi="Calibri"/>
                <w:b w:val="false"/>
                <w:bCs w:val="false"/>
                <w:i w:val="false"/>
                <w:iCs w:val="false"/>
                <w:strike w:val="false"/>
                <w:color w:val="000000"/>
                <w:sz w:val="19"/>
                <w:szCs w:val="19"/>
              </w:rPr>
              <w:t xml:space="preserve">Fact Atom retrieval</w:t>
            </w:r>
          </w:p>
        </w:tc>
        <w:tc>
          <w:tcPr>
            <w:tcW w:type="pct" w:w="50%"/>
          </w:tcPr>
          <w:p>
            <w:r>
              <w:rPr>
                <w:rFonts w:ascii="Calibri" w:cs="Calibri" w:eastAsia="Calibri" w:hAnsi="Calibri"/>
                <w:b w:val="false"/>
                <w:bCs w:val="false"/>
                <w:i w:val="false"/>
                <w:iCs w:val="false"/>
                <w:strike w:val="false"/>
                <w:color w:val="000000"/>
                <w:sz w:val="19"/>
                <w:szCs w:val="19"/>
              </w:rPr>
              <w:t xml:space="preserve">Structured facts retrieved as the atomic unit, carrying embedded provenance metadata, rather than retrieving documents or generic nodes and inferring structure afterward.</w:t>
            </w:r>
          </w:p>
        </w:tc>
      </w:tr>
      <w:tr>
        <w:tc>
          <w:tcPr>
            <w:tcW w:type="pct" w:w="50%"/>
          </w:tcPr>
          <w:p>
            <w:r>
              <w:rPr>
                <w:rFonts w:ascii="Calibri" w:cs="Calibri" w:eastAsia="Calibri" w:hAnsi="Calibri"/>
                <w:b w:val="false"/>
                <w:bCs w:val="false"/>
                <w:i w:val="false"/>
                <w:iCs w:val="false"/>
                <w:strike w:val="false"/>
                <w:color w:val="000000"/>
                <w:sz w:val="19"/>
                <w:szCs w:val="19"/>
              </w:rPr>
              <w:t xml:space="preserve">Hyperedge pattern matching</w:t>
            </w:r>
          </w:p>
        </w:tc>
        <w:tc>
          <w:tcPr>
            <w:tcW w:type="pct" w:w="50%"/>
          </w:tcPr>
          <w:p>
            <w:r>
              <w:rPr>
                <w:rFonts w:ascii="Calibri" w:cs="Calibri" w:eastAsia="Calibri" w:hAnsi="Calibri"/>
                <w:b w:val="false"/>
                <w:bCs w:val="false"/>
                <w:i w:val="false"/>
                <w:iCs w:val="false"/>
                <w:strike w:val="false"/>
                <w:color w:val="000000"/>
                <w:sz w:val="19"/>
                <w:szCs w:val="19"/>
              </w:rPr>
              <w:t xml:space="preserve">Multi-entity semantic relationships retrieved via pattern matching against hyperedges — a genuinely different retrieval structure than a pairwise graph edge or a linear semantic index.</w:t>
            </w:r>
          </w:p>
        </w:tc>
      </w:tr>
      <w:tr>
        <w:tc>
          <w:tcPr>
            <w:tcW w:type="pct" w:w="50%"/>
          </w:tcPr>
          <w:p>
            <w:r>
              <w:rPr>
                <w:rFonts w:ascii="Calibri" w:cs="Calibri" w:eastAsia="Calibri" w:hAnsi="Calibri"/>
                <w:b w:val="false"/>
                <w:bCs w:val="false"/>
                <w:i w:val="false"/>
                <w:iCs w:val="false"/>
                <w:strike w:val="false"/>
                <w:color w:val="000000"/>
                <w:sz w:val="19"/>
                <w:szCs w:val="19"/>
              </w:rPr>
              <w:t xml:space="preserve">Predictive fact retrieval</w:t>
            </w:r>
          </w:p>
        </w:tc>
        <w:tc>
          <w:tcPr>
            <w:tcW w:type="pct" w:w="50%"/>
          </w:tcPr>
          <w:p>
            <w:r>
              <w:rPr>
                <w:rFonts w:ascii="Calibri" w:cs="Calibri" w:eastAsia="Calibri" w:hAnsi="Calibri"/>
                <w:b w:val="false"/>
                <w:bCs w:val="false"/>
                <w:i w:val="false"/>
                <w:iCs w:val="false"/>
                <w:strike w:val="false"/>
                <w:color w:val="000000"/>
                <w:sz w:val="19"/>
                <w:szCs w:val="19"/>
              </w:rPr>
              <w:t xml:space="preserve">Facts the system infers or determines to be probable, not explicitly stored, returned alongside directly-retrieved facts.</w:t>
            </w:r>
          </w:p>
        </w:tc>
      </w:tr>
      <w:tr>
        <w:tc>
          <w:tcPr>
            <w:tcW w:type="pct" w:w="50%"/>
          </w:tcPr>
          <w:p>
            <w:r>
              <w:rPr>
                <w:rFonts w:ascii="Calibri" w:cs="Calibri" w:eastAsia="Calibri" w:hAnsi="Calibri"/>
                <w:b w:val="false"/>
                <w:bCs w:val="false"/>
                <w:i w:val="false"/>
                <w:iCs w:val="false"/>
                <w:strike w:val="false"/>
                <w:color w:val="000000"/>
                <w:sz w:val="19"/>
                <w:szCs w:val="19"/>
              </w:rPr>
              <w:t xml:space="preserve">Contradiction-aware retrieval</w:t>
            </w:r>
          </w:p>
        </w:tc>
        <w:tc>
          <w:tcPr>
            <w:tcW w:type="pct" w:w="50%"/>
          </w:tcPr>
          <w:p>
            <w:r>
              <w:rPr>
                <w:rFonts w:ascii="Calibri" w:cs="Calibri" w:eastAsia="Calibri" w:hAnsi="Calibri"/>
                <w:b w:val="false"/>
                <w:bCs w:val="false"/>
                <w:i w:val="false"/>
                <w:iCs w:val="false"/>
                <w:strike w:val="false"/>
                <w:color w:val="000000"/>
                <w:sz w:val="19"/>
                <w:szCs w:val="19"/>
              </w:rPr>
              <w:t xml:space="preserve">Contradiction clusters are a retrievable result type in their own right, not an error condition.</w:t>
            </w:r>
          </w:p>
        </w:tc>
      </w:tr>
      <w:tr>
        <w:tc>
          <w:tcPr>
            <w:tcW w:type="pct" w:w="50%"/>
          </w:tcPr>
          <w:p>
            <w:r>
              <w:rPr>
                <w:rFonts w:ascii="Calibri" w:cs="Calibri" w:eastAsia="Calibri" w:hAnsi="Calibri"/>
                <w:b w:val="false"/>
                <w:bCs w:val="false"/>
                <w:i w:val="false"/>
                <w:iCs w:val="false"/>
                <w:strike w:val="false"/>
                <w:color w:val="000000"/>
                <w:sz w:val="19"/>
                <w:szCs w:val="19"/>
              </w:rPr>
              <w:t xml:space="preserve">Domain-calibrated ranking</w:t>
            </w:r>
          </w:p>
        </w:tc>
        <w:tc>
          <w:tcPr>
            <w:tcW w:type="pct" w:w="50%"/>
          </w:tcPr>
          <w:p>
            <w:r>
              <w:rPr>
                <w:rFonts w:ascii="Calibri" w:cs="Calibri" w:eastAsia="Calibri" w:hAnsi="Calibri"/>
                <w:b w:val="false"/>
                <w:bCs w:val="false"/>
                <w:i w:val="false"/>
                <w:iCs w:val="false"/>
                <w:strike w:val="false"/>
                <w:color w:val="000000"/>
                <w:sz w:val="19"/>
                <w:szCs w:val="19"/>
              </w:rPr>
              <w:t xml:space="preserve">Ranking signals derived from domain vectors, themselves derived from Fact Atom semantic group classifications.</w:t>
            </w:r>
          </w:p>
        </w:tc>
      </w:tr>
      <w:tr>
        <w:tc>
          <w:tcPr>
            <w:tcW w:type="pct" w:w="50%"/>
          </w:tcPr>
          <w:p>
            <w:r>
              <w:rPr>
                <w:rFonts w:ascii="Calibri" w:cs="Calibri" w:eastAsia="Calibri" w:hAnsi="Calibri"/>
                <w:b w:val="false"/>
                <w:bCs w:val="false"/>
                <w:i w:val="false"/>
                <w:iCs w:val="false"/>
                <w:strike w:val="false"/>
                <w:color w:val="000000"/>
                <w:sz w:val="19"/>
                <w:szCs w:val="19"/>
              </w:rPr>
              <w:t xml:space="preserve">Explainability via hyperchain path</w:t>
            </w:r>
          </w:p>
        </w:tc>
        <w:tc>
          <w:tcPr>
            <w:tcW w:type="pct" w:w="50%"/>
          </w:tcPr>
          <w:p>
            <w:r>
              <w:rPr>
                <w:rFonts w:ascii="Calibri" w:cs="Calibri" w:eastAsia="Calibri" w:hAnsi="Calibri"/>
                <w:b w:val="false"/>
                <w:bCs w:val="false"/>
                <w:i w:val="false"/>
                <w:iCs w:val="false"/>
                <w:strike w:val="false"/>
                <w:color w:val="000000"/>
                <w:sz w:val="19"/>
                <w:szCs w:val="19"/>
              </w:rPr>
              <w:t xml:space="preserve">A result's justification is a traceable path through the hypergraph substrate, distinct from citation-based explanation.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81.2 Relationship to QueryBook's Own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UFCS capability overlaps conceptually with something QueryBook already does natively, this section states the distinction directly rather than implying equivalence or gap: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Predictive fact retrieval overlaps with the Predictive Inference Engine (Chapter 10) and AEM synthesis (Chapter 15) — both produce inferences beyond directly-stored facts, through different mechanisms (PIE's four-stream forward-projection versus UFCS's hypergraph-substrate inference). Connecting UFCS does not replace PIE or AEM; it is a second, optional resource for the same general class of problem.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Explainability via hyperchain path overlaps with the Provenance Ledger's citation and lineage discipline (Chapter 5) — both aim at a traceable justification for a result, through different underlying structures.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Hyperedge-based multi-entity relationship retrieval overlaps with the Ontology Mesh (Chapter 6) — both represent relationships beyond a simple pairwise link, through different formalisms.</w:t>
      </w:r>
    </w:p>
    <w:p>
      <w:pPr>
        <w:spacing w:after="120" w:line="360" w:lineRule="auto"/>
      </w:pPr>
      <w:r>
        <w:rPr>
          <w:rFonts w:ascii="Calibri" w:cs="Calibri" w:eastAsia="Calibri" w:hAnsi="Calibri"/>
          <w:b w:val="false"/>
          <w:bCs w:val="false"/>
          <w:i w:val="false"/>
          <w:iCs w:val="false"/>
          <w:strike w:val="false"/>
          <w:color w:val="000000"/>
          <w:sz w:val="22"/>
          <w:szCs w:val="22"/>
        </w:rPr>
        <w:t xml:space="preserve">None of these QueryBook-native mechanisms are modified by this chapter, and none require UFCS to function — the overlap is stated so an operator connecting UFCS understands they are adding a second, alternative resource, not replacing or completing something QueryBook otherwise lacks.</w:t>
      </w:r>
    </w:p>
    <w:p>
      <w:pPr>
        <w:pStyle w:val="Heading2"/>
        <w:spacing w:after="120" w:before="240" w:line="288" w:lineRule="auto"/>
      </w:pPr>
      <w:r>
        <w:rPr>
          <w:rFonts w:ascii="Calibri" w:cs="Calibri" w:eastAsia="Calibri" w:hAnsi="Calibri"/>
          <w:color w:val="000000"/>
          <w:sz w:val="36"/>
          <w:szCs w:val="36"/>
        </w:rPr>
        <w:t xml:space="preserve">81.3 Connection via the Source Connector Registry</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chooses to connect UFCS, it follows §49.3.3.1's contract exactly — the same capability declaration, authentication, and data-mapping discipline as the Database, API Feed, and Autonomous Agent Connector examples already specified (§49.3.3.5–§49.3.3.6). A UFCS query issued through this connector is a directed, QBPL-compiled request (§48.3) with its result — a Fact Atom, a hyperedge match, a predictive fact, or a contradiction cluster — imported into the Fact Graph as an ordinary Fact Unit (Appendix A), carrying its UFCS provenance alongside the same ConfidenceScore, SafetyFlags, and lineage fields every other Fact Unit already carries. No new Fact Unit schema, retrieval mechanism, or explainability system is introduced into QueryBook's core to accommodate it.</w:t>
      </w:r>
    </w:p>
    <w:p>
      <w:pPr>
        <w:pStyle w:val="Heading2"/>
        <w:spacing w:after="120" w:before="240" w:line="288" w:lineRule="auto"/>
      </w:pPr>
      <w:r>
        <w:rPr>
          <w:rFonts w:ascii="Calibri" w:cs="Calibri" w:eastAsia="Calibri" w:hAnsi="Calibri"/>
          <w:color w:val="000000"/>
          <w:sz w:val="36"/>
          <w:szCs w:val="36"/>
        </w:rPr>
        <w:t xml:space="preserve">81.4 What This Chapter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UFCS or FQL a dependency of any existing chapter — QBQL (Chapter 18), the Ontology Mesh (Chapter 6), the Predictive Inference Engine (Chapter 10), and every other already-specified system function identically whether or not a UFCS connector is ever registered.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merge UFCS's Fact Atom or hyperedge concepts into QueryBook's own Fact Unit schema (Appendix A) — a UFCS result becomes a QueryBook Fact Unit at the connector boundary, the same translation any other external connector's data already undergoes via Data Mapping (§49.3.3.1).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offers no opinion on patent strategy, drafting, or claim structure for either QueryBook's or UFCS/FQL's own patent applications — that is a legal judgment for qualified patent counsel, outside what this Bible specifies or what this chapter is positioned to advise on.</w:t>
      </w:r>
    </w:p>
    <w:p>
      <w:pPr>
        <w:pStyle w:val="Heading2"/>
        <w:spacing w:after="120" w:before="240" w:line="288" w:lineRule="auto"/>
      </w:pPr>
      <w:r>
        <w:rPr>
          <w:rFonts w:ascii="Calibri" w:cs="Calibri" w:eastAsia="Calibri" w:hAnsi="Calibri"/>
          <w:color w:val="000000"/>
          <w:sz w:val="36"/>
          <w:szCs w:val="36"/>
        </w:rPr>
        <w:t xml:space="preserve">81.5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Source Connector Registry (§49.3.3), QBPL (Chapter 48), the Fact Unit schema (Appendix A), and the Provenance Ledger (Chapter 5). It modifies none of their specifications, and none of the QueryBook-native systems named in §81.2 are altered by this chapter's existence.</w:t>
      </w:r>
    </w:p>
    <w:p>
      <w:pPr>
        <w:pStyle w:val="Heading2"/>
        <w:spacing w:after="120" w:before="240" w:line="288" w:lineRule="auto"/>
      </w:pPr>
      <w:r>
        <w:rPr>
          <w:rFonts w:ascii="Calibri" w:cs="Calibri" w:eastAsia="Calibri" w:hAnsi="Calibri"/>
          <w:color w:val="000000"/>
          <w:sz w:val="36"/>
          <w:szCs w:val="36"/>
        </w:rPr>
        <w:t xml:space="preserve">81.6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UFCS and FQL are specified here as a real, separately-owned, separately-patented external resource — accurately described from an actual patent search report rather than an unverified feature list — connectable through the same Source Connector Registry every other external system already uses. QueryBook's core architecture requires nothing from this chapter to function, and every capability it adds already has a QueryBook-native counterpart built independently; UFCS/FQL is an optional, second resource for a class of problem QueryBook can already address on its own, not a missing piece of it.</w:t>
      </w:r>
    </w:p>
    <w:p>
      <w:pPr>
        <w:pStyle w:val="Heading1"/>
        <w:spacing w:after="120" w:before="240" w:line="288" w:lineRule="auto"/>
      </w:pPr>
      <w:r>
        <w:rPr>
          <w:rFonts w:ascii="Calibri" w:cs="Calibri" w:eastAsia="Calibri" w:hAnsi="Calibri"/>
          <w:color w:val="000000"/>
          <w:sz w:val="48"/>
          <w:szCs w:val="48"/>
        </w:rPr>
        <w:t xml:space="preserve">Chapter 82: Supplemental Content and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gaps identified directly in conversation: authors have no specified way to add supplementary, non-core material to a published book distinct from the manuscript itself, and no reader, author, or other portal user has a private, one-to-one communication channel — every existing communication surface (Chapter 64) is board-based, scoped to a book, chapter, class, or announcement context, not a private exchange between two specific people.</w:t>
      </w:r>
    </w:p>
    <w:p>
      <w:pPr>
        <w:pStyle w:val="Heading2"/>
        <w:spacing w:after="120" w:before="240" w:line="288" w:lineRule="auto"/>
      </w:pPr>
      <w:r>
        <w:rPr>
          <w:rFonts w:ascii="Calibri" w:cs="Calibri" w:eastAsia="Calibri" w:hAnsi="Calibri"/>
          <w:color w:val="000000"/>
          <w:sz w:val="36"/>
          <w:szCs w:val="36"/>
        </w:rPr>
        <w:t xml:space="preserve">82.1 Supplemental Content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can ingest material related to their book but distinct from its core text — behind-the-scenes commentary, a film's production notes, deleted or alternate material, real-world context an author wants to add after publication — through the identical pathway already specified for the manuscript itself (§61.1.1), with one addition: a ContentRole field on the resulting Fact Units, distinguishing CORE (the published manuscript) from SUPPLEMENTAL (everything else an author chooses to attach).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INGESTION, A DISTINGUISHING FIELD — NOT A SECOND BOOK</w:t>
            </w:r>
            <w:r>
              <w:rPr>
                <w:rFonts w:ascii="Calibri" w:cs="Calibri" w:eastAsia="Calibri" w:hAnsi="Calibri"/>
                <w:b/>
                <w:bCs/>
                <w:i w:val="false"/>
                <w:iCs w:val="false"/>
                <w:strike w:val="false"/>
                <w:color w:val="333333"/>
                <w:sz w:val="24"/>
                <w:szCs w:val="24"/>
              </w:rPr>
              <w:t xml:space="preserve">Supplemental content is not a parallel work requiring its own Rights Validation Gate pass, its own Submission Intake cycle, or its own entry in the reader-facing repository (§60.1–§60.2 apply to it exactly as they already do to core content). It is additional Fact Units, ingested through §4.2's existing pipeline, attached to the same book, and distinguished only by the ContentRole field so that a reader's default experience — core content only — is unaffected unless the reader explicitly chooses to explore supplemental material, and so that Standard Q&amp;A (§52.13.2) can correctly attribute an answer as coming from the author's original work versus their added commentary.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reader can explore supplemental content the same way they explore core content — through any Interactive Mode already specified (Chapter 52 of this book; §52.13.2 of the Bible) — with responses citing whether a given fact comes from CORE or SUPPLEMENTAL material, so a reader always knows whether they're reading the author's original work or the author's added context about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can add supplemental content at any time after publication without re-triggering Submission Intake for the core work — consistent with §61.1.1's principle that ingestion volume and cadence don't change the underlying pathway.</w:t>
      </w:r>
    </w:p>
    <w:p>
      <w:pPr>
        <w:pStyle w:val="Heading2"/>
        <w:spacing w:after="120" w:before="240" w:line="288" w:lineRule="auto"/>
      </w:pPr>
      <w:r>
        <w:rPr>
          <w:rFonts w:ascii="Calibri" w:cs="Calibri" w:eastAsia="Calibri" w:hAnsi="Calibri"/>
          <w:color w:val="000000"/>
          <w:sz w:val="36"/>
          <w:szCs w:val="36"/>
        </w:rPr>
        <w:t xml:space="preserve">82.2 Private Messaging</w:t>
      </w:r>
    </w:p>
    <w:p>
      <w:pPr>
        <w:spacing w:after="120" w:line="360" w:lineRule="auto"/>
      </w:pPr>
      <w:r>
        <w:rPr>
          <w:rFonts w:ascii="Calibri" w:cs="Calibri" w:eastAsia="Calibri" w:hAnsi="Calibri"/>
          <w:b w:val="false"/>
          <w:bCs w:val="false"/>
          <w:i w:val="false"/>
          <w:iCs w:val="false"/>
          <w:strike w:val="false"/>
          <w:color w:val="000000"/>
          <w:sz w:val="22"/>
          <w:szCs w:val="22"/>
        </w:rPr>
        <w:t xml:space="preserve">A DirectMessage Fact Unit type extends the messaging capability already specified for boards (Chapter 64) to a private, one-to-one channel between two identities — a reader and an author, two readers, or two authors — rather than a board post visible to a group. A DirectMessage carries the same base Fact Unit fields as any other (Appendix A), with its AccessControlList restricted to exactly the sending and receiving identity — no board-level visibility tier applies.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Private messaging is subject to the identical Safety Substrate enforcement (Chapter 8) as any other content in this Bible — privacy of the channel does not exempt its content from safety evaluation at ingestion.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recipient can block a sender, preventing further DirectMessage Fact Units from that sender reaching them — enforced at the AccessControlList level, the same mechanism already governing every other access decision in this Bible, not a separate blocking subsystem.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Reported private-message abuse routes through the same Moderation Appeals process already specified (Chapter 75) — a human reviewer, not an automated system alone, has the final say, identical to a board moderation dispute.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PRIVATE DOES NOT MEAN UNACCOUNTABLE</w:t>
            </w:r>
            <w:r>
              <w:rPr>
                <w:rFonts w:ascii="Calibri" w:cs="Calibri" w:eastAsia="Calibri" w:hAnsi="Calibri"/>
                <w:b/>
                <w:bCs/>
                <w:i w:val="false"/>
                <w:iCs w:val="false"/>
                <w:strike w:val="false"/>
                <w:color w:val="333333"/>
                <w:sz w:val="24"/>
                <w:szCs w:val="24"/>
              </w:rPr>
              <w:t xml:space="preserve">A DirectMessage is provenance-tracked through the Provenance Ledger (Chapter 5) exactly like any other Fact Unit — privacy from other users is not privacy from the same accountability discipline every other consequential action in this Bible already carries. This is the same principle already established for Personal Notes (§63.3): private visibility and structural accountability are not in tension.</w:t>
            </w:r>
          </w:p>
          <w:p>
            <w:pPr>
              <w:pStyle w:val="Heading3"/>
              <w:spacing w:after="120" w:before="200" w:line="288" w:lineRule="auto"/>
            </w:pPr>
            <w:r>
              <w:rPr>
                <w:rFonts w:ascii="Calibri" w:cs="Calibri" w:eastAsia="Calibri" w:hAnsi="Calibri"/>
                <w:color w:val="000000"/>
                <w:sz w:val="28"/>
                <w:szCs w:val="28"/>
              </w:rPr>
              <w:t xml:space="preserve">82.2.1 Encryption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Private messaging encryption differs by whether a channel is reachable by a student account, given the two contexts carry materially different safety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ADULT CHANNELS: TRUE END-TO-END ENCRYPTION</w:t>
                  </w:r>
                  <w:r>
                    <w:rPr>
                      <w:rFonts w:ascii="Calibri" w:cs="Calibri" w:eastAsia="Calibri" w:hAnsi="Calibri"/>
                      <w:b/>
                      <w:bCs/>
                      <w:i w:val="false"/>
                      <w:iCs w:val="false"/>
                      <w:strike w:val="false"/>
                      <w:color w:val="333333"/>
                      <w:sz w:val="24"/>
                      <w:szCs w:val="24"/>
                    </w:rPr>
                    <w:t xml:space="preserve">A DirectMessage channel between two identities, neither of which is a student account participating through Chapter 83's education context, is end-to-end encrypted: message content is encrypted by the sending client and decryptable only by the receiving client's own key. The platform does not hold a decryption key for these channels and cannot access message content under any configuration, including for Safety Substrate evaluation — §82.2's general safety-enforcement statement does not apply to a channel meeting this section's adult-only condition.</w:t>
                  </w:r>
                </w:p>
              </w:tc>
            </w:tr>
          </w:tbl>
          <w:p>
            <w:pP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CLASSROOM-REACHABLE CHANNELS: ENCRYPTED, NOT UNMONITORABLE</w:t>
                  </w:r>
                  <w:r>
                    <w:rPr>
                      <w:rFonts w:ascii="Calibri" w:cs="Calibri" w:eastAsia="Calibri" w:hAnsi="Calibri"/>
                      <w:b/>
                      <w:bCs/>
                      <w:i w:val="false"/>
                      <w:iCs w:val="false"/>
                      <w:strike w:val="false"/>
                      <w:color w:val="333333"/>
                      <w:sz w:val="24"/>
                      <w:szCs w:val="24"/>
                    </w:rPr>
                    <w:t xml:space="preserve">A DirectMessage channel in which at least one participant is a student account, or which is reachable through Chapter 83's education context by any path, is encrypted in transit and at rest against external interception and unauthorized access, but is not end-to-end encrypted in the sense of §82.2.1's adult-channel provision. The Safety Substrate retains the ability to decrypt and evaluate content in these channels specifically, exercised only for safety enforcement, individually logged to the Provenance Ledger with the accessing process's identity and the specific triggering reason — never a standing, unaudited, or casual access path. This is deliberately not the same guarantee as the adult-channel provision above; a channel reachable by a student retains a real safety net.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Channel classification is determined by account type and context at message time, not by user self-declaration — a channel reachable through Chapter 83's education context is classified as Classroom-reachable regardless of the specific participants' stated ages.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modifies the general applicability of §82.2's Safety Substrate statement for adult-only channels specifically; it does not modify Chapter 8's Safety Substrate specification itself, and does not weaken safety enforcement for any Classroom-reachable channel.</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82.3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(§4.2), §61.1.1's manuscript upload pathway, Chapter 60's Rights Validation Gate, the Safety Substrate (Chapter 8), the Provenance Ledger (Chapter 5), and Chapter 75's Moderation Appeals process. It modifies none of their specifications.</w:t>
      </w:r>
    </w:p>
    <w:p>
      <w:pPr>
        <w:pStyle w:val="Heading2"/>
        <w:spacing w:after="120" w:before="240" w:line="288" w:lineRule="auto"/>
      </w:pPr>
      <w:r>
        <w:rPr>
          <w:rFonts w:ascii="Calibri" w:cs="Calibri" w:eastAsia="Calibri" w:hAnsi="Calibri"/>
          <w:color w:val="000000"/>
          <w:sz w:val="36"/>
          <w:szCs w:val="36"/>
        </w:rPr>
        <w:t xml:space="preserve">82.4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Authors can now attach supplemental, non-core material to a published book through the existing ingestion pathway, distinguished by a ContentRole field rather than a parallel publishing process; and any two identities on the platform can now exchange private messages, subject to the same safety enforcement, blocking, and moderation-appeals discipline already governing every other communication surface in this Bible.</w:t>
      </w:r>
    </w:p>
    <w:p>
      <w:pPr>
        <w:pStyle w:val="Heading1"/>
        <w:spacing w:after="120" w:before="240" w:line="288" w:lineRule="auto"/>
      </w:pPr>
      <w:r>
        <w:rPr>
          <w:rFonts w:ascii="Calibri" w:cs="Calibri" w:eastAsia="Calibri" w:hAnsi="Calibri"/>
          <w:color w:val="000000"/>
          <w:sz w:val="48"/>
          <w:szCs w:val="48"/>
        </w:rPr>
        <w:t xml:space="preserve">Chapter 83: Instructor-Created Tours and Teaching Material</w:t>
      </w:r>
    </w:p>
    <w:p>
      <w:pPr>
        <w:spacing w:after="120" w:line="360" w:lineRule="auto"/>
      </w:pPr>
      <w:r>
        <w:rPr>
          <w:rFonts w:ascii="Calibri" w:cs="Calibri" w:eastAsia="Calibri" w:hAnsi="Calibri"/>
          <w:b w:val="false"/>
          <w:bCs w:val="false"/>
          <w:i w:val="false"/>
          <w:iCs w:val="false"/>
          <w:strike w:val="false"/>
          <w:color w:val="000000"/>
          <w:sz w:val="22"/>
          <w:szCs w:val="22"/>
        </w:rPr>
        <w:t xml:space="preserve">Tour and Exhibition Mode (§46.9) is specified as author-curated, and Supplemental Content (§82.1) is specified as something an author adds to their own book. Neither currently gives an instructor — a Reader or Author granted class-hosting privileges for a specific class under §65.3, who is not necessarily the book's own author — any way to build their own teaching material from a book they're assigned to teach but didn't write. This chapter closes that gap.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SECOND, ATTRIBUTED LAYER — NOT AUTHOR PERMISSION, NOT AUTHOR CONTENT</w:t>
            </w:r>
            <w:r>
              <w:rPr>
                <w:rFonts w:ascii="Calibri" w:cs="Calibri" w:eastAsia="Calibri" w:hAnsi="Calibri"/>
                <w:b/>
                <w:bCs/>
                <w:i w:val="false"/>
                <w:iCs w:val="false"/>
                <w:strike w:val="false"/>
                <w:color w:val="333333"/>
                <w:sz w:val="24"/>
                <w:szCs w:val="24"/>
              </w:rPr>
              <w:t xml:space="preserve">An instructor-created Tour or teaching note is not the same object as an author-curated one, is never presented as if it were, and does not require the book's author to grant permission, because it changes nothing about the author's own content or its rights. It is a new sequencing and annotation of Fact Units the instructor already has reading rights to, scoped to their specific class, carrying its own mandatory attribution exactly as Presenter Mode already requires disclosure for AI-generated presence (§46.10.6).</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83.1 What an Instructor Can Build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 a sequenced walkthrough of existing IQR scenes (Chapter 46), built the same way an author's Tour is structurally (Waypoints anchored to scenes, §46.9), but composed by the instructor from the book's already-published Fact Graph rather than curated by the author. An Instructor Tour cannot introduce a new scene the author's own content doesn't already support — it resequences and annotates what exists, consistent with the Without-Information Rule (D0.4) governing every other QueryBook output.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Instructor Notes — class-scoped annotations attached to specific passages or Waypoints, visible only to that instructor's class roster, distinct from both a Personal Note (§63, private to one reader) and Supplemental Content (§82.1, an author's own addition to their book).</w:t>
      </w:r>
    </w:p>
    <w:p>
      <w:pPr>
        <w:pStyle w:val="Heading2"/>
        <w:spacing w:after="120" w:before="240" w:line="288" w:lineRule="auto"/>
      </w:pPr>
      <w:r>
        <w:rPr>
          <w:rFonts w:ascii="Calibri" w:cs="Calibri" w:eastAsia="Calibri" w:hAnsi="Calibri"/>
          <w:color w:val="000000"/>
          <w:sz w:val="36"/>
          <w:szCs w:val="36"/>
        </w:rPr>
        <w:t xml:space="preserve">83.2 Mandatory Attribution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Instructor Tour and Instructor Note carries a persistent, non-removable label identifying it as instructor-created teaching material, distinct from the author's own work — the same non-removable-disclosure discipline already established for Presenter Mode (§46.10.6), applied here so a student always knows whether they're experiencing the author's own curation or their instructor's. This label cannot be turned off by the instructor, the same way an AI-generated presenter's disclosure cannot be turned off by the author using it.</w:t>
      </w:r>
    </w:p>
    <w:p>
      <w:pPr>
        <w:pStyle w:val="Heading2"/>
        <w:spacing w:after="120" w:before="240" w:line="288" w:lineRule="auto"/>
      </w:pPr>
      <w:r>
        <w:rPr>
          <w:rFonts w:ascii="Calibri" w:cs="Calibri" w:eastAsia="Calibri" w:hAnsi="Calibri"/>
          <w:color w:val="000000"/>
          <w:sz w:val="36"/>
          <w:szCs w:val="36"/>
        </w:rPr>
        <w:t xml:space="preserve">83.3 Presenter Mode Remains Author-Exclusive</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Tour may include narration, but only through the instructor's own separately-granted Presenter authorization (§46.10.1) — an instructor cannot invoke the book's author's own voice or likeness merely by virtue of teaching that author's book. Where an instructor has not authorized their own presence, the Instructor Tour runs unnarrated, consistent with §46.9's existing support for a Tour with no presenter at all.</w:t>
      </w:r>
    </w:p>
    <w:p>
      <w:pPr>
        <w:pStyle w:val="Heading2"/>
        <w:spacing w:after="120" w:before="240" w:line="288" w:lineRule="auto"/>
      </w:pPr>
      <w:r>
        <w:rPr>
          <w:rFonts w:ascii="Calibri" w:cs="Calibri" w:eastAsia="Calibri" w:hAnsi="Calibri"/>
          <w:color w:val="000000"/>
          <w:sz w:val="36"/>
          <w:szCs w:val="36"/>
        </w:rPr>
        <w:t xml:space="preserve">83.4 Scope and Boundaries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Instructor Tour is visible only to the instructor's own class roster by default, the same visibility scoping already established for Class Boards (§64.1); an instructor may choose to make it more broadly visible, but this is an explicit choice, not a default.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author retains full authority over their own book's content, official Tours, and Supplemental Content regardless of how many instructors are teaching it — this chapter adds a parallel, clearly-attributed layer, not shared editorial control over the author's own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Moderation of Instructor Tours and Notes follows the same discipline already specified for any other instructor-scoped content (§65.3, §64's Class Board moderation) — the instructor moderates their own class's material, subject to the same formal appeals process (Chapter 75) available to any other moderation decision in this Bible.</w:t>
      </w:r>
    </w:p>
    <w:p>
      <w:pPr>
        <w:pStyle w:val="Heading2"/>
        <w:spacing w:after="120" w:before="240" w:line="288" w:lineRule="auto"/>
      </w:pPr>
      <w:r>
        <w:rPr>
          <w:rFonts w:ascii="Calibri" w:cs="Calibri" w:eastAsia="Calibri" w:hAnsi="Calibri"/>
          <w:color w:val="000000"/>
          <w:sz w:val="36"/>
          <w:szCs w:val="36"/>
        </w:rPr>
        <w:t xml:space="preserve">83.5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Tour and Exhibition Mode (§46.9), Presenter Mode's authorization model (§46.10), the Instructor capability (§65.3), Supplemental Content (§82.1, referenced only to distinguish scope), Class Boards (§64.1), and the Provenance Ledger (Chapter 5) for attribution tracking. It modifies none of their specifications.</w:t>
      </w:r>
    </w:p>
    <w:p>
      <w:pPr>
        <w:pStyle w:val="Heading2"/>
        <w:spacing w:after="120" w:before="240" w:line="288" w:lineRule="auto"/>
      </w:pPr>
      <w:r>
        <w:rPr>
          <w:rFonts w:ascii="Calibri" w:cs="Calibri" w:eastAsia="Calibri" w:hAnsi="Calibri"/>
          <w:color w:val="000000"/>
          <w:sz w:val="36"/>
          <w:szCs w:val="36"/>
        </w:rPr>
        <w:t xml:space="preserve">83.6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teaching a book they didn't write can now build their own attributed Tour and class-scoped notes from that book's existing, published content — without needing the author's permission, because nothing about the author's own work or rights is touched, and without ever being presented as the author's own curation, because the attribution is as non-removable as Presenter Mode's own disclosure already is. Presenter narration in an Instructor Tour remains gated by the instructor's own separate authorization, never inherited from the book's author.</w:t>
      </w:r>
    </w:p>
    <w:p>
      <w:pPr>
        <w:pStyle w:val="Heading1"/>
        <w:spacing w:after="120" w:before="240" w:line="288" w:lineRule="auto"/>
      </w:pPr>
      <w:r>
        <w:rPr>
          <w:rFonts w:ascii="Calibri" w:cs="Calibri" w:eastAsia="Calibri" w:hAnsi="Calibri"/>
          <w:color w:val="000000"/>
          <w:sz w:val="48"/>
          <w:szCs w:val="48"/>
        </w:rPr>
        <w:t xml:space="preserve">Chapter 84: Session Books and Instructor-Customized Assessment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two genuine, narrow gaps found in a submission whose central mechanism — blockchain- and NFT-anchored provenance, described throughout as an “NFT Certification Layer” and “NFT Registry” — is not adopted, for the same reason it has never been adopted anywhere in this Bible's history: rights-tokenization and blockchain-anchored provenance were evaluated and declined during this project's earliest passes, and every subsequent reintroduction, however the framing has changed, has been declined for the same reason. What follows is translated entirely into this Bible's actual, already-working provenance mechanism — the Merkle DAG-based Provenance Ledger (Chapter 5) — which already provides tamper-evident, cryptographically verifiable provenance without blockchain connectivity, continuous or deferred.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WHY THE BLOCKCHAIN FRAMING ISN'T CARRIED FORWARD</w:t>
            </w:r>
            <w:r>
              <w:rPr>
                <w:rFonts w:ascii="Calibri" w:cs="Calibri" w:eastAsia="Calibri" w:hAnsi="Calibri"/>
                <w:b/>
                <w:bCs/>
                <w:i w:val="false"/>
                <w:iCs w:val="false"/>
                <w:strike w:val="false"/>
                <w:color w:val="333333"/>
                <w:sz w:val="24"/>
                <w:szCs w:val="24"/>
              </w:rPr>
              <w:t xml:space="preserve">Several ideas in the source submission solve a problem QueryBook's real architecture doesn't have. “Deferred Minting Mode,” for instance, exists to let blockchain-anchored provenance work without continuous connectivity — but the Provenance Ledger's Merkle DAG (Chapter 5) never required blockchain connectivity to begin with, and offline provenance verification is already fully specified (§68's Synchronization and Offline Operation Layer). Solving a connectivity problem for a mechanism this Bible doesn't have isn't a gap; it's an artifact of evaluating the wrong architecture. The same reasoning applies to every other blockchain-anchoring variant in the source material (multi-chain anchoring, blockchain-optional mode, deferred minting) — none are carried forward, not as oversights but as a direct consequence of Chapter 5 already solving the underlying problem differently.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84.1 Session Books</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create a Session Book — a temporary, task-scoped subset of the Fact Graph, gathering specific Fact Units (their own notes, specific passages, ingested reference material) around a short-term research task or project, distinct from the permanent, indefinite scope of their library and reading history (§36.8).</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is a real Fact Unit (a SessionBookRef, per Appendix A's schema pattern) referencing the specific Fact Units gathered into it, not a copy of them — the same reference-based pattern already used for a Scenario Graph's Knowledge State Snapshot (§11).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Session Book has a defined lifecycle: active, archived, or purged. A reader can purge a Session Book when the task is done, removing the SessionBookRef and its gathering structure — the underlying Fact Units it referenced are untouched, since a Session Book was never their only location, consistent with §49.4's Live Fact Buffer precedent that a working, temporary structure is distinct from the durable store it draws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Session Book action — creation, modification, purge — is itself logged through the Provenance Ledger (Chapter 5) like any other consequential action, so a purged Session Book's prior existence remains auditable even after its content references are gone.</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researcher preparing a single conference talk can gather relevant passages from six different books, their own notes, and a handful of freshly-ingested reference PDFs into one Session Book, work from it for the two weeks the talk takes to prepare, and purge it afterward — without that temporary gathering cluttering their permanent library history or requiring six separate books to be reorganized around a project that's now finished.</w:t>
      </w:r>
    </w:p>
    <w:p>
      <w:pPr>
        <w:pStyle w:val="Heading2"/>
        <w:spacing w:after="120" w:before="240" w:line="288" w:lineRule="auto"/>
      </w:pPr>
      <w:r>
        <w:rPr>
          <w:rFonts w:ascii="Calibri" w:cs="Calibri" w:eastAsia="Calibri" w:hAnsi="Calibri"/>
          <w:color w:val="000000"/>
          <w:sz w:val="36"/>
          <w:szCs w:val="36"/>
        </w:rPr>
        <w:t xml:space="preserve">84.2 Instructor-Customized Assessment Templates</w:t>
      </w:r>
    </w:p>
    <w:p>
      <w:pPr>
        <w:spacing w:after="120" w:line="360" w:lineRule="auto"/>
      </w:pPr>
      <w:r>
        <w:rPr>
          <w:rFonts w:ascii="Calibri" w:cs="Calibri" w:eastAsia="Calibri" w:hAnsi="Calibri"/>
          <w:b w:val="false"/>
          <w:bCs w:val="false"/>
          <w:i w:val="false"/>
          <w:iCs w:val="false"/>
          <w:strike w:val="false"/>
          <w:color w:val="000000"/>
          <w:sz w:val="22"/>
          <w:szCs w:val="22"/>
        </w:rPr>
        <w:t xml:space="preserve">An instructor — the contextual capability already defined at §65.3 — can define a reusable template for Comprehension Check (§52.13.2), specifying difficulty level, question count, and structural format, applied consistently across their class and reused across sessions or semesters rather than configured freshly each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template is scoped to the instructor's class, the same visibility model already established for Class Boards (§64.1) and Instructor Tours (§83.1) — not a platform-wide assessment format.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question a template-driven Comprehension Check generates is still grounded in the book's own Fact Graph exactly as any other Comprehension Check already is (§52.13.2) — a template constrains structure and difficulty, not content; it cannot cause a question to be generated about something the book doesn't actually establish.</w:t>
      </w:r>
    </w:p>
    <w:p>
      <w:pPr>
        <w:pStyle w:val="Heading2"/>
        <w:spacing w:after="120" w:before="240" w:line="288" w:lineRule="auto"/>
      </w:pPr>
      <w:r>
        <w:rPr>
          <w:rFonts w:ascii="Calibri" w:cs="Calibri" w:eastAsia="Calibri" w:hAnsi="Calibri"/>
          <w:color w:val="000000"/>
          <w:sz w:val="36"/>
          <w:szCs w:val="36"/>
        </w:rPr>
        <w:t xml:space="preserve">84.3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Provenance Ledger (Chapter 5), the Scenario Graph's Knowledge State Snapshot pattern (Chapter 11, referenced only as a precedent for reference-based structures), the Live Fact Buffer precedent (§49.4), Comprehension Check (§52.13.2), and the Instructor capability (§65.3). It modifies none of their specifications, and introduces no blockchain, NFT, or distributed-ledger dependency anywhere.</w:t>
      </w:r>
    </w:p>
    <w:p>
      <w:pPr>
        <w:pStyle w:val="Heading2"/>
        <w:spacing w:after="120" w:before="240" w:line="288" w:lineRule="auto"/>
      </w:pPr>
      <w:r>
        <w:rPr>
          <w:rFonts w:ascii="Calibri" w:cs="Calibri" w:eastAsia="Calibri" w:hAnsi="Calibri"/>
          <w:color w:val="000000"/>
          <w:sz w:val="36"/>
          <w:szCs w:val="36"/>
        </w:rPr>
        <w:t xml:space="preserve">84.4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reader can now gather a temporary, purgeable, task-scoped subset of their library into a Session Book, and an instructor can now define a reusable assessment template scoped to their own class — two genuine, narrow capabilities extracted from a much larger submission whose central mechanism, blockchain- and NFT-anchored provenance, is not part of this Bible and is not becoming part of it now. The Provenance Ledger's Merkle DAG already does, without blockchain connectivity of any kind, everything the source submission's certification layer was trying to achieve.</w:t>
      </w:r>
    </w:p>
    <w:p>
      <w:pPr>
        <w:pStyle w:val="Heading1"/>
        <w:spacing w:after="120" w:before="240" w:line="288" w:lineRule="auto"/>
      </w:pPr>
      <w:r>
        <w:rPr>
          <w:rFonts w:ascii="Calibri" w:cs="Calibri" w:eastAsia="Calibri" w:hAnsi="Calibri"/>
          <w:color w:val="000000"/>
          <w:sz w:val="48"/>
          <w:szCs w:val="48"/>
        </w:rPr>
        <w:t xml:space="preserve">Chapter 85: Instructor Grant Visibility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addresses a real gap without changing what caused it: Instructor remains a contextual capability granted to a Reader or Author for a specific class (§65.3), not a fifth Role — that decision was reconsidered directly and reaffirmed, specifically because four already-built chapters (Chapter 62, §64.1, Chapter 83, §84.2) all depend on the capability model working exactly as it already does, and converting to a formal Role would mean retrofitting every one of them to solve a problem the architecture doesn't actually have. What was missing instead was visibility: nothing let a person see every class they currently hold instructor privileges for in one place. This chapter adds that view, not a new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VIEW OVER EXISTING GRANTS, NOT A NEW ACCESS MODEL</w:t>
            </w:r>
            <w:r>
              <w:rPr>
                <w:rFonts w:ascii="Calibri" w:cs="Calibri" w:eastAsia="Calibri" w:hAnsi="Calibri"/>
                <w:b/>
                <w:bCs/>
                <w:i w:val="false"/>
                <w:iCs w:val="false"/>
                <w:strike w:val="false"/>
                <w:color w:val="333333"/>
                <w:sz w:val="24"/>
                <w:szCs w:val="24"/>
              </w:rPr>
              <w:t xml:space="preserve">Nothing in this chapter creates a new Fact Unit type, a new Role, or a new permission. It is a read-only aggregation querying the same per-class instructor grants already recorded through Chapter 62's event-hosting model, presented as a single view instead of requiring someone to already know which classes to check individually. If every underlying grant this view reads from were deleted, this chapter would have nothing left to display — it has no independent existence apart from what §65.3 already grants.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85.1 The Instructor Dashboard</w:t>
      </w:r>
    </w:p>
    <w:p>
      <w:pPr>
        <w:spacing w:after="120" w:line="360" w:lineRule="auto"/>
      </w:pPr>
      <w:r>
        <w:rPr>
          <w:rFonts w:ascii="Calibri" w:cs="Calibri" w:eastAsia="Calibri" w:hAnsi="Calibri"/>
          <w:b w:val="false"/>
          <w:bCs w:val="false"/>
          <w:i w:val="false"/>
          <w:iCs w:val="false"/>
          <w:strike w:val="false"/>
          <w:color w:val="000000"/>
          <w:sz w:val="22"/>
          <w:szCs w:val="22"/>
        </w:rPr>
        <w:t xml:space="preserve">Surfaced within the Author Portal or Reader Portal (§65.2, whichever the identity's underlying Role already maps to — no new portal is introduced), the Instructor Dashboard lists every class for which the viewing identity currently holds an active instructor grant, querying the existing grant records through QBQL (Chapter 18) rather than a new aggregation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Dashboard Field</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Source</w:t>
            </w:r>
          </w:p>
        </w:tc>
      </w:tr>
      <w:tr>
        <w:tc>
          <w:tcPr>
            <w:tcW w:type="pct" w:w="50%"/>
          </w:tcPr>
          <w:p>
            <w:r>
              <w:rPr>
                <w:rFonts w:ascii="Calibri" w:cs="Calibri" w:eastAsia="Calibri" w:hAnsi="Calibri"/>
                <w:b w:val="false"/>
                <w:bCs w:val="false"/>
                <w:i w:val="false"/>
                <w:iCs w:val="false"/>
                <w:strike w:val="false"/>
                <w:color w:val="000000"/>
                <w:sz w:val="19"/>
                <w:szCs w:val="19"/>
              </w:rPr>
              <w:t xml:space="preserve">Class name and associated book</w:t>
            </w:r>
          </w:p>
        </w:tc>
        <w:tc>
          <w:tcPr>
            <w:tcW w:type="pct" w:w="50%"/>
          </w:tcPr>
          <w:p>
            <w:r>
              <w:rPr>
                <w:rFonts w:ascii="Calibri" w:cs="Calibri" w:eastAsia="Calibri" w:hAnsi="Calibri"/>
                <w:b w:val="false"/>
                <w:bCs w:val="false"/>
                <w:i w:val="false"/>
                <w:iCs w:val="false"/>
                <w:strike w:val="false"/>
                <w:color w:val="000000"/>
                <w:sz w:val="19"/>
                <w:szCs w:val="19"/>
              </w:rPr>
              <w:t xml:space="preserve">The instructor grant record itself (§65.3, via Chapter 62's event model).</w:t>
            </w:r>
          </w:p>
        </w:tc>
      </w:tr>
      <w:tr>
        <w:tc>
          <w:tcPr>
            <w:tcW w:type="pct" w:w="50%"/>
          </w:tcPr>
          <w:p>
            <w:r>
              <w:rPr>
                <w:rFonts w:ascii="Calibri" w:cs="Calibri" w:eastAsia="Calibri" w:hAnsi="Calibri"/>
                <w:b w:val="false"/>
                <w:bCs w:val="false"/>
                <w:i w:val="false"/>
                <w:iCs w:val="false"/>
                <w:strike w:val="false"/>
                <w:color w:val="000000"/>
                <w:sz w:val="19"/>
                <w:szCs w:val="19"/>
              </w:rPr>
              <w:t xml:space="preserve">Class Board activity summary</w:t>
            </w:r>
          </w:p>
        </w:tc>
        <w:tc>
          <w:tcPr>
            <w:tcW w:type="pct" w:w="50%"/>
          </w:tcPr>
          <w:p>
            <w:r>
              <w:rPr>
                <w:rFonts w:ascii="Calibri" w:cs="Calibri" w:eastAsia="Calibri" w:hAnsi="Calibri"/>
                <w:b w:val="false"/>
                <w:bCs w:val="false"/>
                <w:i w:val="false"/>
                <w:iCs w:val="false"/>
                <w:strike w:val="false"/>
                <w:color w:val="000000"/>
                <w:sz w:val="19"/>
                <w:szCs w:val="19"/>
              </w:rPr>
              <w:t xml:space="preserve">§64.1's existing Class Board, queried for the specific class — not a new messaging surface.</w:t>
            </w:r>
          </w:p>
        </w:tc>
      </w:tr>
      <w:tr>
        <w:tc>
          <w:tcPr>
            <w:tcW w:type="pct" w:w="50%"/>
          </w:tcPr>
          <w:p>
            <w:r>
              <w:rPr>
                <w:rFonts w:ascii="Calibri" w:cs="Calibri" w:eastAsia="Calibri" w:hAnsi="Calibri"/>
                <w:b w:val="false"/>
                <w:bCs w:val="false"/>
                <w:i w:val="false"/>
                <w:iCs w:val="false"/>
                <w:strike w:val="false"/>
                <w:color w:val="000000"/>
                <w:sz w:val="19"/>
                <w:szCs w:val="19"/>
              </w:rPr>
              <w:t xml:space="preserve">Instructor Tours authored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§83.1's existing Instructor Tour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Assessment templates defined for this class</w:t>
            </w:r>
          </w:p>
        </w:tc>
        <w:tc>
          <w:tcPr>
            <w:tcW w:type="pct" w:w="50%"/>
          </w:tcPr>
          <w:p>
            <w:r>
              <w:rPr>
                <w:rFonts w:ascii="Calibri" w:cs="Calibri" w:eastAsia="Calibri" w:hAnsi="Calibri"/>
                <w:b w:val="false"/>
                <w:bCs w:val="false"/>
                <w:i w:val="false"/>
                <w:iCs w:val="false"/>
                <w:strike w:val="false"/>
                <w:color w:val="000000"/>
                <w:sz w:val="19"/>
                <w:szCs w:val="19"/>
              </w:rPr>
              <w:t xml:space="preserve">§84.2's existing template records, filtered to the class in view.</w:t>
            </w:r>
          </w:p>
        </w:tc>
      </w:tr>
      <w:tr>
        <w:tc>
          <w:tcPr>
            <w:tcW w:type="pct" w:w="50%"/>
          </w:tcPr>
          <w:p>
            <w:r>
              <w:rPr>
                <w:rFonts w:ascii="Calibri" w:cs="Calibri" w:eastAsia="Calibri" w:hAnsi="Calibri"/>
                <w:b w:val="false"/>
                <w:bCs w:val="false"/>
                <w:i w:val="false"/>
                <w:iCs w:val="false"/>
                <w:strike w:val="false"/>
                <w:color w:val="000000"/>
                <w:sz w:val="19"/>
                <w:szCs w:val="19"/>
              </w:rPr>
              <w:t xml:space="preserve">Grant status</w:t>
            </w:r>
          </w:p>
        </w:tc>
        <w:tc>
          <w:tcPr>
            <w:tcW w:type="pct" w:w="50%"/>
          </w:tcPr>
          <w:p>
            <w:r>
              <w:rPr>
                <w:rFonts w:ascii="Calibri" w:cs="Calibri" w:eastAsia="Calibri" w:hAnsi="Calibri"/>
                <w:b w:val="false"/>
                <w:bCs w:val="false"/>
                <w:i w:val="false"/>
                <w:iCs w:val="false"/>
                <w:strike w:val="false"/>
                <w:color w:val="000000"/>
                <w:sz w:val="19"/>
                <w:szCs w:val="19"/>
              </w:rPr>
              <w:t xml:space="preserve">Active, or expired — read directly from the underlying per-class grant; this view does not extend, renew, or alter a grant's duration.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grant that has expired or been revoked simply stops appearing as active — the dashboard reflects the grant's real state rather than maintaining its own separate record of who is or isn't currently an instructor.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identity with no active instructor grants sees an empty dashboard, not an error — holding zero grants is a normal, expected state for a Reader or Author who has never taught a class.</w:t>
      </w:r>
    </w:p>
    <w:p>
      <w:pPr>
        <w:pStyle w:val="Heading2"/>
        <w:spacing w:after="120" w:before="240" w:line="288" w:lineRule="auto"/>
      </w:pPr>
      <w:r>
        <w:rPr>
          <w:rFonts w:ascii="Calibri" w:cs="Calibri" w:eastAsia="Calibri" w:hAnsi="Calibri"/>
          <w:color w:val="000000"/>
          <w:sz w:val="36"/>
          <w:szCs w:val="36"/>
        </w:rPr>
        <w:t xml:space="preserve">85.2 What This Chapter Deliberately Does Not Add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Instructor Role, and no change to the Role model already specified in Chapter 65.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new permission — a person's ability to create an Instructor Tour, moderate a Class Board, or define an assessment template is governed entirely by §65.3's existing grant, exactly as before this chapter was written.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cross-class aggregation of content itself — the dashboard lists and links to each class's material; it does not merge two different classes' boards, Tours, or templates into a combined view, since those remain genuinely separate, per-class-scoped objects (§65.3, §64.1, §83.1).</w:t>
      </w:r>
    </w:p>
    <w:p>
      <w:pPr>
        <w:pStyle w:val="Heading2"/>
        <w:spacing w:after="120" w:before="240" w:line="288" w:lineRule="auto"/>
      </w:pPr>
      <w:r>
        <w:rPr>
          <w:rFonts w:ascii="Calibri" w:cs="Calibri" w:eastAsia="Calibri" w:hAnsi="Calibri"/>
          <w:color w:val="000000"/>
          <w:sz w:val="36"/>
          <w:szCs w:val="36"/>
        </w:rPr>
        <w:t xml:space="preserve">85.3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Instructor capability (§65.3), Chapter 62's event model, the Portal architecture (§65.2), QBQL (Chapter 18), Class Boards (§64.1), Instructor Tours (§83.1), and Instructor-Customized Assessment Templates (§84.2). It modifies none of their specifications.</w:t>
      </w:r>
    </w:p>
    <w:p>
      <w:pPr>
        <w:pStyle w:val="Heading2"/>
        <w:spacing w:after="120" w:before="240" w:line="288" w:lineRule="auto"/>
      </w:pPr>
      <w:r>
        <w:rPr>
          <w:rFonts w:ascii="Calibri" w:cs="Calibri" w:eastAsia="Calibri" w:hAnsi="Calibri"/>
          <w:color w:val="000000"/>
          <w:sz w:val="36"/>
          <w:szCs w:val="36"/>
        </w:rPr>
        <w:t xml:space="preserve">85.4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person holding instructor grants across multiple classes can now see all of them in one place — what's being taught, what boards are active, what Tours and assessment templates exist for each — without QueryBook adding a fifth Role, a new portal, or any new permission to get there. The complexity this chapter avoids is the same complexity §65.3 was originally written to avoid: per-class scoping that a formal Role would have needed to reimplement from scratch.</w:t>
      </w:r>
    </w:p>
    <w:p>
      <w:pPr>
        <w:pStyle w:val="Heading1"/>
        <w:spacing w:after="120" w:before="240" w:line="288" w:lineRule="auto"/>
      </w:pPr>
      <w:r>
        <w:rPr>
          <w:rFonts w:ascii="Calibri" w:cs="Calibri" w:eastAsia="Calibri" w:hAnsi="Calibri"/>
          <w:color w:val="000000"/>
          <w:sz w:val="48"/>
          <w:szCs w:val="48"/>
        </w:rPr>
        <w:t xml:space="preserve">Chapter 86: System Identity and Positioning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consolidates QueryBook's real, already-specified differentiators into a single canonical reference, correcting a set of overclaims and mischaracterizations that arose in an external summary of the system and were declined from adoption. Every claim below cites the specific chapter it comes from; nothing here introduces new architecture.</w:t>
      </w:r>
    </w:p>
    <w:p>
      <w:pPr>
        <w:pStyle w:val="Heading2"/>
        <w:spacing w:after="120" w:before="240" w:line="288" w:lineRule="auto"/>
      </w:pPr>
      <w:r>
        <w:rPr>
          <w:rFonts w:ascii="Calibri" w:cs="Calibri" w:eastAsia="Calibri" w:hAnsi="Calibri"/>
          <w:color w:val="000000"/>
          <w:sz w:val="36"/>
          <w:szCs w:val="36"/>
        </w:rPr>
        <w:t xml:space="preserve">86.1 What QueryBook Is</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is a neuromorphic, fact-centric, multimodal knowledge operating system (Chapter 1) — not a database, not a vector store, not a chatbot, and not a large language model with retrieval bolted on. Its foundational unit is the Fact Unit (Chapter 3, Appendix A): a discrete, typed knowledge record combining a confidence score, an inseparable safety classification, a language-independent semantic fingerprint, an embedding representation, temporal anchoring, and a cryptographically verifiable provenance chain in a single schema.</w:t>
      </w:r>
    </w:p>
    <w:p>
      <w:pPr>
        <w:pStyle w:val="Heading2"/>
        <w:spacing w:after="120" w:before="240" w:line="288" w:lineRule="auto"/>
      </w:pPr>
      <w:r>
        <w:rPr>
          <w:rFonts w:ascii="Calibri" w:cs="Calibri" w:eastAsia="Calibri" w:hAnsi="Calibri"/>
          <w:color w:val="000000"/>
          <w:sz w:val="36"/>
          <w:szCs w:val="36"/>
        </w:rPr>
        <w:t xml:space="preserve">86.2 The Real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Differentiator</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What It Actually Is</w:t>
            </w:r>
          </w:p>
        </w:tc>
      </w:tr>
      <w:tr>
        <w:tc>
          <w:tcPr>
            <w:tcW w:type="pct" w:w="50%"/>
          </w:tcPr>
          <w:p>
            <w:r>
              <w:rPr>
                <w:rFonts w:ascii="Calibri" w:cs="Calibri" w:eastAsia="Calibri" w:hAnsi="Calibri"/>
                <w:b w:val="false"/>
                <w:bCs w:val="false"/>
                <w:i w:val="false"/>
                <w:iCs w:val="false"/>
                <w:strike w:val="false"/>
                <w:color w:val="000000"/>
                <w:sz w:val="19"/>
                <w:szCs w:val="19"/>
              </w:rPr>
              <w:t xml:space="preserve">Structural groundedness</w:t>
            </w:r>
          </w:p>
        </w:tc>
        <w:tc>
          <w:tcPr>
            <w:tcW w:type="pct" w:w="50%"/>
          </w:tcPr>
          <w:p>
            <w:r>
              <w:rPr>
                <w:rFonts w:ascii="Calibri" w:cs="Calibri" w:eastAsia="Calibri" w:hAnsi="Calibri"/>
                <w:b w:val="false"/>
                <w:bCs w:val="false"/>
                <w:i w:val="false"/>
                <w:iCs w:val="false"/>
                <w:strike w:val="false"/>
                <w:color w:val="000000"/>
                <w:sz w:val="19"/>
                <w:szCs w:val="19"/>
              </w:rPr>
              <w:t xml:space="preserve">Output vocabulary at generation time is constrained to terms traceable to specific Fact Units; an ungrounded proposition is rejected before delivery rather than made merely less likely (Chapter 16, §6.4). This is a structural property of the generation pipeline, not a claim that no ungrounded output can ever occur — the claim is scoped to what the pipeline generates, stated precisely rather than as an absolute guarantee.</w:t>
            </w:r>
          </w:p>
        </w:tc>
      </w:tr>
      <w:tr>
        <w:tc>
          <w:tcPr>
            <w:tcW w:type="pct" w:w="50%"/>
          </w:tcPr>
          <w:p>
            <w:r>
              <w:rPr>
                <w:rFonts w:ascii="Calibri" w:cs="Calibri" w:eastAsia="Calibri" w:hAnsi="Calibri"/>
                <w:b w:val="false"/>
                <w:bCs w:val="false"/>
                <w:i w:val="false"/>
                <w:iCs w:val="false"/>
                <w:strike w:val="false"/>
                <w:color w:val="000000"/>
                <w:sz w:val="19"/>
                <w:szCs w:val="19"/>
              </w:rPr>
              <w:t xml:space="preserve">The Dual-Brain Architecture</w:t>
            </w:r>
          </w:p>
        </w:tc>
        <w:tc>
          <w:tcPr>
            <w:tcW w:type="pct" w:w="50%"/>
          </w:tcPr>
          <w:p>
            <w:r>
              <w:rPr>
                <w:rFonts w:ascii="Calibri" w:cs="Calibri" w:eastAsia="Calibri" w:hAnsi="Calibri"/>
                <w:b w:val="false"/>
                <w:bCs w:val="false"/>
                <w:i w:val="false"/>
                <w:iCs w:val="false"/>
                <w:strike w:val="false"/>
                <w:color w:val="000000"/>
                <w:sz w:val="19"/>
                <w:szCs w:val="19"/>
              </w:rPr>
              <w:t xml:space="preserve">The parallel operation of the Semantic Brain (work-specific, language-anchored, reversible) and the World Brain (domain-general, language-agnostic, irreversible post-Flush), implementing a two-level Predictive Coding hierarchy (§41.11.2, Chapter 58). Not “meaning-level vs. world-model reasoning” — that phrase does not appear in, and does not accurately describe, this architecture.</w:t>
            </w:r>
          </w:p>
        </w:tc>
      </w:tr>
      <w:tr>
        <w:tc>
          <w:tcPr>
            <w:tcW w:type="pct" w:w="50%"/>
          </w:tcPr>
          <w:p>
            <w:r>
              <w:rPr>
                <w:rFonts w:ascii="Calibri" w:cs="Calibri" w:eastAsia="Calibri" w:hAnsi="Calibri"/>
                <w:b w:val="false"/>
                <w:bCs w:val="false"/>
                <w:i w:val="false"/>
                <w:iCs w:val="false"/>
                <w:strike w:val="false"/>
                <w:color w:val="000000"/>
                <w:sz w:val="19"/>
                <w:szCs w:val="19"/>
              </w:rPr>
              <w:t xml:space="preserve">Human-gated self-improvement</w:t>
            </w:r>
          </w:p>
        </w:tc>
        <w:tc>
          <w:tcPr>
            <w:tcW w:type="pct" w:w="50%"/>
          </w:tcPr>
          <w:p>
            <w:r>
              <w:rPr>
                <w:rFonts w:ascii="Calibri" w:cs="Calibri" w:eastAsia="Calibri" w:hAnsi="Calibri"/>
                <w:b w:val="false"/>
                <w:bCs w:val="false"/>
                <w:i w:val="false"/>
                <w:iCs w:val="false"/>
                <w:strike w:val="false"/>
                <w:color w:val="000000"/>
                <w:sz w:val="19"/>
                <w:szCs w:val="19"/>
              </w:rPr>
              <w:t xml:space="preserve">The system can identify and propose changes to itself, but a named, accountable human must approve every change before it takes effect, and a fixed, permanently-excluded set of subsystems — including the safety and governance mechanisms themselves — can never be a valid proposal target, from any source (Chapter 66, Chapter 78, Chapter 79).</w:t>
            </w:r>
          </w:p>
        </w:tc>
      </w:tr>
      <w:tr>
        <w:tc>
          <w:tcPr>
            <w:tcW w:type="pct" w:w="50%"/>
          </w:tcPr>
          <w:p>
            <w:r>
              <w:rPr>
                <w:rFonts w:ascii="Calibri" w:cs="Calibri" w:eastAsia="Calibri" w:hAnsi="Calibri"/>
                <w:b w:val="false"/>
                <w:bCs w:val="false"/>
                <w:i w:val="false"/>
                <w:iCs w:val="false"/>
                <w:strike w:val="false"/>
                <w:color w:val="000000"/>
                <w:sz w:val="19"/>
                <w:szCs w:val="19"/>
              </w:rPr>
              <w:t xml:space="preserve">Bounded natural-language programming</w:t>
            </w:r>
          </w:p>
        </w:tc>
        <w:tc>
          <w:tcPr>
            <w:tcW w:type="pct" w:w="50%"/>
          </w:tcPr>
          <w:p>
            <w:r>
              <w:rPr>
                <w:rFonts w:ascii="Calibri" w:cs="Calibri" w:eastAsia="Calibri" w:hAnsi="Calibri"/>
                <w:b w:val="false"/>
                <w:bCs w:val="false"/>
                <w:i w:val="false"/>
                <w:iCs w:val="false"/>
                <w:strike w:val="false"/>
                <w:color w:val="000000"/>
                <w:sz w:val="19"/>
                <w:szCs w:val="19"/>
              </w:rPr>
              <w:t xml:space="preserve">NLPL compiles a natural-language instruction into QBPL's fixed, nine-primitive, non-Turing-complete instruction set (Chapter 48) — a genuinely novel capability, but scoped to Fact Graph operations, not a general command language for controlling arbitrary external devices.</w:t>
            </w:r>
          </w:p>
        </w:tc>
      </w:tr>
      <w:tr>
        <w:tc>
          <w:tcPr>
            <w:tcW w:type="pct" w:w="50%"/>
          </w:tcPr>
          <w:p>
            <w:r>
              <w:rPr>
                <w:rFonts w:ascii="Calibri" w:cs="Calibri" w:eastAsia="Calibri" w:hAnsi="Calibri"/>
                <w:b w:val="false"/>
                <w:bCs w:val="false"/>
                <w:i w:val="false"/>
                <w:iCs w:val="false"/>
                <w:strike w:val="false"/>
                <w:color w:val="000000"/>
                <w:sz w:val="19"/>
                <w:szCs w:val="19"/>
              </w:rPr>
              <w:t xml:space="preserve">Directed delegation to external systems</w:t>
            </w:r>
          </w:p>
        </w:tc>
        <w:tc>
          <w:tcPr>
            <w:tcW w:type="pct" w:w="50%"/>
          </w:tcPr>
          <w:p>
            <w:r>
              <w:rPr>
                <w:rFonts w:ascii="Calibri" w:cs="Calibri" w:eastAsia="Calibri" w:hAnsi="Calibri"/>
                <w:b w:val="false"/>
                <w:bCs w:val="false"/>
                <w:i w:val="false"/>
                <w:iCs w:val="false"/>
                <w:strike w:val="false"/>
                <w:color w:val="000000"/>
                <w:sz w:val="19"/>
                <w:szCs w:val="19"/>
              </w:rPr>
              <w:t xml:space="preserve">Where QueryBook connects to an external agent platform or device, it dispatches specific, declared actions through a registered connector (§49.3.3.6) — it does not acquire that platform's own general authority. This is the accurate description of QueryBook's relationship to robotics and external agents; broader framings describing native “control” or “coordination” authority are not accurate.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86.3 Common Mischaracterizations, Corrected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hallucinations” — not the claim this Bible makes anywhere. The actual claim is the structural groundedness property in §86.2, stated with its real scope, not as an absolute guarantee.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“Encrypted Fact Units” — not a real property of the Fact Unit schema. History encryption is a real, opt-in reader feature (§36.8) protecting a reader's own session data, not a categorical property of every Fact Unit.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“Teacher-in-a-box” — the real Instructor capability (§65.3, Chapter 83) is explicitly additive to human instruction: an instructor's own attributed layer on top of a book, never a replacement for a human teacher.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“Control robots using natural language,” “coordinate multi-robot fleets,” “scan multi-camera feeds for hazards and behaviors” — these describe general, unscoped authority over physical devices and surveillance systems that does not exist in this Bible. The real capability is §49.3.3.6's directed delegation of specific, declared actions, with no native or general authority acquired.</w:t>
      </w:r>
    </w:p>
    <w:p>
      <w:pPr>
        <w:pStyle w:val="Heading2"/>
        <w:spacing w:after="120" w:before="240" w:line="288" w:lineRule="auto"/>
      </w:pPr>
      <w:r>
        <w:rPr>
          <w:rFonts w:ascii="Calibri" w:cs="Calibri" w:eastAsia="Calibri" w:hAnsi="Calibri"/>
          <w:color w:val="000000"/>
          <w:sz w:val="36"/>
          <w:szCs w:val="36"/>
        </w:rPr>
        <w:t xml:space="preserve">86.4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1, Chapter 3 and Appendix A, Chapter 16, §41.11.2 and Chapter 58, Chapters 66/78/79, Chapter 48, §36.8, §65.3 and Chapter 83, and §49.3.3.6. It modifies none of their specifications — it is a consolidated reference to what they already establish, written specifically to be the canonical source for how QueryBook is summarized elsewhere.</w:t>
      </w:r>
    </w:p>
    <w:p>
      <w:pPr>
        <w:pStyle w:val="Heading2"/>
        <w:spacing w:after="120" w:before="240" w:line="288" w:lineRule="auto"/>
      </w:pPr>
      <w:r>
        <w:rPr>
          <w:rFonts w:ascii="Calibri" w:cs="Calibri" w:eastAsia="Calibri" w:hAnsi="Calibri"/>
          <w:color w:val="000000"/>
          <w:sz w:val="36"/>
          <w:szCs w:val="36"/>
        </w:rPr>
        <w:t xml:space="preserve">86.5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differentiator in this chapter is real and already specified elsewhere in this Bible; every correction in §86.3 addresses a specific overclaim or mischaracterization that was proposed and declined. Future summaries of QueryBook — in the Bible, in derived books, in patent drafts, or elsewhere — should draw from this chapter rather than from external descriptions that have not been checked against it.</w:t>
      </w:r>
    </w:p>
    <w:p>
      <w:pPr>
        <w:pStyle w:val="Heading2"/>
        <w:spacing w:after="120" w:before="240" w:line="288" w:lineRule="auto"/>
      </w:pPr>
      <w:r>
        <w:rPr>
          <w:rFonts w:ascii="Calibri" w:cs="Calibri" w:eastAsia="Calibri" w:hAnsi="Calibri"/>
          <w:color w:val="000000"/>
          <w:sz w:val="36"/>
          <w:szCs w:val="36"/>
        </w:rPr>
        <w:t xml:space="preserve">86.6 Correction — Native Hypergraph Structures in WASM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PRIOR CORRECTION IN THIS CHAPTER WAS ITSELF PARTIALLY WRONG</w:t>
            </w:r>
            <w:r>
              <w:rPr>
                <w:rFonts w:ascii="Calibri" w:cs="Calibri" w:eastAsia="Calibri" w:hAnsi="Calibri"/>
                <w:b/>
                <w:bCs/>
                <w:i w:val="false"/>
                <w:iCs w:val="false"/>
                <w:strike w:val="false"/>
                <w:color w:val="333333"/>
                <w:sz w:val="24"/>
                <w:szCs w:val="24"/>
              </w:rPr>
              <w:t xml:space="preserve">This section corrects an error made during this chapter's own drafting, not a resubmitted external claim. A declined submission's phrase, “the World Brain stores knowledge as hypergraph conceptual models,” was rejected on the stated grounds that hypergraph structures belong exclusively to UFCS (Chapter 81) and are not part of QueryBook's own architecture. That was incorrect. QueryBook's own World Aware System Model (Chapter 53) natively and independently uses hypergraph structures — the error was concluding, from UFCS's real hypergraph usage, that no other real hypergraph usage existed, without checking thoroughly enough to find WASM's.</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The World Model Domain (Chapter 53) is explicit and unambiguous on this point, stated as one of its own non-negotiable design constraints: all world model structures are stored as typed nodes and hyperedges within the Fact Universe, with no external world model database used. Cross-layer relations among WASM's six structural layers are expressed as typed hyperedges specifically because a simple binary edge cannot represent them — multi-entity semantic relationships are retrieved via pattern matching against hyperedges, a genuinely different retrieval structure than a pairwise graph edge.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Two real, separate hypergraph implementations exist in this Bible: UFCS's own hypergraph substrate (Chapter 81), external and separately-owned; and WASM's native hypergraph structures within the Fact Universe (Chapter 53), fully QueryBook's own and independent of any UFCS connection. Neither depends on the other.</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Describing QueryBook's World Brain / World Model Domain as using hypergraph structures is therefore accurate, when attributed to WASM's native architecture. It is not accurate only when hypergraph structures are attributed to UFCS as though QueryBook had no native equivalent — that attribution was the actual error, not the underlying technical claim.</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correction does not extend to the other elements of the same originally-declined paragraph. Unscoped robotics control (“operate robotics through embodied cognition”) and autonomous goal formation remain correctly declined, on their own separately-verified evidence, and this section makes no change to either.</w:t>
      </w:r>
    </w:p>
    <w:p>
      <w:pPr>
        <w:pStyle w:val="Heading1"/>
        <w:spacing w:after="120" w:before="240" w:line="288" w:lineRule="auto"/>
      </w:pPr>
      <w:r>
        <w:rPr>
          <w:rFonts w:ascii="Calibri" w:cs="Calibri" w:eastAsia="Calibri" w:hAnsi="Calibri"/>
          <w:color w:val="000000"/>
          <w:sz w:val="48"/>
          <w:szCs w:val="48"/>
        </w:rPr>
        <w:t xml:space="preserve">Chapter 87: Live Interaction Voice Signal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closes a specific gap: prosodic and sentiment analysis of speech already exists for ingested audio content (§4.3.4), but nothing in this Bible analyzes the voice of a live, present user during an active interactive session. This chapter specifies that capability, scoped narrowly and gated on the analyzed user's own explicit, revocable consent — consent is required here specifically because the subject is a live, present, real person, not documented or fictional content already governed by §4.3.4 and Chapter 60's rights model.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LIVE CONSENT IS DIFFERENT FROM INGESTED-CONTENT ANALYSIS, AND IS REQUIRED HERE</w:t>
            </w:r>
            <w:r>
              <w:rPr>
                <w:rFonts w:ascii="Calibri" w:cs="Calibri" w:eastAsia="Calibri" w:hAnsi="Calibri"/>
                <w:b/>
                <w:bCs/>
                <w:i w:val="false"/>
                <w:iCs w:val="false"/>
                <w:strike w:val="false"/>
                <w:color w:val="333333"/>
                <w:sz w:val="24"/>
                <w:szCs w:val="24"/>
              </w:rPr>
              <w:t xml:space="preserve">Analyzing prosody and sentiment in a movie's dialogue or an audiobook's narration (§4.3.4) requires no additional consent beyond the existing Rights Validation Gate (Chapter 60) that already governs whether that content may be ingested at all — the subject is documented, fictional, or historical content, not a live participant in the current session. Analyzing a present, live user's own voice during an active interaction is a different act entirely, and requires that specific user's own explicit, revocable authorization before any analysis of their voice occurs — the same authorization discipline already established for Presenter Mode (§46.10.1), adapted here for analysis input rather than generation output.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87.1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covers only the voice of the live, present user currently interacting with QueryBook in a real-time session. It does not add any new analysis capability for ingested audio/video content — that capability already exists at §4.3.4 (sentiment and prosody analysis from speech) and requires no change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chapter analyzes prosodic and acoustic features — tone, pace, pitch variation, pause patterns — using the same extraction technique already specified at §4.3.4, applied to a live audio stream instead of an ingested recording. It does not introduce a new signal-processing mechanism.</w:t>
      </w:r>
    </w:p>
    <w:p>
      <w:pPr>
        <w:pStyle w:val="Heading2"/>
        <w:spacing w:after="120" w:before="240" w:line="288" w:lineRule="auto"/>
      </w:pPr>
      <w:r>
        <w:rPr>
          <w:rFonts w:ascii="Calibri" w:cs="Calibri" w:eastAsia="Calibri" w:hAnsi="Calibri"/>
          <w:color w:val="000000"/>
          <w:sz w:val="36"/>
          <w:szCs w:val="36"/>
        </w:rPr>
        <w:t xml:space="preserve">87.2 Consent Architecture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voice analysis is opt-in per session, disabled by default. A user must explicitly enable it before any analysis of their voice occurs.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Consent is revocable at any point during the session; revocation takes effect immediately and halts further analysis for the remainder of that session.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user is told plainly, before opting in, what is analyzed (prosodic and acoustic features of their voice) and what it is used for (§87.3) — not a general-purpose emotional-surveillance capability, a specific, disclosed, session-scoped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live voice analysis Fact Unit is retained beyond the session in which it was generated, unless the user separately and explicitly opts into longer retention —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87.3 Use of the Resulting Signal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Internal comprehension signal: a detected shift in prosodic pattern consistent with confusion or frustration may be added, alongside the Clarification Generation Engine's existing query-ambiguity and coreference-failure triggers (§37.4), as an additional signal that a clarification request may help — reusing the CGE's existing mechanism rather than building a parallel one. A prosodic signal alone, with no corresponding ambiguity in the query itself, does not by itself change what answer is given — it only affects whether a clarifying question is offered.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Surfaced answer: where a reader directly asks about a detected vocal quality in their own current session (for example, confirming whether the system detected hesitation), the response carries the same ConfidenceScore field every other Fact Unit carries (Appendix A), presented explicitly as an inference rather than an assertion of the user's actual internal state — consistent with this Bible's practice of never claiming certainty about something that is inherently uncertain.</w:t>
      </w:r>
    </w:p>
    <w:p>
      <w:pPr>
        <w:pStyle w:val="Heading2"/>
        <w:spacing w:after="120" w:before="240" w:line="288" w:lineRule="auto"/>
      </w:pPr>
      <w:r>
        <w:rPr>
          <w:rFonts w:ascii="Calibri" w:cs="Calibri" w:eastAsia="Calibri" w:hAnsi="Calibri"/>
          <w:color w:val="000000"/>
          <w:sz w:val="36"/>
          <w:szCs w:val="36"/>
        </w:rPr>
        <w:t xml:space="preserve">87.4 Safety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Fact Unit produced by live voice analysis carries a SafetyFlags classification (Appendix A) marking it as derived from live biometric-adjacent signal, evaluated at the same mandatory Safety Substrate gates as any other Fact Unit (Chapter 8) — no exemption is created by this chapter.</w:t>
      </w:r>
    </w:p>
    <w:p>
      <w:pPr>
        <w:pStyle w:val="Heading2"/>
        <w:spacing w:after="120" w:before="240" w:line="288" w:lineRule="auto"/>
      </w:pPr>
      <w:r>
        <w:rPr>
          <w:rFonts w:ascii="Calibri" w:cs="Calibri" w:eastAsia="Calibri" w:hAnsi="Calibri"/>
          <w:color w:val="000000"/>
          <w:sz w:val="36"/>
          <w:szCs w:val="36"/>
        </w:rPr>
        <w:t xml:space="preserve">87.5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§4.3.4's existing prosodic extraction technique, the Clarification Generation Engine and its existing trigger conditions (§37.4), the Fact Unit schema (Appendix A), and the Safety Substrate (Chapter 8). It modifies none of their specifications — CGE gains an additional, optional trigger input; its existing triggers and behavior are unchanged.</w:t>
      </w:r>
    </w:p>
    <w:p>
      <w:pPr>
        <w:pStyle w:val="Heading2"/>
        <w:spacing w:after="120" w:before="240" w:line="288" w:lineRule="auto"/>
      </w:pPr>
      <w:r>
        <w:rPr>
          <w:rFonts w:ascii="Calibri" w:cs="Calibri" w:eastAsia="Calibri" w:hAnsi="Calibri"/>
          <w:color w:val="000000"/>
          <w:sz w:val="36"/>
          <w:szCs w:val="36"/>
        </w:rPr>
        <w:t xml:space="preserve">87.6 Voice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Voice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Voice Analysis Slice</w:t>
            </w:r>
          </w:p>
        </w:tc>
        <w:tc>
          <w:tcPr>
            <w:tcW w:type="pct" w:w="33%"/>
          </w:tcPr>
          <w:p>
            <w:r>
              <w:rPr>
                <w:rFonts w:ascii="Calibri" w:cs="Calibri" w:eastAsia="Calibri" w:hAnsi="Calibri"/>
                <w:b w:val="false"/>
                <w:bCs w:val="false"/>
                <w:i w:val="false"/>
                <w:iCs w:val="false"/>
                <w:strike w:val="false"/>
                <w:color w:val="000000"/>
                <w:sz w:val="19"/>
                <w:szCs w:val="19"/>
              </w:rPr>
              <w:t xml:space="preserve">Live Interaction Voice Signal Analysis (Chapter 87)</w:t>
            </w:r>
          </w:p>
        </w:tc>
        <w:tc>
          <w:tcPr>
            <w:tcW w:type="pct" w:w="33%"/>
          </w:tcPr>
          <w:p>
            <w:r>
              <w:rPr>
                <w:rFonts w:ascii="Calibri" w:cs="Calibri" w:eastAsia="Calibri" w:hAnsi="Calibri"/>
                <w:b w:val="false"/>
                <w:bCs w:val="false"/>
                <w:i w:val="false"/>
                <w:iCs w:val="false"/>
                <w:strike w:val="false"/>
                <w:color w:val="000000"/>
                <w:sz w:val="19"/>
                <w:szCs w:val="19"/>
              </w:rPr>
              <w:t xml:space="preserve">One utterance's prosody analysis cycle, from consented audio capture through inference result.</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Voice Analysis Slice is strictly lower priority than every safety-relevant category. Consistent with Chapter 69's existing priority ordering (Safety Gate and Recovery Slices always scheduled first), a Voice Analysis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Voice Analysis Slice fails to complete within its bounded envelope, no prosody inference is surfaced for that utterance; the underlying Q&amp;A interaction proceeds normally and is never blocked, delayed, or degraded by a failed or slow voice analysis cycle.</w:t>
      </w:r>
    </w:p>
    <w:p>
      <w:pPr>
        <w:pStyle w:val="Heading2"/>
        <w:spacing w:after="120" w:before="240" w:line="288" w:lineRule="auto"/>
      </w:pPr>
      <w:r>
        <w:rPr>
          <w:rFonts w:ascii="Calibri" w:cs="Calibri" w:eastAsia="Calibri" w:hAnsi="Calibri"/>
          <w:color w:val="000000"/>
          <w:sz w:val="36"/>
          <w:szCs w:val="36"/>
        </w:rPr>
        <w:t xml:space="preserve">87.7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live, present user's voice may now be analyzed for prosodic and sentiment signal during an active session, strictly opt-in and revocable, feeding the existing Clarification Generation Engine as an additional signal rather than a new decision-making system, and never presented as a certain reading of the user's actual internal state. Ingested-content voice analysis required no new architecture and none was added; only the live-user gap was genuinely open.</w:t>
      </w:r>
    </w:p>
    <w:p>
      <w:pPr>
        <w:pStyle w:val="Heading1"/>
        <w:spacing w:after="120" w:before="240" w:line="288" w:lineRule="auto"/>
      </w:pPr>
      <w:r>
        <w:rPr>
          <w:rFonts w:ascii="Calibri" w:cs="Calibri" w:eastAsia="Calibri" w:hAnsi="Calibri"/>
          <w:color w:val="000000"/>
          <w:sz w:val="48"/>
          <w:szCs w:val="48"/>
        </w:rPr>
        <w:t xml:space="preserve">Chapter 88: Contextual Commerce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an optional, operator-configured layer that surfaces commercial content — author/publisher-linked products or third-party affiliate content — based on the concept(s) a query resolves to, structurally separated from the grounded answer itself. This chapter exists specifically to allow commerce and advertising in the design without weakening the structural-groundedness guarantee of Chapter 16, or the Prime Directive of Domain 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STRUCTURAL SEPARATION, NOT POLICY SEPARATION</w:t>
            </w:r>
            <w:r>
              <w:rPr>
                <w:rFonts w:ascii="Calibri" w:cs="Calibri" w:eastAsia="Calibri" w:hAnsi="Calibri"/>
                <w:b/>
                <w:bCs/>
                <w:i w:val="false"/>
                <w:iCs w:val="false"/>
                <w:strike w:val="false"/>
                <w:color w:val="333333"/>
                <w:sz w:val="24"/>
                <w:szCs w:val="24"/>
              </w:rPr>
              <w:t xml:space="preserve">The grounded answer's Fact Unit retrieval, ranking, and ConfidenceScore computation are completed and finalized before the Contextual Commerce Layer is invoked at all. The commerce layer receives the query's resolved concept_id(s) as read-only input and has no write path back into retrieval, ranking, or generation. This is a structural guarantee enforced by pipeline ordering, not a policy instruction that could be misconfigured or bypassed.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 Trigger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query's resolved concept_id(s) — produced by the same Ontology Mesh classification already used for retrieval (Chapter 6, §19 of the patent) — are matched against a commerce content registry to identify candidate commercial content. No new classification mechanism is introduced; the trigger reuses concept resolution that already happens for every query regardless of whether this layer is enabled.</w:t>
      </w:r>
    </w:p>
    <w:p>
      <w:pPr>
        <w:pStyle w:val="Heading2"/>
        <w:spacing w:after="120" w:before="240" w:line="288" w:lineRule="auto"/>
      </w:pPr>
      <w:r>
        <w:rPr>
          <w:rFonts w:ascii="Calibri" w:cs="Calibri" w:eastAsia="Calibri" w:hAnsi="Calibri"/>
          <w:color w:val="000000"/>
          <w:sz w:val="36"/>
          <w:szCs w:val="36"/>
        </w:rPr>
        <w:t xml:space="preserve">88.2 Commerce Source Types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Author/Publisher-Linked: an author or publisher registers their own related titles or products against specific concept_ids within their own published content's scope, using the same rights-holder identity already established for that content (Chapter 60).</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Affiliate/Ad Network: an operator registers an external commerce or advertising network through the same capability-declared connector architecture used for any other external system (§49.3.3), receiving concept_id-scoped requests and returning candidate commercial content, never given access to the query text, the grounded answer, or any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operator may enable either source type independently, both simultaneously, or neither — this chapter is fully inert by default in every deployment, consistent with the opt-in-by-default posture already applied to §36.1.1 (ZKE) and Chapter 87 (voice signal analysis).</w:t>
      </w:r>
    </w:p>
    <w:p>
      <w:pPr>
        <w:pStyle w:val="Heading2"/>
        <w:spacing w:after="120" w:before="240" w:line="288" w:lineRule="auto"/>
      </w:pPr>
      <w:r>
        <w:rPr>
          <w:rFonts w:ascii="Calibri" w:cs="Calibri" w:eastAsia="Calibri" w:hAnsi="Calibri"/>
          <w:color w:val="000000"/>
          <w:sz w:val="36"/>
          <w:szCs w:val="36"/>
        </w:rPr>
        <w:t xml:space="preserve">88.3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is rendered in a distinct, labeled region of the response, never interleaved into the grounded answer's own sentences or citations. The label distinguishes the content's source (author/publisher vs. third-party) to the reader. No commercial content may be presented in a form indistinguishable from a Fact-Unit-grounded assertion.</w:t>
      </w:r>
    </w:p>
    <w:p>
      <w:pPr>
        <w:pStyle w:val="Heading2"/>
        <w:spacing w:after="120" w:before="240" w:line="288" w:lineRule="auto"/>
      </w:pPr>
      <w:r>
        <w:rPr>
          <w:rFonts w:ascii="Calibri" w:cs="Calibri" w:eastAsia="Calibri" w:hAnsi="Calibri"/>
          <w:color w:val="000000"/>
          <w:sz w:val="36"/>
          <w:szCs w:val="36"/>
        </w:rPr>
        <w:t xml:space="preserve">88.4 Operator Visibility and Audit Log</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commercial content display event is logged, queryable by the operator, and includes: the triggering concept_id(s); the specific commercial content displayed; its source type (author/publisher or third-party network) and, where third-party, the registered network's identity; and the display timestamp. This follows the same logged-with-identity-and-reason discipline already applied to moderation actions (§64.4) and improvement-proposal decisions (Claim 9) — full operator visibility is a design requirement, not an optional enhancement.</w:t>
      </w:r>
    </w:p>
    <w:p>
      <w:pPr>
        <w:pStyle w:val="Heading2"/>
        <w:spacing w:after="120" w:before="240" w:line="288" w:lineRule="auto"/>
      </w:pPr>
      <w:r>
        <w:rPr>
          <w:rFonts w:ascii="Calibri" w:cs="Calibri" w:eastAsia="Calibri" w:hAnsi="Calibri"/>
          <w:color w:val="000000"/>
          <w:sz w:val="36"/>
          <w:szCs w:val="36"/>
        </w:rPr>
        <w:t xml:space="preserve">88.5 Non-Interference Guarantee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commercial signal — including payment, bid, or affiliate-fee information — is a permitted input to Fact Unit retrieval, the Attractor Network's convergence process, ConfidenceScore calculation, or the grounded generation pipeline's vocabulary constraint, under any operator configuration. This guarantee holds regardless of which commerce source type is enabled, and is not configurable by the operator — unlike §88.2's source-type selection, this section is not a deployment choice.</w:t>
      </w:r>
    </w:p>
    <w:p>
      <w:pPr>
        <w:pStyle w:val="Heading2"/>
        <w:spacing w:after="120" w:before="240" w:line="288" w:lineRule="auto"/>
      </w:pPr>
      <w:r>
        <w:rPr>
          <w:rFonts w:ascii="Calibri" w:cs="Calibri" w:eastAsia="Calibri" w:hAnsi="Calibri"/>
          <w:color w:val="000000"/>
          <w:sz w:val="36"/>
          <w:szCs w:val="36"/>
        </w:rPr>
        <w:t xml:space="preserve">88.8 Commerce Processing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this section names a Commerce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Commerce Slice</w:t>
            </w:r>
          </w:p>
        </w:tc>
        <w:tc>
          <w:tcPr>
            <w:tcW w:type="pct" w:w="33%"/>
          </w:tcPr>
          <w:p>
            <w:r>
              <w:rPr>
                <w:rFonts w:ascii="Calibri" w:cs="Calibri" w:eastAsia="Calibri" w:hAnsi="Calibri"/>
                <w:b w:val="false"/>
                <w:bCs w:val="false"/>
                <w:i w:val="false"/>
                <w:iCs w:val="false"/>
                <w:strike w:val="false"/>
                <w:color w:val="000000"/>
                <w:sz w:val="19"/>
                <w:szCs w:val="19"/>
              </w:rPr>
              <w:t xml:space="preserve">Contextual Commerce Layer (Chapter 88)</w:t>
            </w:r>
          </w:p>
        </w:tc>
        <w:tc>
          <w:tcPr>
            <w:tcW w:type="pct" w:w="33%"/>
          </w:tcPr>
          <w:p>
            <w:r>
              <w:rPr>
                <w:rFonts w:ascii="Calibri" w:cs="Calibri" w:eastAsia="Calibri" w:hAnsi="Calibri"/>
                <w:b w:val="false"/>
                <w:bCs w:val="false"/>
                <w:i w:val="false"/>
                <w:iCs w:val="false"/>
                <w:strike w:val="false"/>
                <w:color w:val="000000"/>
                <w:sz w:val="19"/>
                <w:szCs w:val="19"/>
              </w:rPr>
              <w:t xml:space="preserve">One concept-match lookup against the commerce content registry; one external affiliate-network round-trip (§88.2).</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Commerce Slice is strictly lower priority than every safety-relevant category. Consistent with Chapter 69's existing priority ordering (Safety Gate and Recovery Slices always scheduled first), a Commerce Slice is never permitted to delay, preempt, or compete for the same processing window as a Safety Gate Slice, a Recovery Slice, or the grounded-answer generation itself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Boundedness: a Commerce Slice measures exactly one concept-match-to-display cycle — lookup, optional external round-trip, and selection (§88.9) — following the same fixed-envelope, four-phase lifecycle pattern already established for every other Slice Category in Chapter 69.</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Commerce Slice fails to complete within its bounded envelope — for example, an unresponsive third-party network — the commerce region of the response is omitted silently from the reader's perspective; a failed or slow Commerce Slice never delays, blocks, or degrades delivery of the grounded answer, which has already completed independently of this chapter per §88's non-interference guarantee.</w:t>
      </w:r>
    </w:p>
    <w:p>
      <w:pPr>
        <w:pStyle w:val="Heading2"/>
        <w:spacing w:after="120" w:before="240" w:line="288" w:lineRule="auto"/>
      </w:pPr>
      <w:r>
        <w:rPr>
          <w:rFonts w:ascii="Calibri" w:cs="Calibri" w:eastAsia="Calibri" w:hAnsi="Calibri"/>
          <w:color w:val="000000"/>
          <w:sz w:val="36"/>
          <w:szCs w:val="36"/>
        </w:rPr>
        <w:t xml:space="preserve">88.9 Commercial Content Selection Weighting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more than one candidate commercial item matches a query's resolved concept identifier — for example, an author-linked title and a third-party affiliate product both registered against the same concept — a selection weighting determines which candidate, or candidates, are displayed. This section specifies that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Weighted factors: relevance (the specificity of the match between the candidate's registered concept scope and the query's resolved concept identifier), a source-priority weight (operator-configurable, permitting an operator to prefer author/publisher-linked content over third-party content or vice versa), and, for third-party sources specifically, a bid or revenue-share value supplied by the registered affiliate network at request time.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Operator configurability: the specific numeric weight assigned to each factor is operator-configurable per deployment, since commerce and monetization strategy legitimately varies by operator. What is not configurable is the timing guarantee of §88 — selection weighting operates only after the grounded answer has already completed, over candidates already gathered via §88.1's concept match, and has no access to and no effect on the grounded answer's own Fact Units, ranking, or ConfidenceScore.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MONETIZATION WEIGHTING IS SCOPED ENTIRELY WITHIN THE COMMERCE LAYER</w:t>
            </w:r>
            <w:r>
              <w:rPr>
                <w:rFonts w:ascii="Calibri" w:cs="Calibri" w:eastAsia="Calibri" w:hAnsi="Calibri"/>
                <w:b/>
                <w:bCs/>
                <w:i w:val="false"/>
                <w:iCs w:val="false"/>
                <w:strike w:val="false"/>
                <w:color w:val="333333"/>
                <w:sz w:val="24"/>
                <w:szCs w:val="24"/>
              </w:rPr>
              <w:t xml:space="preserve">A bid value, revenue-share percentage, or source-priority weight is a valid input to which commercial candidate is selected. It is never a valid input, under any operator configuration, to which Fact Unit is retrieved, how a Fact Unit is ranked, or what a Fact Unit's ConfidenceScore is. §88.5's non-interference guarantee governs this section exactly as it governs §88.1–§88.4.</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Logging: the selection weighting's outcome — which candidate was selected and the weighted factors contributing to that selection — is included in the same operator-queryable audit log already required at §88.4, so an operator tuning monetization performance has the same visibility into selection as into triggering.</w:t>
      </w:r>
    </w:p>
    <w:p>
      <w:pPr>
        <w:pStyle w:val="Heading2"/>
        <w:spacing w:after="120" w:before="240" w:line="288" w:lineRule="auto"/>
      </w:pPr>
      <w:r>
        <w:rPr>
          <w:rFonts w:ascii="Calibri" w:cs="Calibri" w:eastAsia="Calibri" w:hAnsi="Calibri"/>
          <w:color w:val="000000"/>
          <w:sz w:val="36"/>
          <w:szCs w:val="36"/>
        </w:rPr>
        <w:t xml:space="preserve">88.10 Commerce Optimization Proposals</w:t>
      </w:r>
    </w:p>
    <w:p>
      <w:pPr>
        <w:spacing w:after="120" w:line="360" w:lineRule="auto"/>
      </w:pPr>
      <w:r>
        <w:rPr>
          <w:rFonts w:ascii="Calibri" w:cs="Calibri" w:eastAsia="Calibri" w:hAnsi="Calibri"/>
          <w:b w:val="false"/>
          <w:bCs w:val="false"/>
          <w:i w:val="false"/>
          <w:iCs w:val="false"/>
          <w:strike w:val="false"/>
          <w:color w:val="000000"/>
          <w:sz w:val="22"/>
          <w:szCs w:val="22"/>
        </w:rPr>
        <w:t xml:space="preserve">Ongoing optimization of commerce targeting, bidding, and placement is a real capability of this layer — but it is reached exclusively through the Improvement Proposal Pipeline already specified at Chapter 66, never through a parallel or shortened path. This section states how the two connect; it modifies neither Chapter 66's mechanism nor Chapter 88's own non-interference guarantee.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SHORTCUT, ON THE SAME TERMS AS EVERY OTHER SUBSYSTEM</w:t>
            </w:r>
            <w:r>
              <w:rPr>
                <w:rFonts w:ascii="Calibri" w:cs="Calibri" w:eastAsia="Calibri" w:hAnsi="Calibri"/>
                <w:b/>
                <w:bCs/>
                <w:i w:val="false"/>
                <w:iCs w:val="false"/>
                <w:strike w:val="false"/>
                <w:color w:val="333333"/>
                <w:sz w:val="24"/>
                <w:szCs w:val="24"/>
              </w:rPr>
              <w:t xml:space="preserve">A proposal to change commerce targeting weights, source-priority defaults, or bidding behavior is a Proposal Fact Unit under §66.2, evaluated in the Simulation Sandbox (§66.3), subject to Automated Pre-Screening (§66.4), and requires the same named, individually-accountable human approval at the Human Review Gate (§66.5) as any other proposal in this Bible. There is no commerce-specific fast path, no autonomous canary rollout, and no agent authority to deploy a change directly — deployment occurs only through §66.6, after human approval, on the same terms as every other approved proposal.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Candidate identification: a subsystem-scoped monitoring agent, following the same pattern already specified at Chapter 78, may analyze Commerce Slice telemetry (§88.8) and selection-weighting outcomes (§88.9) to identify a candidate optimization — for example, a proposed adjustment to a source-priority default or a targeting-relevance threshold. Consistent with Chapter 78, this agent has no self-approval or peer-approval authority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Proposal scope: a Commerce Optimization Proposal's scope is limited to parameters already specified within this chapter — the weighted factors of §88.9, source registration of §88.2, and Commerce Slice scheduling parameters within the bound already fixed at §88.8. A proposal scoped to retrieval, ranking, generation, or any Fact Unit is not a valid Commerce Optimization Proposal and is rejected at Automated Pre-Screening — this was already structurally impossible under §88.5, and this section does not weaken that guarantee, only states the pipeline explicitly.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Permanent exclusion, stated here and cross-referenced from Chapter 66: the non-interference guarantee of §88.5 and the priority ordering of §88.8 (that a Commerce Slice is never scheduled ahead of a safety-relevant compute-accounting unit) join Chapter 66's own §66.8 Permanent Exclusions on identical terms — never a valid Proposal Scope, under any Fitness Score, Risk Profile, or reviewer judgment, regardless of the commercial benefit a proposal might otherwise demonstrate.</w:t>
      </w:r>
    </w:p>
    <w:p>
      <w:pPr>
        <w:pStyle w:val="Heading2"/>
        <w:spacing w:after="120" w:before="240" w:line="288" w:lineRule="auto"/>
      </w:pPr>
      <w:r>
        <w:rPr>
          <w:rFonts w:ascii="Calibri" w:cs="Calibri" w:eastAsia="Calibri" w:hAnsi="Calibri"/>
          <w:color w:val="000000"/>
          <w:sz w:val="36"/>
          <w:szCs w:val="36"/>
        </w:rPr>
        <w:t xml:space="preserve">88.11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Ontology Mesh's concept classification (Chapter 6, §19 of the patent), the Source Connector Registry (§49.3.3), and the rights-holder identity established in Chapter 60. It modifies none of their specifications, and modifies nothing in the grounded generation pipeline of Chapter 16 — the pipeline completes its own operation with no awareness this chapter exists.</w:t>
      </w:r>
    </w:p>
    <w:p>
      <w:pPr>
        <w:pStyle w:val="Heading2"/>
        <w:spacing w:after="120" w:before="240" w:line="288" w:lineRule="auto"/>
      </w:pPr>
      <w:r>
        <w:rPr>
          <w:rFonts w:ascii="Calibri" w:cs="Calibri" w:eastAsia="Calibri" w:hAnsi="Calibri"/>
          <w:color w:val="000000"/>
          <w:sz w:val="36"/>
          <w:szCs w:val="36"/>
        </w:rPr>
        <w:t xml:space="preserve">88.12 Merchandise Commerce and Fulfillment Handoff</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previously-pending general-merchandise item by scoping it narrowly: merchandise — author/publisher-branded or third-party, at the operator's choice per deployment, per §88.2 — is a valid commerce content type under this chapter, subject to the same structural separation, source labeling, and audit logging already specified for every other commerce content type. What makes merchandise different is payment and fulfillment, addressed directly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IS THE REFERRING PARTY, NEVER THE PAYMENT PROCESSOR OR FULFILLMENT OPERATOR</w:t>
            </w:r>
            <w:r>
              <w:rPr>
                <w:rFonts w:ascii="Calibri" w:cs="Calibri" w:eastAsia="Calibri" w:hAnsi="Calibri"/>
                <w:b/>
                <w:bCs/>
                <w:i w:val="false"/>
                <w:iCs w:val="false"/>
                <w:strike w:val="false"/>
                <w:color w:val="333333"/>
                <w:sz w:val="24"/>
                <w:szCs w:val="24"/>
              </w:rPr>
              <w:t xml:space="preserve">For both author/publisher-branded and third-party merchandise, the actual purchase transaction — payment capture, sales-tax handling, inventory, shipping, customs, and returns — is completed entirely on an external, independently-operated commerce platform's own infrastructure, reached through a handoff from the displayed commerce region. QueryBook's own role ends at the referral. QueryBook does not capture, transmit, or store payment card data at any point, does not act as a merchant of record, and does not operate fulfillment or shipping logistics under any operator configuration. This is not a configurable choice — unlike §88.2's source-type selection, an operator cannot enable a QueryBook-native checkout in place of this handoff model.</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Handoff mechanism: reuses the Source Connector Registry (§49.3.3) already specified for every other external system — a registered commerce platform (an author's own storefront, a publisher's e-commerce system, or a general third-party platform) receives a scoped referral request and returns a handoff destination; QueryBook plays no role in what happens after the handoff completes.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Author/publisher-branded merchandise: registered against specific concept_ids within that rights holder's own content scope, using the same rights-holder identity already established in Chapter 60 — no new identity or authorization mechanism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Third-party general merchandise: registered as a third-party affiliate source under §88.2, subject to the same non-interference guarantee (§88.5) and Commerce Slice metering (§88.8) as any other third-party commerce content — general merchandise is not a special case requiring new architecture, only a new content category within what already exists.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Liability and compliance boundary: because payment and fulfillment never touch QueryBook's own infrastructure, payment-card-industry compliance, money-transmission licensing, sales-tax collection, and shipping/customs liability remain the responsibility of the registered external commerce platform completing the transaction — consistent with the same requesting-party-only posture already established for the blockchain ownership-verification connector (§49.3.3.8).</w:t>
      </w:r>
    </w:p>
    <w:p>
      <w:pPr>
        <w:pStyle w:val="Heading2"/>
        <w:spacing w:after="120" w:before="240" w:line="288" w:lineRule="auto"/>
      </w:pPr>
      <w:r>
        <w:rPr>
          <w:rFonts w:ascii="Calibri" w:cs="Calibri" w:eastAsia="Calibri" w:hAnsi="Calibri"/>
          <w:color w:val="000000"/>
          <w:sz w:val="36"/>
          <w:szCs w:val="36"/>
        </w:rPr>
        <w:t xml:space="preserve">88.13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may now be surfaced based on query subject matter, from either author/publisher or third-party sources at the operator's choice, fully logged and auditable, structurally barred from influencing the grounded answer by pipeline ordering rather than by policy alone.</w:t>
      </w:r>
    </w:p>
    <w:p>
      <w:pPr>
        <w:pStyle w:val="Heading2"/>
        <w:spacing w:after="120" w:before="240" w:line="288" w:lineRule="auto"/>
      </w:pPr>
      <w:r>
        <w:rPr>
          <w:rFonts w:ascii="Calibri" w:cs="Calibri" w:eastAsia="Calibri" w:hAnsi="Calibri"/>
          <w:color w:val="000000"/>
          <w:sz w:val="36"/>
          <w:szCs w:val="36"/>
        </w:rPr>
        <w:t xml:space="preserve">88.13 VR-Specific Commerce 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the VR-specific ad placement exclusion flagged at Chapter 89's original scoping and left deferred since. Commercial content within a VR scene follows exactly the same mechanism already specified at §88.1–§88.5 — concept-triggered matching, presentation as a distinct, labeled region, full audit logging, and the same non-interference guarantee — with VR treated as one more presentation surface, not a separate commerce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PRESENTATION SURFACE, NOT A NEW TARGETING SIGNAL</w:t>
            </w:r>
            <w:r>
              <w:rPr>
                <w:rFonts w:ascii="Calibri" w:cs="Calibri" w:eastAsia="Calibri" w:hAnsi="Calibri"/>
                <w:b/>
                <w:bCs/>
                <w:i w:val="false"/>
                <w:iCs w:val="false"/>
                <w:strike w:val="false"/>
                <w:color w:val="333333"/>
                <w:sz w:val="24"/>
                <w:szCs w:val="24"/>
              </w:rPr>
              <w:t xml:space="preserve">This section adds VR as a place commercial content may be rendered; it adds no new signal for selecting what commercial content to render. Gaze direction, dwell time, spatial proximity within a scene, or any other VR-specific interaction pattern is not used as a targeting input under any configuration of this section — the same concept_id-triggered matching already specified at §88.1 governs selection, identical to every other surface. The reader-profile-based targeting exclusion stated at Chapter 89's original scoping remains in effect and is not reopened by this section.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88.13.1 Presentation Requirement in a 3D Scene</w:t>
      </w:r>
    </w:p>
    <w:p>
      <w:pPr>
        <w:spacing w:after="120" w:line="360" w:lineRule="auto"/>
      </w:pPr>
      <w:r>
        <w:rPr>
          <w:rFonts w:ascii="Calibri" w:cs="Calibri" w:eastAsia="Calibri" w:hAnsi="Calibri"/>
          <w:b w:val="false"/>
          <w:bCs w:val="false"/>
          <w:i w:val="false"/>
          <w:iCs w:val="false"/>
          <w:strike w:val="false"/>
          <w:color w:val="000000"/>
          <w:sz w:val="22"/>
          <w:szCs w:val="22"/>
        </w:rPr>
        <w:t xml:space="preserve">Commercial content within a VR scene renders as a spatially and visually distinct region — never overlaid on, blended into, or occluding the immersive scene content itself — consistent with §88.3's existing requirement that commercial content never be presented in a way that could be mistaken for grounded output, extended here to mean it may also never be mistaken for authored scene content.</w:t>
      </w:r>
    </w:p>
    <w:p>
      <w:pPr>
        <w:pStyle w:val="Heading2"/>
        <w:spacing w:after="120" w:before="240" w:line="288" w:lineRule="auto"/>
      </w:pPr>
      <w:r>
        <w:rPr>
          <w:rFonts w:ascii="Calibri" w:cs="Calibri" w:eastAsia="Calibri" w:hAnsi="Calibri"/>
          <w:color w:val="000000"/>
          <w:sz w:val="36"/>
          <w:szCs w:val="36"/>
        </w:rPr>
        <w:t xml:space="preserve">88.13.2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§88.1–§88.5's existing trigger, presentation, audit, and non-interference mechanisms, and Immersive 3D Scenes (Chapter 46). It modifies none of their specifications.</w:t>
      </w:r>
    </w:p>
    <w:p>
      <w:pPr>
        <w:pStyle w:val="Heading1"/>
        <w:spacing w:after="120" w:before="240" w:line="288" w:lineRule="auto"/>
      </w:pPr>
      <w:r>
        <w:rPr>
          <w:rFonts w:ascii="Calibri" w:cs="Calibri" w:eastAsia="Calibri" w:hAnsi="Calibri"/>
          <w:color w:val="000000"/>
          <w:sz w:val="48"/>
          <w:szCs w:val="48"/>
        </w:rPr>
        <w:t xml:space="preserve">Chapter 89: Native QueryBook Reader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the Native QueryBook Reader: the deployment embodiment through which a reader directly experiences the capabilities already specified elsewhere in this Bible. It introduces no new reasoning, retrieval, or generation mechanism — every capability described here is a rendering or interaction surface over a system already fully specified in an earlier chapter, cited explicitly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DEPLOYMENT EMBODIMENT, NOT A NEW CAPABILITY</w:t>
            </w:r>
            <w:r>
              <w:rPr>
                <w:rFonts w:ascii="Calibri" w:cs="Calibri" w:eastAsia="Calibri" w:hAnsi="Calibri"/>
                <w:b/>
                <w:bCs/>
                <w:i w:val="false"/>
                <w:iCs w:val="false"/>
                <w:strike w:val="false"/>
                <w:color w:val="333333"/>
                <w:sz w:val="24"/>
                <w:szCs w:val="24"/>
              </w:rPr>
              <w:t xml:space="preserve">Every feature in this chapter reuses an already-specified mechanism. Where this chapter says a reader taps a fact to see its citation, that citation is produced by the grounded generation pipeline of Chapter 16; where it says a reader asks a question in natural language, that question is answered by the retrieval and generation architecture of Chapters 3 and 7. This chapter's own content is limited to how those existing capabilities are surfaced to a reader, not what they do.</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89.1 Standards Conformance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a conformant EPUB 3 Reading System under the EPUB Reading Systems 3.3 specification, rendering content authored to the EPUB 3.3 core specification. QueryBook-specific enhancements are carried as ignorable custom data attributes (§89.1.1) on top of standard, valid EPUB 3.3 markup — a Native Reader feature never requires content that is invalid or non-conformant under the base standard.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EPUB Accessibility 1.1, now formally part of the EPUB 3.3 standard rather than a separate specification, is satisfied jointly by standards-conformant markup and the Accessibility Suite already specified at Chapter 71 — the two requirements are treated as one conformance target, not two.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QueryBook-authored EPUB 3.3 publications remain fully valid, renderable content in any conformant third-party Reading System; a non-QueryBook-aware reader displays the underlying content correctly and silently ignores the QueryBook-specific attributes it does not recognize.</w:t>
      </w:r>
    </w:p>
    <w:p>
      <w:pPr>
        <w:pStyle w:val="Heading3"/>
        <w:spacing w:after="120" w:before="200" w:line="288" w:lineRule="auto"/>
      </w:pPr>
      <w:r>
        <w:rPr>
          <w:rFonts w:ascii="Calibri" w:cs="Calibri" w:eastAsia="Calibri" w:hAnsi="Calibri"/>
          <w:color w:val="000000"/>
          <w:sz w:val="28"/>
          <w:szCs w:val="28"/>
        </w:rPr>
        <w:t xml:space="preserve">89.1.1 QueryBook Data Attributes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Attribute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Purpose</w:t>
            </w:r>
          </w:p>
        </w:tc>
      </w:tr>
      <w:tr>
        <w:tc>
          <w:tcPr>
            <w:tcW w:type="pct" w:w="50%"/>
          </w:tcPr>
          <w:p>
            <w:r>
              <w:rPr>
                <w:rFonts w:ascii="Calibri" w:cs="Calibri" w:eastAsia="Calibri" w:hAnsi="Calibri"/>
                <w:b w:val="false"/>
                <w:bCs w:val="false"/>
                <w:i w:val="false"/>
                <w:iCs w:val="false"/>
                <w:strike w:val="false"/>
                <w:color w:val="000000"/>
                <w:sz w:val="19"/>
                <w:szCs w:val="19"/>
              </w:rPr>
              <w:t xml:space="preserve">data-qb-fact-id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the specific FUID (Appendix A) it is grounded in, enabling inline citation and the fact-preview interaction of §89.2.</w:t>
            </w:r>
          </w:p>
        </w:tc>
      </w:tr>
      <w:tr>
        <w:tc>
          <w:tcPr>
            <w:tcW w:type="pct" w:w="50%"/>
          </w:tcPr>
          <w:p>
            <w:r>
              <w:rPr>
                <w:rFonts w:ascii="Calibri" w:cs="Calibri" w:eastAsia="Calibri" w:hAnsi="Calibri"/>
                <w:b w:val="false"/>
                <w:bCs w:val="false"/>
                <w:i w:val="false"/>
                <w:iCs w:val="false"/>
                <w:strike w:val="false"/>
                <w:color w:val="000000"/>
                <w:sz w:val="19"/>
                <w:szCs w:val="19"/>
              </w:rPr>
              <w:t xml:space="preserve">data-qb-entity-id</w:t>
            </w:r>
          </w:p>
        </w:tc>
        <w:tc>
          <w:tcPr>
            <w:tcW w:type="pct" w:w="50%"/>
          </w:tcPr>
          <w:p>
            <w:r>
              <w:rPr>
                <w:rFonts w:ascii="Calibri" w:cs="Calibri" w:eastAsia="Calibri" w:hAnsi="Calibri"/>
                <w:b w:val="false"/>
                <w:bCs w:val="false"/>
                <w:i w:val="false"/>
                <w:iCs w:val="false"/>
                <w:strike w:val="false"/>
                <w:color w:val="000000"/>
                <w:sz w:val="19"/>
                <w:szCs w:val="19"/>
              </w:rPr>
              <w:t xml:space="preserve">Anchors a span of content to an Ontology Mesh concept_id (Chapter 6, §20 of the patent), enabling the diagram and relationship interactions of §89.3.</w:t>
            </w:r>
          </w:p>
        </w:tc>
      </w:tr>
      <w:tr>
        <w:tc>
          <w:tcPr>
            <w:tcW w:type="pct" w:w="50%"/>
          </w:tcPr>
          <w:p>
            <w:r>
              <w:rPr>
                <w:rFonts w:ascii="Calibri" w:cs="Calibri" w:eastAsia="Calibri" w:hAnsi="Calibri"/>
                <w:b w:val="false"/>
                <w:bCs w:val="false"/>
                <w:i w:val="false"/>
                <w:iCs w:val="false"/>
                <w:strike w:val="false"/>
                <w:color w:val="000000"/>
                <w:sz w:val="19"/>
                <w:szCs w:val="19"/>
              </w:rPr>
              <w:t xml:space="preserve">data-qb-timeline-id</w:t>
            </w:r>
          </w:p>
        </w:tc>
        <w:tc>
          <w:tcPr>
            <w:tcW w:type="pct" w:w="50%"/>
          </w:tcPr>
          <w:p>
            <w:r>
              <w:rPr>
                <w:rFonts w:ascii="Calibri" w:cs="Calibri" w:eastAsia="Calibri" w:hAnsi="Calibri"/>
                <w:b w:val="false"/>
                <w:bCs w:val="false"/>
                <w:i w:val="false"/>
                <w:iCs w:val="false"/>
                <w:strike w:val="false"/>
                <w:color w:val="000000"/>
                <w:sz w:val="19"/>
                <w:szCs w:val="19"/>
              </w:rPr>
              <w:t xml:space="preserve">Marks content contributing to the Timeline Reconstruction view of §89.3, resolved from each anchored Fact Unit's TemporalAnchor field.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89.2 Fact-Aware Content Rendering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is rendered from the standard EPUB 3.3 document structure, with every reader-facing interaction traceable back to already-specified mechanism rather than introduced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Standard Q&amp;A (§52.13.2): a reader's natural-language question is answered through the existing retrieval and grounded-generation pipeline, with the response citing the specific Fact Units it was assembled from.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Inline Fact Previews and Contextual Footnotes (§52.13.2.1–.2): tapping or hovering a data-qb-fact-id anchor surfaces the underlying Fact Unit's summary and provenance without leaving the reading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Guided Exploration and Semantic Exploration (§52.13.2): multi-turn, context-aware traversal of the Fact Graph and Ontology Mesh already specified at Chapter 6 and §20 of the patent.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Discussion Mode (§52.13.3): grounded, source-bound viewpoint reasoning, rendered as an alternate reading mode rather than a separate application.</w:t>
      </w:r>
    </w:p>
    <w:p>
      <w:pPr>
        <w:pStyle w:val="Heading2"/>
        <w:spacing w:after="120" w:before="240" w:line="288" w:lineRule="auto"/>
      </w:pPr>
      <w:r>
        <w:rPr>
          <w:rFonts w:ascii="Calibri" w:cs="Calibri" w:eastAsia="Calibri" w:hAnsi="Calibri"/>
          <w:color w:val="000000"/>
          <w:sz w:val="36"/>
          <w:szCs w:val="36"/>
        </w:rPr>
        <w:t xml:space="preserve">89.3 Timeline and Diagram Views</w:t>
      </w:r>
    </w:p>
    <w:p>
      <w:pPr>
        <w:spacing w:after="120" w:line="360" w:lineRule="auto"/>
      </w:pPr>
      <w:r>
        <w:rPr>
          <w:rFonts w:ascii="Calibri" w:cs="Calibri" w:eastAsia="Calibri" w:hAnsi="Calibri"/>
          <w:b w:val="false"/>
          <w:bCs w:val="false"/>
          <w:i w:val="false"/>
          <w:iCs w:val="false"/>
          <w:strike w:val="false"/>
          <w:color w:val="000000"/>
          <w:sz w:val="22"/>
          <w:szCs w:val="22"/>
        </w:rPr>
        <w:t xml:space="preserve">Two structured, non-linear views over the same underlying Fact Graph a reader is already reading linearly.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 Reconstruction (§52.13.2): chronological ordering of data-qb-timeline-id-anchored content, resolved from each Fact Unit's TemporalAnchor field — no new temporal representation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Graph Visualization (§52.13.2.2): a direct, navigable rendering of the Ontology Mesh's real graph structure (Chapter 6) local to the reader's current position, not a separate or simplified representation of it.</w:t>
      </w:r>
    </w:p>
    <w:p>
      <w:pPr>
        <w:pStyle w:val="Heading2"/>
        <w:spacing w:after="120" w:before="240" w:line="288" w:lineRule="auto"/>
      </w:pPr>
      <w:r>
        <w:rPr>
          <w:rFonts w:ascii="Calibri" w:cs="Calibri" w:eastAsia="Calibri" w:hAnsi="Calibri"/>
          <w:color w:val="000000"/>
          <w:sz w:val="36"/>
          <w:szCs w:val="36"/>
        </w:rPr>
        <w:t xml:space="preserve">89.4 NLPL Command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surface accepting natural-language instructions compiled through the existing NLPL-to-QBPL pipeline (Chapter 48) — never through FQL, which remains UFCS's separately-owned technology and is not part of the Native Reader's own architecture regardless of whether an operator has registered an optional UFCS connection (Chapter 81). A command such as “summarize this chapter” or “show all facts about X” compiles to the same bounded, non-Turing-complete program representation already specified at §48.3 and §48.5, subject to the same Verification Gate (§51.4) as any other QBPL program.</w:t>
      </w:r>
    </w:p>
    <w:p>
      <w:pPr>
        <w:pStyle w:val="Heading2"/>
        <w:spacing w:after="120" w:before="240" w:line="288" w:lineRule="auto"/>
      </w:pPr>
      <w:r>
        <w:rPr>
          <w:rFonts w:ascii="Calibri" w:cs="Calibri" w:eastAsia="Calibri" w:hAnsi="Calibri"/>
          <w:color w:val="000000"/>
          <w:sz w:val="36"/>
          <w:szCs w:val="36"/>
        </w:rPr>
        <w:t xml:space="preserve">89.5 Adaptive Learning Integration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Tutorial Mode and Comprehension Check (§52.13.2): sequenced instruction and auto-generated assessment drawn from the same Fact Graph as ordinary reading, not a separate content track.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Flashcard Generation (§52.13.2.1): single-Fact-Unit derivation, available inline from any fact-anchored span.</w:t>
      </w:r>
    </w:p>
    <w:p>
      <w:pPr>
        <w:pStyle w:val="Heading2"/>
        <w:spacing w:after="120" w:before="240" w:line="288" w:lineRule="auto"/>
      </w:pPr>
      <w:r>
        <w:rPr>
          <w:rFonts w:ascii="Calibri" w:cs="Calibri" w:eastAsia="Calibri" w:hAnsi="Calibri"/>
          <w:color w:val="000000"/>
          <w:sz w:val="36"/>
          <w:szCs w:val="36"/>
        </w:rPr>
        <w:t xml:space="preserve">89.6 Personal Annotation and Social Features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Personal Notes (Chapter 63) and Social Annotations (§52.13.2.1): private and shared annotation, respectively, scoped exactly as already specified — the Native Reader introduces no new sharing or visibility model.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Message Boards and Private Messaging (Chapter 64, §82.2): book-, chapter-, and class-scoped discussion, rendered as a panel alongside the reading surface rather than a separate application.</w:t>
      </w:r>
    </w:p>
    <w:p>
      <w:pPr>
        <w:pStyle w:val="Heading2"/>
        <w:spacing w:after="120" w:before="240" w:line="288" w:lineRule="auto"/>
      </w:pPr>
      <w:r>
        <w:rPr>
          <w:rFonts w:ascii="Calibri" w:cs="Calibri" w:eastAsia="Calibri" w:hAnsi="Calibri"/>
          <w:color w:val="000000"/>
          <w:sz w:val="36"/>
          <w:szCs w:val="36"/>
        </w:rPr>
        <w:t xml:space="preserve">89.7 Reader History and Personalization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Reader History Interface (§36.8): the four existing aggregation views (Timeline, By-Book, Thematic Map, Annotation Library), ZKE-respecting per §36.1.1 — the Native Reader adds no new history mechanism, only its display surface.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Presentation-layer personalization is governed by the Natural Language Interaction Layer (Chapter 50): the underlying Fact, its confidence score, and its provenance are never altered by personalization — only phrasing and structure adapt.</w:t>
      </w:r>
    </w:p>
    <w:p>
      <w:pPr>
        <w:pStyle w:val="Heading2"/>
        <w:spacing w:after="120" w:before="240" w:line="288" w:lineRule="auto"/>
      </w:pPr>
      <w:r>
        <w:rPr>
          <w:rFonts w:ascii="Calibri" w:cs="Calibri" w:eastAsia="Calibri" w:hAnsi="Calibri"/>
          <w:color w:val="000000"/>
          <w:sz w:val="36"/>
          <w:szCs w:val="36"/>
        </w:rPr>
        <w:t xml:space="preserve">89.8 Commerce Integration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an operator has enabled the Contextual Commerce Layer (Chapter 88), the Native Reader renders its output exactly as that chapter specifies: a distinct, source-labeled region separate from the reading surface, triggered by the query's resolved concept identifier, never by a persistent reader profile. The Native Reader introduces no additional commerce mechanism, no reader-profile-based targeting, and no VR-specific ad placement — both were identified as requiring their own scoping and neither is included here.</w:t>
      </w:r>
    </w:p>
    <w:p>
      <w:pPr>
        <w:pStyle w:val="Heading2"/>
        <w:spacing w:after="120" w:before="240" w:line="288" w:lineRule="auto"/>
      </w:pPr>
      <w:r>
        <w:rPr>
          <w:rFonts w:ascii="Calibri" w:cs="Calibri" w:eastAsia="Calibri" w:hAnsi="Calibri"/>
          <w:color w:val="000000"/>
          <w:sz w:val="36"/>
          <w:szCs w:val="36"/>
        </w:rPr>
        <w:t xml:space="preserve">89.9 Offline and Synchronized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operates under the synchronization modes already specified at Chapter 68, including fully disconnected operation against a locally-held Fact Graph, with query execution, provenance verification, and access control continuing to function exactly as specified there. No reader-specific synchronization behavior is introduced.</w:t>
      </w:r>
    </w:p>
    <w:p>
      <w:pPr>
        <w:pStyle w:val="Heading2"/>
        <w:spacing w:after="120" w:before="240" w:line="288" w:lineRule="auto"/>
      </w:pPr>
      <w:r>
        <w:rPr>
          <w:rFonts w:ascii="Calibri" w:cs="Calibri" w:eastAsia="Calibri" w:hAnsi="Calibri"/>
          <w:color w:val="000000"/>
          <w:sz w:val="36"/>
          <w:szCs w:val="36"/>
        </w:rPr>
        <w:t xml:space="preserve">89.10 Event Telemetry</w:t>
      </w:r>
    </w:p>
    <w:p>
      <w:pPr>
        <w:spacing w:after="120" w:line="360" w:lineRule="auto"/>
      </w:pPr>
      <w:r>
        <w:rPr>
          <w:rFonts w:ascii="Calibri" w:cs="Calibri" w:eastAsia="Calibri" w:hAnsi="Calibri"/>
          <w:b w:val="false"/>
          <w:bCs w:val="false"/>
          <w:i w:val="false"/>
          <w:iCs w:val="false"/>
          <w:strike w:val="false"/>
          <w:color w:val="000000"/>
          <w:sz w:val="22"/>
          <w:szCs w:val="22"/>
        </w:rPr>
        <w:t xml:space="preserve">Reader interaction events (page position, dwell, fact-anchor activation, NLPL command issuance) are measured under the existing Processor Slice Measurement Model (Chapter 69), following the same extension pattern already used for the Commerce Slice (§88.8): a Reader Interaction Slice is named here, scheduled below every safety-relevant compute-accounting category, without modifying Chapter 69's own specification.</w:t>
      </w:r>
    </w:p>
    <w:p>
      <w:pPr>
        <w:pStyle w:val="Heading2"/>
        <w:spacing w:after="120" w:before="240" w:line="288" w:lineRule="auto"/>
      </w:pPr>
      <w:r>
        <w:rPr>
          <w:rFonts w:ascii="Calibri" w:cs="Calibri" w:eastAsia="Calibri" w:hAnsi="Calibri"/>
          <w:color w:val="000000"/>
          <w:sz w:val="36"/>
          <w:szCs w:val="36"/>
        </w:rPr>
        <w:t xml:space="preserve">89.11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EPUB 3.3, EPUB Reading Systems 3.3, and EPUB Accessibility 1.1 conformance; the Fact Unit schema (Appendix A); the Ontology Mesh (Chapter 6, §20 of the patent); NLPL and QBPL (Chapter 48); the Accessibility Suite (Chapter 71); Personal Notes and Message Boards (Chapters 63–64); the Reader History Interface (§36.8); the Natural Language Interaction Layer (Chapter 50); the Contextual Commerce Layer (Chapter 88); the Synchronization and Offline Operation Layer (Chapter 68); and the Processor Slice Measurement Model (Chapter 69). It modifies none of their specifications.</w:t>
      </w:r>
    </w:p>
    <w:p>
      <w:pPr>
        <w:pStyle w:val="Heading2"/>
        <w:spacing w:after="120" w:before="240" w:line="288" w:lineRule="auto"/>
      </w:pPr>
      <w:r>
        <w:rPr>
          <w:rFonts w:ascii="Calibri" w:cs="Calibri" w:eastAsia="Calibri" w:hAnsi="Calibri"/>
          <w:color w:val="000000"/>
          <w:sz w:val="36"/>
          <w:szCs w:val="36"/>
        </w:rPr>
        <w:t xml:space="preserve">89.12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Native Reader is fully specified as a standards-conformant rendering and interaction surface over capabilities already established elsewhere in this Bible. No new reasoning, retrieval, generation, commerce, or personalization mechanism is introduced in this chapter; every feature is a citation to where its real specification already lives.</w:t>
      </w:r>
    </w:p>
    <w:p>
      <w:pPr>
        <w:pStyle w:val="Heading1"/>
        <w:spacing w:after="120" w:before="240" w:line="288" w:lineRule="auto"/>
      </w:pPr>
      <w:r>
        <w:rPr>
          <w:rFonts w:ascii="Calibri" w:cs="Calibri" w:eastAsia="Calibri" w:hAnsi="Calibri"/>
          <w:color w:val="000000"/>
          <w:sz w:val="48"/>
          <w:szCs w:val="48"/>
        </w:rPr>
        <w:t xml:space="preserve">Chapter 90: Deployment Modes and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three deployment modes for the same logical architecture, and a Domain Package mechanism for curating scoped content, fact, language, and commerce bundles per environment. It introduces one new mechanism (Domain Packages, §90.3) and otherwise reuses already-specified architecture, cited rather than restated.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NO NEW LICENSE TYPE, NO NEW SYNC MECHANISM, NO NEW FACT SERVICE</w:t>
            </w:r>
            <w:r>
              <w:rPr>
                <w:rFonts w:ascii="Calibri" w:cs="Calibri" w:eastAsia="Calibri" w:hAnsi="Calibri"/>
                <w:b/>
                <w:bCs/>
                <w:i w:val="false"/>
                <w:iCs w:val="false"/>
                <w:strike w:val="false"/>
                <w:color w:val="333333"/>
                <w:sz w:val="24"/>
                <w:szCs w:val="24"/>
              </w:rPr>
              <w:t xml:space="preserve">This chapter does not introduce a Classroom or Institution license type, a new synchronization mechanism, or a service parallel to the native Fact Service already specified at Chapter 3. Multi-user and classroom scenarios are supported by the existing SeatCount mechanism (§67.2) combined with the existing Instructor grant (§65.3); synchronization reuses Chapter 68 exactly as specified; and every deployment mode operates on QueryBook's own native Fact Unit architecture, never a UFCS-backed one — UFCS remains the optional, external, non-dependency resource specified at Chapter 81.</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90.1 Three Deployment Modes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Mode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Where It Runs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Illustrative Use Case</w:t>
            </w:r>
          </w:p>
        </w:tc>
      </w:tr>
      <w:tr>
        <w:tc>
          <w:tcPr>
            <w:tcW w:type="pct" w:w="33%"/>
          </w:tcPr>
          <w:p>
            <w:r>
              <w:rPr>
                <w:rFonts w:ascii="Calibri" w:cs="Calibri" w:eastAsia="Calibri" w:hAnsi="Calibri"/>
                <w:b w:val="false"/>
                <w:bCs w:val="false"/>
                <w:i w:val="false"/>
                <w:iCs w:val="false"/>
                <w:strike w:val="false"/>
                <w:color w:val="000000"/>
                <w:sz w:val="19"/>
                <w:szCs w:val="19"/>
              </w:rPr>
              <w:t xml:space="preserve">Cloud SaaS</w:t>
            </w:r>
          </w:p>
        </w:tc>
        <w:tc>
          <w:tcPr>
            <w:tcW w:type="pct" w:w="33%"/>
          </w:tcPr>
          <w:p>
            <w:r>
              <w:rPr>
                <w:rFonts w:ascii="Calibri" w:cs="Calibri" w:eastAsia="Calibri" w:hAnsi="Calibri"/>
                <w:b w:val="false"/>
                <w:bCs w:val="false"/>
                <w:i w:val="false"/>
                <w:iCs w:val="false"/>
                <w:strike w:val="false"/>
                <w:color w:val="000000"/>
                <w:sz w:val="19"/>
                <w:szCs w:val="19"/>
              </w:rPr>
              <w:t xml:space="preserve">Centrally hosted, multi-tenant</w:t>
            </w:r>
          </w:p>
        </w:tc>
        <w:tc>
          <w:tcPr>
            <w:tcW w:type="pct" w:w="33%"/>
          </w:tcPr>
          <w:p>
            <w:r>
              <w:rPr>
                <w:rFonts w:ascii="Calibri" w:cs="Calibri" w:eastAsia="Calibri" w:hAnsi="Calibri"/>
                <w:b w:val="false"/>
                <w:bCs w:val="false"/>
                <w:i w:val="false"/>
                <w:iCs w:val="false"/>
                <w:strike w:val="false"/>
                <w:color w:val="000000"/>
                <w:sz w:val="19"/>
                <w:szCs w:val="19"/>
              </w:rPr>
              <w:t xml:space="preserve">Globally connected institutions</w:t>
            </w:r>
          </w:p>
        </w:tc>
      </w:tr>
      <w:tr>
        <w:tc>
          <w:tcPr>
            <w:tcW w:type="pct" w:w="33%"/>
          </w:tcPr>
          <w:p>
            <w:r>
              <w:rPr>
                <w:rFonts w:ascii="Calibri" w:cs="Calibri" w:eastAsia="Calibri" w:hAnsi="Calibri"/>
                <w:b w:val="false"/>
                <w:bCs w:val="false"/>
                <w:i w:val="false"/>
                <w:iCs w:val="false"/>
                <w:strike w:val="false"/>
                <w:color w:val="000000"/>
                <w:sz w:val="19"/>
                <w:szCs w:val="19"/>
              </w:rPr>
              <w:t xml:space="preserve">Local Server</w:t>
            </w:r>
          </w:p>
        </w:tc>
        <w:tc>
          <w:tcPr>
            <w:tcW w:type="pct" w:w="33%"/>
          </w:tcPr>
          <w:p>
            <w:r>
              <w:rPr>
                <w:rFonts w:ascii="Calibri" w:cs="Calibri" w:eastAsia="Calibri" w:hAnsi="Calibri"/>
                <w:b w:val="false"/>
                <w:bCs w:val="false"/>
                <w:i w:val="false"/>
                <w:iCs w:val="false"/>
                <w:strike w:val="false"/>
                <w:color w:val="000000"/>
                <w:sz w:val="19"/>
                <w:szCs w:val="19"/>
              </w:rPr>
              <w:t xml:space="preserve">On-premises or edge server</w:t>
            </w:r>
          </w:p>
        </w:tc>
        <w:tc>
          <w:tcPr>
            <w:tcW w:type="pct" w:w="33%"/>
          </w:tcPr>
          <w:p>
            <w:r>
              <w:rPr>
                <w:rFonts w:ascii="Calibri" w:cs="Calibri" w:eastAsia="Calibri" w:hAnsi="Calibri"/>
                <w:b w:val="false"/>
                <w:bCs w:val="false"/>
                <w:i w:val="false"/>
                <w:iCs w:val="false"/>
                <w:strike w:val="false"/>
                <w:color w:val="000000"/>
                <w:sz w:val="19"/>
                <w:szCs w:val="19"/>
              </w:rPr>
              <w:t xml:space="preserve">A campus, school, or community network</w:t>
            </w:r>
          </w:p>
        </w:tc>
      </w:tr>
      <w:tr>
        <w:tc>
          <w:tcPr>
            <w:tcW w:type="pct" w:w="33%"/>
          </w:tcPr>
          <w:p>
            <w:r>
              <w:rPr>
                <w:rFonts w:ascii="Calibri" w:cs="Calibri" w:eastAsia="Calibri" w:hAnsi="Calibri"/>
                <w:b w:val="false"/>
                <w:bCs w:val="false"/>
                <w:i w:val="false"/>
                <w:iCs w:val="false"/>
                <w:strike w:val="false"/>
                <w:color w:val="000000"/>
                <w:sz w:val="19"/>
                <w:szCs w:val="19"/>
              </w:rPr>
              <w:t xml:space="preserve">Single Device</w:t>
            </w:r>
          </w:p>
        </w:tc>
        <w:tc>
          <w:tcPr>
            <w:tcW w:type="pct" w:w="33%"/>
          </w:tcPr>
          <w:p>
            <w:r>
              <w:rPr>
                <w:rFonts w:ascii="Calibri" w:cs="Calibri" w:eastAsia="Calibri" w:hAnsi="Calibri"/>
                <w:b w:val="false"/>
                <w:bCs w:val="false"/>
                <w:i w:val="false"/>
                <w:iCs w:val="false"/>
                <w:strike w:val="false"/>
                <w:color w:val="000000"/>
                <w:sz w:val="19"/>
                <w:szCs w:val="19"/>
              </w:rPr>
              <w:t xml:space="preserve">Laptop, tablet, or phone</w:t>
            </w:r>
          </w:p>
        </w:tc>
        <w:tc>
          <w:tcPr>
            <w:tcW w:type="pct" w:w="33%"/>
          </w:tcPr>
          <w:p>
            <w:r>
              <w:rPr>
                <w:rFonts w:ascii="Calibri" w:cs="Calibri" w:eastAsia="Calibri" w:hAnsi="Calibri"/>
                <w:b w:val="false"/>
                <w:bCs w:val="false"/>
                <w:i w:val="false"/>
                <w:iCs w:val="false"/>
                <w:strike w:val="false"/>
                <w:color w:val="000000"/>
                <w:sz w:val="19"/>
                <w:szCs w:val="19"/>
              </w:rPr>
              <w:t xml:space="preserve">An individual reader, teacher, or remote learner</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All three modes run the same logical services specified elsewhere in this Bible — the native Fact Service (Chapter 3), NLPL and QBPL (Chapter 48), the Reader (Chapter 89), License and Entitlement Management (Chapter 67), and the Synchronization and Offline Operation Layer (Chapter 68) — differing only in whether each service is fully hosted, partially hosted with optional cloud sync, or embedded on-device. This is a deployment-topology distinction, not an architectural fork: no service's own specification differs between modes.</w:t>
      </w:r>
    </w:p>
    <w:p>
      <w:pPr>
        <w:pStyle w:val="Heading2"/>
        <w:spacing w:after="120" w:before="240" w:line="288" w:lineRule="auto"/>
      </w:pPr>
      <w:r>
        <w:rPr>
          <w:rFonts w:ascii="Calibri" w:cs="Calibri" w:eastAsia="Calibri" w:hAnsi="Calibri"/>
          <w:color w:val="000000"/>
          <w:sz w:val="36"/>
          <w:szCs w:val="36"/>
        </w:rPr>
        <w:t xml:space="preserve">90.2 License Enforcement Across Deployment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deployment mode enforces the same License and Entitlement mechanism already specified at Chapter 67 — a License Fact Unit per License Owner or organization, carrying a LicenseType matching one of Chapter 65's four Roles (Reader, Author, Publisher, Partner), with SeatCount and SeatAllocation governing organizational, multi-user access.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classroom is not a distinct license type: it is a Reader License with a SeatCount sized to the class, combined with the existing, separately-granted Instructor capability (§65.3) held by the teacher's own seat. No new LicenseType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institution is the same pattern at larger scale: a larger SeatCount, potentially spanning multiple LicenseTypes for different departments, each still governed by Chapter 67's existing seat-assignment and audit mechanism (logged to the Provenance Ledger, Chapter 5).</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In Local Server and Single Device modes, the same License Fact Unit and seat-assignment records are held locally rather than centrally, reconciled with the central record through the Synchronization and Offline Operation Layer (Chapter 68) on reconnection — enforcement logic itself does not differ by mode.</w:t>
      </w:r>
    </w:p>
    <w:p>
      <w:pPr>
        <w:pStyle w:val="Heading2"/>
        <w:spacing w:after="120" w:before="240" w:line="288" w:lineRule="auto"/>
      </w:pPr>
      <w:r>
        <w:rPr>
          <w:rFonts w:ascii="Calibri" w:cs="Calibri" w:eastAsia="Calibri" w:hAnsi="Calibri"/>
          <w:color w:val="000000"/>
          <w:sz w:val="36"/>
          <w:szCs w:val="36"/>
        </w:rPr>
        <w:t xml:space="preserve">90.3 Domain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Domain Package is a versioned, signed, installable bundle scoping QueryBook's existing capabilities to a specific environment's actual needs, closing the real gap between a full platform install and a genuinely offline-capable, bandwidth-appropriate deployment for a specific community, campus, or institution.</w:t>
      </w:r>
    </w:p>
    <w:p>
      <w:pPr>
        <w:pStyle w:val="Heading3"/>
        <w:spacing w:after="120" w:before="200" w:line="288" w:lineRule="auto"/>
      </w:pPr>
      <w:r>
        <w:rPr>
          <w:rFonts w:ascii="Calibri" w:cs="Calibri" w:eastAsia="Calibri" w:hAnsi="Calibri"/>
          <w:color w:val="000000"/>
          <w:sz w:val="28"/>
          <w:szCs w:val="28"/>
        </w:rPr>
        <w:t xml:space="preserve">90.3.1 Package Composition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scope: a defined subset of already-ingested Fact Units and their source works, selected for the target environment rather than requiring the full platform catalog.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Language scope: the target environment's language selection within the already-specified Multilingual Regeneration Engine (Chapter 16) — a package does not introduce new translation capability, only selects which of MRE's already-supported languages are provisioned locally.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Commerce scope (optional): where an operator has enabled the Contextual Commerce Layer (Chapter 88), a package may include a local commerce-source registration — for example, region-specific author or third-party affiliate content — subject to Chapter 88's non-interference guarantee and audit logging exactly as already specified. A package introduces no new commerce mechanism and no targeting model beyond the concept-identifier-based targeting Chapter 88 already specifies.</w:t>
      </w:r>
    </w:p>
    <w:p>
      <w:pPr>
        <w:pStyle w:val="Heading3"/>
        <w:spacing w:after="120" w:before="200" w:line="288" w:lineRule="auto"/>
      </w:pPr>
      <w:r>
        <w:rPr>
          <w:rFonts w:ascii="Calibri" w:cs="Calibri" w:eastAsia="Calibri" w:hAnsi="Calibri"/>
          <w:color w:val="000000"/>
          <w:sz w:val="28"/>
          <w:szCs w:val="28"/>
        </w:rPr>
        <w:t xml:space="preserve">90.3.2 Package Integrity and Installation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Every package is versioned and cryptographically signed; installation verifies the signature before activation. This is a standard software-integrity control, not a rights-management or DRM mechanism — consistent with Chapter 67's explicit boundary against introducing DRM, territory, or pricing machinery.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package is installable identically in any of the three deployment modes (§90.1): centrally in Cloud SaaS, locally in Local Server mode, or embedded in Single Device mode.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activation for a specific user or classroom is an AccessControlList-governed action (Appendix A), logged to the Provenance Ledger exactly as any other consequential write in this Bible — no new authorization mechanism is introduced.</w:t>
      </w:r>
    </w:p>
    <w:p>
      <w:pPr>
        <w:pStyle w:val="Heading3"/>
        <w:spacing w:after="120" w:before="200" w:line="288" w:lineRule="auto"/>
      </w:pPr>
      <w:r>
        <w:rPr>
          <w:rFonts w:ascii="Calibri" w:cs="Calibri" w:eastAsia="Calibri" w:hAnsi="Calibri"/>
          <w:color w:val="000000"/>
          <w:sz w:val="28"/>
          <w:szCs w:val="28"/>
        </w:rPr>
        <w:t xml:space="preserve">90.3.3 Admin-Initiated On-Demand Domain Creation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may create a new Domain Package on demand by selecting, from a fixed menu of already-specified QueryBook capabilities, which ones the new domain requires — never by describing an unscoped or open-ended purpose. “Automatically engineered” under this section means the system assembles the selected, already-real components into a properly-configured Domain Package; it does not mean the system invents a new capability, mechanism, or Fact Unit type that did not already exist in this Bible before the domain was created.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EVERY CREATED DOMAIN IS BOUNDED AT THE MOMENT IT'S CREATED, NOT LATER</w:t>
            </w:r>
            <w:r>
              <w:rPr>
                <w:rFonts w:ascii="Calibri" w:cs="Calibri" w:eastAsia="Calibri" w:hAnsi="Calibri"/>
                <w:b/>
                <w:bCs/>
                <w:i w:val="false"/>
                <w:iCs w:val="false"/>
                <w:strike w:val="false"/>
                <w:color w:val="333333"/>
                <w:sz w:val="24"/>
                <w:szCs w:val="24"/>
              </w:rPr>
              <w:t xml:space="preserve">This section is the explicit alternative to a general-purpose reserved domain, which was considered and declined: a domain created under this section has a specific, declared, auditable set of capabilities from the instant an administrator creates it — never an undefined placeholder waiting to be assigned a purpose after the fact. There is no configuration of this mechanism that produces an unscoped domain.</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90.3.3.1 Capability Menu</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administrator selects from already-specified capabilities only — for example, a federated domain sub-ontology registration (§20.1 of the patent), a language scope via the Multilingual Regeneration Engine (Chapter 16), Geometric Shape Matching (§91.8), Manifold-Based Trend Forecasting (§10.4), or Hypothesis Generation (Chapter 97). This section adds no new item to that menu on its own; the menu grows only when a future chapter adds a genuinely new, independently-specified capability, exactly as every capability referenced above was independently specified before this section could reference it.</w:t>
      </w:r>
    </w:p>
    <w:p>
      <w:pPr>
        <w:pStyle w:val="Heading3"/>
        <w:spacing w:after="120" w:before="200" w:line="288" w:lineRule="auto"/>
      </w:pPr>
      <w:r>
        <w:rPr>
          <w:rFonts w:ascii="Calibri" w:cs="Calibri" w:eastAsia="Calibri" w:hAnsi="Calibri"/>
          <w:color w:val="000000"/>
          <w:sz w:val="28"/>
          <w:szCs w:val="28"/>
        </w:rPr>
        <w:t xml:space="preserve">90.3.3.2 Assembly and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Ontology registration: where the selected capabilities include domain-specific terminology, the new domain registers as a federated sub-ontology under the Ontology Mesh's existing poly-hierarchical structure (§20.1 of the patent), mapped to the same fixed upper-ontology categories every other domain already maps to — no new domain exists outside that structure.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Package construction: the assembled result is a standard Domain Package under §90.3, versioned and signed exactly as any other, installable in any deployment mode (§90.1).</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Audit: domain creation is an AccessControlList-governed action, logged to the Provenance Ledger with the creating administrator's identity, the timestamp, and the specific capability selections made — the same accountability discipline already required for package activation immediately above.</w:t>
      </w:r>
    </w:p>
    <w:p>
      <w:pPr>
        <w:pStyle w:val="Heading3"/>
        <w:spacing w:after="120" w:before="200" w:line="288" w:lineRule="auto"/>
      </w:pPr>
      <w:r>
        <w:rPr>
          <w:rFonts w:ascii="Calibri" w:cs="Calibri" w:eastAsia="Calibri" w:hAnsi="Calibri"/>
          <w:color w:val="000000"/>
          <w:sz w:val="28"/>
          <w:szCs w:val="28"/>
        </w:rPr>
        <w:t xml:space="preserve">90.3.3.3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domain creation by an automated agent or process; only an identified administrator may initiate it, consistent with every other consequential action in this Bible requiring human accountability.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permit selecting a capability that does not already exist and is not already specified elsewhere in this Bible — there is no mechanism here for defining a new capability on the fly.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create a domain with undeclared or deferred purpose; §90.3.3's own callout states this as a structural property, not a policy an administrator could work around by selecting a broad or vague capability set.</w:t>
      </w:r>
    </w:p>
    <w:p>
      <w:pPr>
        <w:pStyle w:val="Heading2"/>
        <w:spacing w:after="120" w:before="240" w:line="288" w:lineRule="auto"/>
      </w:pPr>
      <w:r>
        <w:rPr>
          <w:rFonts w:ascii="Calibri" w:cs="Calibri" w:eastAsia="Calibri" w:hAnsi="Calibri"/>
          <w:color w:val="000000"/>
          <w:sz w:val="36"/>
          <w:szCs w:val="36"/>
        </w:rPr>
        <w:t xml:space="preserve">90.4 Local Server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Local Server mode runs the native Fact Service, NLPL/QBPL execution, the Reader (Chapter 89), License and Entitlement enforcement, and installed Domain Packages entirely on local infrastructure, served to connected devices over a local network. Where connectivity to the central Cloud SaaS tenant exists, the Synchronization and Offline Operation Layer (Chapter 68) reconciles content updates, Fact Graph changes, license changes, and usage telemetry on the same deterministic, version-vector-based schedule already specified there.</w:t>
      </w:r>
    </w:p>
    <w:p>
      <w:pPr>
        <w:pStyle w:val="Heading2"/>
        <w:spacing w:after="120" w:before="240" w:line="288" w:lineRule="auto"/>
      </w:pPr>
      <w:r>
        <w:rPr>
          <w:rFonts w:ascii="Calibri" w:cs="Calibri" w:eastAsia="Calibri" w:hAnsi="Calibri"/>
          <w:color w:val="000000"/>
          <w:sz w:val="36"/>
          <w:szCs w:val="36"/>
        </w:rPr>
        <w:t xml:space="preserve">90.5 Single Device Mode</w:t>
      </w:r>
    </w:p>
    <w:p>
      <w:pPr>
        <w:spacing w:after="120" w:line="360" w:lineRule="auto"/>
      </w:pPr>
      <w:r>
        <w:rPr>
          <w:rFonts w:ascii="Calibri" w:cs="Calibri" w:eastAsia="Calibri" w:hAnsi="Calibri"/>
          <w:b w:val="false"/>
          <w:bCs w:val="false"/>
          <w:i w:val="false"/>
          <w:iCs w:val="false"/>
          <w:strike w:val="false"/>
          <w:color w:val="000000"/>
          <w:sz w:val="22"/>
          <w:szCs w:val="22"/>
        </w:rPr>
        <w:t xml:space="preserve">Single Device mode embeds the same services at a smaller scale — a local content store scoped to installed Domain Packages, a local subset of the Fact Graph, on-device NLPL/QBPL execution, and a local License Fact Unit and seat record — with the same Chapter 68 synchronization behavior applying whenever connectivity is available, and identical offline operation (query execution, provenance verification, and access control continuing to function) whenever it is not.</w:t>
      </w:r>
    </w:p>
    <w:p>
      <w:pPr>
        <w:pStyle w:val="Heading2"/>
        <w:spacing w:after="120" w:before="240" w:line="288" w:lineRule="auto"/>
      </w:pPr>
      <w:r>
        <w:rPr>
          <w:rFonts w:ascii="Calibri" w:cs="Calibri" w:eastAsia="Calibri" w:hAnsi="Calibri"/>
          <w:color w:val="000000"/>
          <w:sz w:val="36"/>
          <w:szCs w:val="36"/>
        </w:rPr>
        <w:t xml:space="preserve">90.6 Offline Operation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Offline operation in every mode is governed entirely by the Synchronization and Offline Operation Layer already specified at Chapter 68 — this chapter introduces no new offline behavior. Reading, fact retrieval, timelines, diagrams, NLPL execution, learning modules, and license enforcement all continue to function against a locally-held Fact Graph and locally-held License Fact Unit, exactly as Chapter 68 and Chapter 67 already specify for disconnected operation.</w:t>
      </w:r>
    </w:p>
    <w:p>
      <w:pPr>
        <w:pStyle w:val="Heading2"/>
        <w:spacing w:after="120" w:before="240" w:line="288" w:lineRule="auto"/>
      </w:pPr>
      <w:r>
        <w:rPr>
          <w:rFonts w:ascii="Calibri" w:cs="Calibri" w:eastAsia="Calibri" w:hAnsi="Calibri"/>
          <w:color w:val="000000"/>
          <w:sz w:val="36"/>
          <w:szCs w:val="36"/>
        </w:rPr>
        <w:t xml:space="preserve">90.7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Deployment Architecture (Chapter 19); the native Fact Service (Chapter 3) and Ontology Mesh (Chapter 6); NLPL and QBPL (Chapter 48); License and Entitlement Management (Chapter 67) and the Portal/Role Model (Chapter 65); the Multilingual Regeneration Engine (Chapter 16); the Contextual Commerce Layer (Chapter 88); the Synchronization and Offline Operation Layer (Chapter 68); the Provenance Ledger (Chapter 5); and the Native Reader (Chapter 89). It modifies none of their specifications.</w:t>
      </w:r>
    </w:p>
    <w:p>
      <w:pPr>
        <w:pStyle w:val="Heading2"/>
        <w:spacing w:after="120" w:before="240" w:line="288" w:lineRule="auto"/>
      </w:pPr>
      <w:r>
        <w:rPr>
          <w:rFonts w:ascii="Calibri" w:cs="Calibri" w:eastAsia="Calibri" w:hAnsi="Calibri"/>
          <w:color w:val="000000"/>
          <w:sz w:val="36"/>
          <w:szCs w:val="36"/>
        </w:rPr>
        <w:t xml:space="preserve">90.8 Domain Package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Domain Package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Domain Package Slice</w:t>
            </w:r>
          </w:p>
        </w:tc>
        <w:tc>
          <w:tcPr>
            <w:tcW w:type="pct" w:w="33%"/>
          </w:tcPr>
          <w:p>
            <w:r>
              <w:rPr>
                <w:rFonts w:ascii="Calibri" w:cs="Calibri" w:eastAsia="Calibri" w:hAnsi="Calibri"/>
                <w:b w:val="false"/>
                <w:bCs w:val="false"/>
                <w:i w:val="false"/>
                <w:iCs w:val="false"/>
                <w:strike w:val="false"/>
                <w:color w:val="000000"/>
                <w:sz w:val="19"/>
                <w:szCs w:val="19"/>
              </w:rPr>
              <w:t xml:space="preserve">Deployment Modes and Domain Packages (Chapter 90)</w:t>
            </w:r>
          </w:p>
        </w:tc>
        <w:tc>
          <w:tcPr>
            <w:tcW w:type="pct" w:w="33%"/>
          </w:tcPr>
          <w:p>
            <w:r>
              <w:rPr>
                <w:rFonts w:ascii="Calibri" w:cs="Calibri" w:eastAsia="Calibri" w:hAnsi="Calibri"/>
                <w:b w:val="false"/>
                <w:bCs w:val="false"/>
                <w:i w:val="false"/>
                <w:iCs w:val="false"/>
                <w:strike w:val="false"/>
                <w:color w:val="000000"/>
                <w:sz w:val="19"/>
                <w:szCs w:val="19"/>
              </w:rPr>
              <w:t xml:space="preserve">One package installation, activation, or update event, from signature verification through activation completion.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Domain Package Slice is strictly lower priority than every safety-relevant category. Consistent with Chapter 69's existing priority ordering (Safety Gate and Recovery Slices always scheduled first), a Domain Package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Domain Package Slice fails — for example, a corrupted download or a signature that fails verification — the failed package is not installed or activated, any previously-installed package remains fully intact and unaffected, and the failure is logged with its specific cause rather than silently discarded.</w:t>
      </w:r>
    </w:p>
    <w:p>
      <w:pPr>
        <w:pStyle w:val="Heading2"/>
        <w:spacing w:after="120" w:before="240" w:line="288" w:lineRule="auto"/>
      </w:pPr>
      <w:r>
        <w:rPr>
          <w:rFonts w:ascii="Calibri" w:cs="Calibri" w:eastAsia="Calibri" w:hAnsi="Calibri"/>
          <w:color w:val="000000"/>
          <w:sz w:val="36"/>
          <w:szCs w:val="36"/>
        </w:rPr>
        <w:t xml:space="preserve">90.9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One logical architecture now runs across three deployment modes — Cloud SaaS, Local Server, and Single Device — with identical license enforcement, identical offline behavior, and one genuinely new mechanism: Domain Packages, letting a specific environment install exactly the content, language, and optional commerce scope it needs, signed and versioned, without a new license type, a new sync mechanism, or a parallel Fact Service.</w:t>
      </w:r>
    </w:p>
    <w:p>
      <w:pPr>
        <w:pStyle w:val="Heading1"/>
        <w:spacing w:after="120" w:before="240" w:line="288" w:lineRule="auto"/>
      </w:pPr>
      <w:r>
        <w:rPr>
          <w:rFonts w:ascii="Calibri" w:cs="Calibri" w:eastAsia="Calibri" w:hAnsi="Calibri"/>
          <w:color w:val="000000"/>
          <w:sz w:val="48"/>
          <w:szCs w:val="48"/>
        </w:rPr>
        <w:t xml:space="preserve">Chapter 91: Personal Object Location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a narrow, consent-gated capability: identifying a lost personal object from a user's own live camera or sensor feed, using material and shape classification already grounded in the World Aware System Model's Object Layer. This chapter was scoped deliberately narrowly after a broader submission covering real-world surveillance, search-and-rescue, and autonomous deployment was reviewed and declined for cause; only the safety-appropriate subset is specified here.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WHAT THIS CHAPTER IS NOT</w:t>
            </w:r>
            <w:r>
              <w:rPr>
                <w:rFonts w:ascii="Calibri" w:cs="Calibri" w:eastAsia="Calibri" w:hAnsi="Calibri"/>
                <w:b/>
                <w:bCs/>
                <w:i w:val="false"/>
                <w:iCs w:val="false"/>
                <w:strike w:val="false"/>
                <w:color w:val="333333"/>
                <w:sz w:val="24"/>
                <w:szCs w:val="24"/>
              </w:rPr>
              <w:t xml:space="preserve">This chapter does not specify person detection, animal detection, heat-signature or thermal analysis, search-and-rescue capability, or any form of surveillance beyond a user's own consented, live session. A declined submission proposed exactly these capabilities, along with an unguarded, no-human-step agent deployment loop; none of that is carried forward here in any form. Any future request to extend this chapter toward person detection or search-and-rescue requires its own dedicated safety review — it is not a natural extension of this chapter and will not be treated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91.1 Purpose and Scope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searching for a lost personal item — glasses, keys, a tool, a phone — may opt into live camera analysis of their own immediate environment. The system classifies visible objects and materials against the user's stated search target and reports candidate matches with a location description, using classification grounded in already-specified architecture rather than a new detection mechanism.</w:t>
      </w:r>
    </w:p>
    <w:p>
      <w:pPr>
        <w:pStyle w:val="Heading2"/>
        <w:spacing w:after="120" w:before="240" w:line="288" w:lineRule="auto"/>
      </w:pPr>
      <w:r>
        <w:rPr>
          <w:rFonts w:ascii="Calibri" w:cs="Calibri" w:eastAsia="Calibri" w:hAnsi="Calibri"/>
          <w:color w:val="000000"/>
          <w:sz w:val="36"/>
          <w:szCs w:val="36"/>
        </w:rPr>
        <w:t xml:space="preserve">91.2 Consent and Data Source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camera analysis under this chapter is strictly opt-in, disabled by default, and immediately halted upon revocation — the same consent discipline already established for live voice signal analysis (Chapter 87).</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The data source is limited to the requesting user's own live device camera or sensor feed for their own current session. This chapter does not specify ingestion from third-party cameras, security systems, drones, or any feed the requesting user does not directly control in the moment of use.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footage or imagery is retained beyond the active session unless the user separately and explicitly opts into longer retention, consistent with the Safety Substrate's default-minimal-retention posture (Chapter 8).</w:t>
      </w:r>
    </w:p>
    <w:p>
      <w:pPr>
        <w:pStyle w:val="Heading2"/>
        <w:spacing w:after="120" w:before="240" w:line="288" w:lineRule="auto"/>
      </w:pPr>
      <w:r>
        <w:rPr>
          <w:rFonts w:ascii="Calibri" w:cs="Calibri" w:eastAsia="Calibri" w:hAnsi="Calibri"/>
          <w:color w:val="000000"/>
          <w:sz w:val="36"/>
          <w:szCs w:val="36"/>
        </w:rPr>
        <w:t xml:space="preserve">91.3 Object and Material Classification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Classification reuses the World Aware System Model's Object Layer (§53.3.1) directly — this chapter introduces no parallel object-recognition or material-classification mechanism. Visual and sensor input is processed through the existing sensor modality of the Multimodal Ingestion Pipeline (Chapter 4), converging on the same Fact Unit schema (Appendix A) as any other ingested content, including a ConfidenceScore reflecting classification certainty.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Classification is scoped to inanimate objects and materials only. A candidate detection classified as a person or animal is not surfaced as a search result under this chapter — it is discarded from the search-result set, consistent with §91.1's scope.</w:t>
      </w:r>
    </w:p>
    <w:p>
      <w:pPr>
        <w:pStyle w:val="Heading2"/>
        <w:spacing w:after="120" w:before="240" w:line="288" w:lineRule="auto"/>
      </w:pPr>
      <w:r>
        <w:rPr>
          <w:rFonts w:ascii="Calibri" w:cs="Calibri" w:eastAsia="Calibri" w:hAnsi="Calibri"/>
          <w:color w:val="000000"/>
          <w:sz w:val="36"/>
          <w:szCs w:val="36"/>
        </w:rPr>
        <w:t xml:space="preserve">91.4 Session-Scoped Fact Representation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Fact Units produced under this chapter are session-scoped by default, following the same delta-reference, non-permanent pattern already established for Session Books (§84.1) — a scan of a user's own living space does not become a permanent, independently-searchable addition to the broader Fact Graph. A user may explicitly opt into retaining a specific result (for example, to confirm where an item was found) exactly as they may with any other session-scoped record.</w:t>
      </w:r>
    </w:p>
    <w:p>
      <w:pPr>
        <w:pStyle w:val="Heading2"/>
        <w:spacing w:after="120" w:before="240" w:line="288" w:lineRule="auto"/>
      </w:pPr>
      <w:r>
        <w:rPr>
          <w:rFonts w:ascii="Calibri" w:cs="Calibri" w:eastAsia="Calibri" w:hAnsi="Calibri"/>
          <w:color w:val="000000"/>
          <w:sz w:val="36"/>
          <w:szCs w:val="36"/>
        </w:rPr>
        <w:t xml:space="preserve">91.5 NLPL Query Interface</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user's request — for example, “find my glasses” — compiles through the existing NLPL-to-QBPL pipeline (Chapter 48), never through FQL, which remains UFCS's separately-owned technology and plays no role in this chapter regardless of whether an operator has an optional UFCS connection registered (Chapter 81). The compiled program queries the session-scoped classification results of §91.3–91.4 for a material and shape profile matching the stated target, returning ranked candidates with a location description and confidence score — never a bare assertion of certainty.</w:t>
      </w:r>
    </w:p>
    <w:p>
      <w:pPr>
        <w:pStyle w:val="Heading2"/>
        <w:spacing w:after="120" w:before="240" w:line="288" w:lineRule="auto"/>
      </w:pPr>
      <w:r>
        <w:rPr>
          <w:rFonts w:ascii="Calibri" w:cs="Calibri" w:eastAsia="Calibri" w:hAnsi="Calibri"/>
          <w:color w:val="000000"/>
          <w:sz w:val="36"/>
          <w:szCs w:val="36"/>
        </w:rPr>
        <w:t xml:space="preserve">91.6 Improvement and Optimization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classification accuracy is monitored and improved over time, any such improvement is a Proposal Fact Unit under the existing Improvement Proposal Pipeline (Chapter 66) in full — sandboxed simulation, automated pre-screening, and named human approval at the Human Review Gate (§66.5) — with no chapter-specific shortcut, autonomous deployment path, or agent authority to ship a change directly. This is the same discipline already applied to commerce optimization (§88.10) and is restated here explicitly rather than left to be assumed.</w:t>
      </w:r>
    </w:p>
    <w:p>
      <w:pPr>
        <w:pStyle w:val="Heading2"/>
        <w:spacing w:after="120" w:before="240" w:line="288" w:lineRule="auto"/>
      </w:pPr>
      <w:r>
        <w:rPr>
          <w:rFonts w:ascii="Calibri" w:cs="Calibri" w:eastAsia="Calibri" w:hAnsi="Calibri"/>
          <w:color w:val="000000"/>
          <w:sz w:val="36"/>
          <w:szCs w:val="36"/>
        </w:rPr>
        <w:t xml:space="preserve">91.7 Extended Sensor Modalities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object and material classification of §91.3 is not limited to a camera feed. Sonar and magnetometric data, ingested through the same sensor modality of the Multimodal Ingestion Pipeline (Chapter 4) already relied on by §91.3, extend this chapter's classification capability to environments — including underwater — where visual camera input alone is insufficient, using the identical consent, scope, and exclusion rules already specified in §91.1–§91.6, not a separate mechanism.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BOUNDARY, DIFFERENT SENSOR</w:t>
            </w:r>
            <w:r>
              <w:rPr>
                <w:rFonts w:ascii="Calibri" w:cs="Calibri" w:eastAsia="Calibri" w:hAnsi="Calibri"/>
                <w:b/>
                <w:bCs/>
                <w:i w:val="false"/>
                <w:iCs w:val="false"/>
                <w:strike w:val="false"/>
                <w:color w:val="333333"/>
                <w:sz w:val="24"/>
                <w:szCs w:val="24"/>
              </w:rPr>
              <w:t xml:space="preserve">Extending to sonar and magnetometric input does not extend this chapter's scope. Classification remains limited to inanimate objects and materials; a candidate result resembling a person is discarded exactly as §91.3 already requires. This section adds no vehicle, diver, or vessel guidance capability, no search-and-rescue capability, and no autonomous deployment path — all three were proposed alongside this extension and are declined here for the same reasons already stated at §91.6 and elsewhere in this Bible.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Object and material classification under this section covers inanimate submerged objects — debris, wreckage, historical artifacts, and similar material — using the same World Aware System Model Object Layer (§53.3.1) already specified at §91.3, not a parallel classification system for marine contexts.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classification result under this section is session-scoped per §91.4 on identical terms; it does not become a permanent addition to the Fact Graph, and it is never associated with navigation, guidance, or vehicle-control output of any kind.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Any future capability to guide a diver, remotely operated vehicle, or surface vessel is explicitly out of scope for this chapter and requires its own dedicated safety review before specification — it is not a natural extension of object classification, and providing an incorrect real-time navigation instruction in a marine environment carries materially different safety consequences than an incorrect object-location result.</w:t>
      </w:r>
    </w:p>
    <w:p>
      <w:pPr>
        <w:pStyle w:val="Heading2"/>
        <w:spacing w:after="120" w:before="240" w:line="288" w:lineRule="auto"/>
      </w:pPr>
      <w:r>
        <w:rPr>
          <w:rFonts w:ascii="Calibri" w:cs="Calibri" w:eastAsia="Calibri" w:hAnsi="Calibri"/>
          <w:color w:val="000000"/>
          <w:sz w:val="36"/>
          <w:szCs w:val="36"/>
        </w:rPr>
        <w:t xml:space="preserve">91.8 Geometric Shape Matching</w:t>
      </w:r>
    </w:p>
    <w:p>
      <w:pPr>
        <w:spacing w:after="120" w:line="360" w:lineRule="auto"/>
      </w:pPr>
      <w:r>
        <w:rPr>
          <w:rFonts w:ascii="Calibri" w:cs="Calibri" w:eastAsia="Calibri" w:hAnsi="Calibri"/>
          <w:b w:val="false"/>
          <w:bCs w:val="false"/>
          <w:i w:val="false"/>
          <w:iCs w:val="false"/>
          <w:strike w:val="false"/>
          <w:color w:val="000000"/>
          <w:sz w:val="22"/>
          <w:szCs w:val="22"/>
        </w:rPr>
        <w:t xml:space="preserve">Object and material classification under §91.3 and §91.7 may additionally use geometric shape matching — contour, curvature, symmetry, and dimensional comparison against a known shape profile — using the already-specified Geometry and Constraint Fact Units (§70.9) rather than a new, parallel Fact Unit subtype. This section adds a classification method, not a new representation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SAME EXCLUSIONS, ONE MORE CLASSIFICATION METHOD</w:t>
            </w:r>
            <w:r>
              <w:rPr>
                <w:rFonts w:ascii="Calibri" w:cs="Calibri" w:eastAsia="Calibri" w:hAnsi="Calibri"/>
                <w:b/>
                <w:bCs/>
                <w:i w:val="false"/>
                <w:iCs w:val="false"/>
                <w:strike w:val="false"/>
                <w:color w:val="333333"/>
                <w:sz w:val="24"/>
                <w:szCs w:val="24"/>
              </w:rPr>
              <w:t xml:space="preserve">Geometric shape matching is bound by the identical rules already governing every classification method in this chapter: scoped to inanimate objects and materials only; a result matching human or animal body geometry — including limb proportion, silhouette, or gait — is discarded from the candidate result set, not surfaced, exactly as §91.3 already requires for any classification method. This section adds no new sensor requiring its own consent scoping beyond what §91.2 and §91.7 already specify.</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Shape comparison reuses the Registration Constraint Graph's three-pass solving approach (§70.4 — absolute resolution, relative resolution, drift detection) already specified for geometric accuracy verification, applied here to candidate-object comparison rather than tour-scene registration.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Convergence over multiple, partial, or noisy geometric observations — for example, an incomplete contour from a single camera angle — uses the existing Attractor Network (Chapter 7, Claim 6) already specified for stabilizing a noisy or partial input set to a single converged interpretation. No separate stabilization mechanism is introduced.</w:t>
      </w:r>
    </w:p>
    <w:p>
      <w:pPr>
        <w:pStyle w:val="Heading2"/>
        <w:spacing w:after="120" w:before="240" w:line="288" w:lineRule="auto"/>
      </w:pPr>
      <w:r>
        <w:rPr>
          <w:rFonts w:ascii="Calibri" w:cs="Calibri" w:eastAsia="Calibri" w:hAnsi="Calibri"/>
          <w:color w:val="000000"/>
          <w:sz w:val="36"/>
          <w:szCs w:val="36"/>
        </w:rPr>
        <w:t xml:space="preserve">91.9 Grid-Cell-Inspired Geometric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Geometric Shape Matching (§91.8) indexes candidate shapes and contours using a periodic, hexagonal spatial encoding scheme structurally modeled on grid cells — the deterministic, mathematically well-defined spatial coordinate system discovered in the mammalian entorhinal cortex (Hafting et al., 2005; O'Keefe, Moser &amp; Moser, 2014 Nobel Prize in Physiology or Medicine). This section adds an indexing method to already-real shape matching; it introduces no new Fact Unit type and no new classification capability beyond what §91.8 already specifies.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DETERMINISTIC BY CONSTRUCTION, NOT LEARNED</w:t>
            </w:r>
            <w:r>
              <w:rPr>
                <w:rFonts w:ascii="Calibri" w:cs="Calibri" w:eastAsia="Calibri" w:hAnsi="Calibri"/>
                <w:b/>
                <w:bCs/>
                <w:i w:val="false"/>
                <w:iCs w:val="false"/>
                <w:strike w:val="false"/>
                <w:color w:val="333333"/>
                <w:sz w:val="24"/>
                <w:szCs w:val="24"/>
              </w:rPr>
              <w:t xml:space="preserve">The hexagonal grid used for indexing is a fixed geometric coordinate system, defined once by construction — analogous to the real grid-cell system's periodic, multi-scale lattice — not a representation learned or trained from data. Given the same geometric input, this indexing scheme produces the same index every time, consistent with this Bible's existing determinism requirement (Chapter 58) and structurally distinct from the trainable, generative "manifold embedding" mechanism already declined elsewhere in this Bible's history.</w:t>
            </w:r>
          </w:p>
        </w:tc>
      </w:tr>
    </w:tbl>
    <w:p>
      <w:pPr>
        <w:spacing w:after="200" w:before="0"/>
      </w:pPr>
    </w:p>
    <w:p>
      <w:pPr>
        <w:spacing w:after="120" w:line="360" w:lineRule="auto"/>
      </w:pPr>
      <w:r>
        <w:rPr>
          <w:rFonts w:ascii="Calibri" w:cs="Calibri" w:eastAsia="Calibri" w:hAnsi="Calibri"/>
          <w:b w:val="false"/>
          <w:bCs w:val="false"/>
          <w:i w:val="false"/>
          <w:iCs w:val="false"/>
          <w:strike w:val="false"/>
          <w:color w:val="000000"/>
          <w:sz w:val="22"/>
          <w:szCs w:val="22"/>
        </w:rPr>
        <w:t xml:space="preserve">Each candidate shape or contour under §91.8 is assigned coordinates within a multi-scale hexagonal lattice, following the real grid-cell system's own structure of independently-scaled modules — coarser modules for broad shape-family discrimination, finer modules for precise contour matching within a family. Comparison between an observed partial shape and a known candidate proceeds by lattice-coordinate proximity, a deterministic geometric operation, before the already-specified Attractor Network convergence (§91.8) resolves the final match.</w:t>
      </w:r>
    </w:p>
    <w:p>
      <w:pPr>
        <w:pStyle w:val="Heading2"/>
        <w:spacing w:after="120" w:before="240" w:line="288" w:lineRule="auto"/>
      </w:pPr>
      <w:r>
        <w:rPr>
          <w:rFonts w:ascii="Calibri" w:cs="Calibri" w:eastAsia="Calibri" w:hAnsi="Calibri"/>
          <w:color w:val="000000"/>
          <w:sz w:val="36"/>
          <w:szCs w:val="36"/>
        </w:rPr>
        <w:t xml:space="preserve">91.9.1 Integration Requirements (Grid-Cell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Geometric Shape Matching (§91.8), the Geometry and Constraint Fact Units it already specifies (§70.9), and the Attractor Network's convergence mechanism (Chapter 7, Claim 6). It modifies none of their specifications — it adds a deterministic indexing method preceding the classification already fully specified at §91.8.</w:t>
      </w:r>
    </w:p>
    <w:p>
      <w:pPr>
        <w:pStyle w:val="Heading2"/>
        <w:spacing w:after="120" w:before="240" w:line="288" w:lineRule="auto"/>
      </w:pPr>
      <w:r>
        <w:rPr>
          <w:rFonts w:ascii="Calibri" w:cs="Calibri" w:eastAsia="Calibri" w:hAnsi="Calibri"/>
          <w:color w:val="000000"/>
          <w:sz w:val="36"/>
          <w:szCs w:val="36"/>
        </w:rPr>
        <w:t xml:space="preserve">91.10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World Aware System Model's Object Layer (§53.3.1); the Multimodal Ingestion Pipeline's sensor modality (Chapter 4); the Fact Unit schema (Appendix A); NLPL and QBPL (Chapter 48); the Session Books pattern (§84.1); the Safety Substrate (Chapter 8); and the Improvement Proposal Pipeline (Chapter 66). It modifies none of their specifications.</w:t>
      </w:r>
    </w:p>
    <w:p>
      <w:pPr>
        <w:pStyle w:val="Heading2"/>
        <w:spacing w:after="120" w:before="240" w:line="288" w:lineRule="auto"/>
      </w:pPr>
      <w:r>
        <w:rPr>
          <w:rFonts w:ascii="Calibri" w:cs="Calibri" w:eastAsia="Calibri" w:hAnsi="Calibri"/>
          <w:color w:val="000000"/>
          <w:sz w:val="36"/>
          <w:szCs w:val="36"/>
        </w:rPr>
        <w:t xml:space="preserve">91.11 Object Classification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Object Classification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Object Classification Slice</w:t>
            </w:r>
          </w:p>
        </w:tc>
        <w:tc>
          <w:tcPr>
            <w:tcW w:type="pct" w:w="33%"/>
          </w:tcPr>
          <w:p>
            <w:r>
              <w:rPr>
                <w:rFonts w:ascii="Calibri" w:cs="Calibri" w:eastAsia="Calibri" w:hAnsi="Calibri"/>
                <w:b w:val="false"/>
                <w:bCs w:val="false"/>
                <w:i w:val="false"/>
                <w:iCs w:val="false"/>
                <w:strike w:val="false"/>
                <w:color w:val="000000"/>
                <w:sz w:val="19"/>
                <w:szCs w:val="19"/>
              </w:rPr>
              <w:t xml:space="preserve">Personal Object Location (Chapter 91), including Geometric Shape Matching (§91.8)</w:t>
            </w:r>
          </w:p>
        </w:tc>
        <w:tc>
          <w:tcPr>
            <w:tcW w:type="pct" w:w="33%"/>
          </w:tcPr>
          <w:p>
            <w:r>
              <w:rPr>
                <w:rFonts w:ascii="Calibri" w:cs="Calibri" w:eastAsia="Calibri" w:hAnsi="Calibri"/>
                <w:b w:val="false"/>
                <w:bCs w:val="false"/>
                <w:i w:val="false"/>
                <w:iCs w:val="false"/>
                <w:strike w:val="false"/>
                <w:color w:val="000000"/>
                <w:sz w:val="19"/>
                <w:szCs w:val="19"/>
              </w:rPr>
              <w:t xml:space="preserve">One object or material classification cycle over a single consented sensor observation, including any geometric shape-matching comparison performed as part of that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Object Classification Slice is strictly lower priority than every safety-relevant category. Consistent with Chapter 69's existing priority ordering (Safety Gate and Recovery Slices always scheduled first), a Object Classification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 Object Classification Slice fails or times out, no classification result is returned for that observation — the system does not surface a partial, unmeasured, or low-confidence result in place of a properly completed one, consistent with §69.1's atomicity requirement that a slice either completes and logs a result or fails and logs a failure.</w:t>
      </w:r>
    </w:p>
    <w:p>
      <w:pPr>
        <w:pStyle w:val="Heading2"/>
        <w:spacing w:after="120" w:before="240" w:line="288" w:lineRule="auto"/>
      </w:pPr>
      <w:r>
        <w:rPr>
          <w:rFonts w:ascii="Calibri" w:cs="Calibri" w:eastAsia="Calibri" w:hAnsi="Calibri"/>
          <w:color w:val="000000"/>
          <w:sz w:val="36"/>
          <w:szCs w:val="36"/>
        </w:rPr>
        <w:t xml:space="preserve">91.12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 user may locate a lost personal object using their own consented, live camera feed, classified through already-specified object and material recognition, scoped to inanimate objects only, session-scoped by default, and improved only through the existing human-gated pipeline. Person detection, search-and-rescue capability, and autonomous deployment were all considered as part of the broader submission this chapter responds to and are explicitly not included here.</w:t>
      </w:r>
    </w:p>
    <w:p>
      <w:pPr>
        <w:pStyle w:val="Heading1"/>
        <w:spacing w:after="120" w:before="240" w:line="288" w:lineRule="auto"/>
      </w:pPr>
      <w:r>
        <w:rPr>
          <w:rFonts w:ascii="Calibri" w:cs="Calibri" w:eastAsia="Calibri" w:hAnsi="Calibri"/>
          <w:color w:val="000000"/>
          <w:sz w:val="48"/>
          <w:szCs w:val="48"/>
        </w:rPr>
        <w:t xml:space="preserve">Chapter 92: Sensory-Annotated Content Playback</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extends the spatial-audio-and-haptic-cue requirement already established for VR scenes (Chapter 46) to content generally — a book, timeline, diagram, or Fact Unit may carry an associated audio, visual, or device-haptic profile, played back through the Native Reader (Chapter 89) or an immersive scene, using the same underlying mechanism in both cases rather than two separate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SCOPE: DEVICE-NATIVE OUTPUT ONLY, NO HAZARD OR DETECTION TRIGGERS</w:t>
            </w:r>
            <w:r>
              <w:rPr>
                <w:rFonts w:ascii="Calibri" w:cs="Calibri" w:eastAsia="Calibri" w:hAnsi="Calibri"/>
                <w:b/>
                <w:bCs/>
                <w:i w:val="false"/>
                <w:iCs w:val="false"/>
                <w:strike w:val="false"/>
                <w:color w:val="333333"/>
                <w:sz w:val="24"/>
                <w:szCs w:val="24"/>
              </w:rPr>
              <w:t xml:space="preserve">This chapter covers audio, visual, and standard device vibration output only, triggered exclusively by already-ingested content, Fact Units, timelines, diagrams, and VR scenes. It does not cover external hardware of any kind — scent emitters, haptic vests, or other external devices remain out of scope pending their own dedicated safety review. It does not cover any hazard, danger, or anomaly-detection trigger; §91's explicit exclusion of hazard-triggered output applies identically here — this chapter does not reopen it under a different name.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92.1 Sensory Profile as a Fact Unit Attribute</w:t>
      </w:r>
    </w:p>
    <w:p>
      <w:pPr>
        <w:spacing w:after="120" w:line="360" w:lineRule="auto"/>
      </w:pPr>
      <w:r>
        <w:rPr>
          <w:rFonts w:ascii="Calibri" w:cs="Calibri" w:eastAsia="Calibri" w:hAnsi="Calibri"/>
          <w:b w:val="false"/>
          <w:bCs w:val="false"/>
          <w:i w:val="false"/>
          <w:iCs w:val="false"/>
          <w:strike w:val="false"/>
          <w:color w:val="000000"/>
          <w:sz w:val="22"/>
          <w:szCs w:val="22"/>
        </w:rPr>
        <w:t xml:space="preserve">A sensory profile is an auxiliary attribute on an existing Fact Unit (Appendix A), not a new fact type or a parallel representation system. Where source content includes or references an audio or visual asset — for example, an ingested book's own sound effect, or a diagram's associated visual cue — the ingestion pipeline (Chapter 4) attaches the sensory profile to the Fact Unit it describes, carrying the same provenance, confidence score, and safety classification as any other Fact Unit field.</w:t>
      </w:r>
    </w:p>
    <w:p>
      <w:pPr>
        <w:pStyle w:val="Heading2"/>
        <w:spacing w:after="120" w:before="240" w:line="288" w:lineRule="auto"/>
      </w:pPr>
      <w:r>
        <w:rPr>
          <w:rFonts w:ascii="Calibri" w:cs="Calibri" w:eastAsia="Calibri" w:hAnsi="Calibri"/>
          <w:color w:val="000000"/>
          <w:sz w:val="36"/>
          <w:szCs w:val="36"/>
        </w:rPr>
        <w:t xml:space="preserve">92.2 Trigger Sources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Content text: a passage whose grounding Fact Unit carries a sensory profile may trigger playback as that passage is read, subject to the reader's own playback settings.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Fact Units directly: a fact queried or displayed independently of its source passage carries its sensory profile with it.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Timelines and diagrams (§89.3): a timeline event or diagram node's associated sensory profile plays when that event or node is selected.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VR scenes (Chapter 46): unchanged from the existing requirement — this chapter's mechanism is the same one Chapter 46 already specifies, not a parallel one.</w:t>
      </w:r>
    </w:p>
    <w:p>
      <w:pPr>
        <w:pStyle w:val="Heading2"/>
        <w:spacing w:after="120" w:before="240" w:line="288" w:lineRule="auto"/>
      </w:pPr>
      <w:r>
        <w:rPr>
          <w:rFonts w:ascii="Calibri" w:cs="Calibri" w:eastAsia="Calibri" w:hAnsi="Calibri"/>
          <w:color w:val="000000"/>
          <w:sz w:val="36"/>
          <w:szCs w:val="36"/>
        </w:rPr>
        <w:t xml:space="preserve">92.3 Output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Type</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Scope</w:t>
            </w:r>
          </w:p>
        </w:tc>
      </w:tr>
      <w:tr>
        <w:tc>
          <w:tcPr>
            <w:tcW w:type="pct" w:w="50%"/>
          </w:tcPr>
          <w:p>
            <w:r>
              <w:rPr>
                <w:rFonts w:ascii="Calibri" w:cs="Calibri" w:eastAsia="Calibri" w:hAnsi="Calibri"/>
                <w:b w:val="false"/>
                <w:bCs w:val="false"/>
                <w:i w:val="false"/>
                <w:iCs w:val="false"/>
                <w:strike w:val="false"/>
                <w:color w:val="000000"/>
                <w:sz w:val="19"/>
                <w:szCs w:val="19"/>
              </w:rPr>
              <w:t xml:space="preserve">Audio</w:t>
            </w:r>
          </w:p>
        </w:tc>
        <w:tc>
          <w:tcPr>
            <w:tcW w:type="pct" w:w="50%"/>
          </w:tcPr>
          <w:p>
            <w:r>
              <w:rPr>
                <w:rFonts w:ascii="Calibri" w:cs="Calibri" w:eastAsia="Calibri" w:hAnsi="Calibri"/>
                <w:b w:val="false"/>
                <w:bCs w:val="false"/>
                <w:i w:val="false"/>
                <w:iCs w:val="false"/>
                <w:strike w:val="false"/>
                <w:color w:val="000000"/>
                <w:sz w:val="19"/>
                <w:szCs w:val="19"/>
              </w:rPr>
              <w:t xml:space="preserve">Sound effects and ambient audio sourced from the ingested work's own assets, played through the device's standard audio output.</w:t>
            </w:r>
          </w:p>
        </w:tc>
      </w:tr>
      <w:tr>
        <w:tc>
          <w:tcPr>
            <w:tcW w:type="pct" w:w="50%"/>
          </w:tcPr>
          <w:p>
            <w:r>
              <w:rPr>
                <w:rFonts w:ascii="Calibri" w:cs="Calibri" w:eastAsia="Calibri" w:hAnsi="Calibri"/>
                <w:b w:val="false"/>
                <w:bCs w:val="false"/>
                <w:i w:val="false"/>
                <w:iCs w:val="false"/>
                <w:strike w:val="false"/>
                <w:color w:val="000000"/>
                <w:sz w:val="19"/>
                <w:szCs w:val="19"/>
              </w:rPr>
              <w:t xml:space="preserve">Visual</w:t>
            </w:r>
          </w:p>
        </w:tc>
        <w:tc>
          <w:tcPr>
            <w:tcW w:type="pct" w:w="50%"/>
          </w:tcPr>
          <w:p>
            <w:r>
              <w:rPr>
                <w:rFonts w:ascii="Calibri" w:cs="Calibri" w:eastAsia="Calibri" w:hAnsi="Calibri"/>
                <w:b w:val="false"/>
                <w:bCs w:val="false"/>
                <w:i w:val="false"/>
                <w:iCs w:val="false"/>
                <w:strike w:val="false"/>
                <w:color w:val="000000"/>
                <w:sz w:val="19"/>
                <w:szCs w:val="19"/>
              </w:rPr>
              <w:t xml:space="preserve">Highlight, glow, color shift, or screen overlay rendered within the reading surface itself — no external display device.</w:t>
            </w:r>
          </w:p>
        </w:tc>
      </w:tr>
      <w:tr>
        <w:tc>
          <w:tcPr>
            <w:tcW w:type="pct" w:w="50%"/>
          </w:tcPr>
          <w:p>
            <w:r>
              <w:rPr>
                <w:rFonts w:ascii="Calibri" w:cs="Calibri" w:eastAsia="Calibri" w:hAnsi="Calibri"/>
                <w:b w:val="false"/>
                <w:bCs w:val="false"/>
                <w:i w:val="false"/>
                <w:iCs w:val="false"/>
                <w:strike w:val="false"/>
                <w:color w:val="000000"/>
                <w:sz w:val="19"/>
                <w:szCs w:val="19"/>
              </w:rPr>
              <w:t xml:space="preserve">Device Haptic</w:t>
            </w:r>
          </w:p>
        </w:tc>
        <w:tc>
          <w:tcPr>
            <w:tcW w:type="pct" w:w="50%"/>
          </w:tcPr>
          <w:p>
            <w:r>
              <w:rPr>
                <w:rFonts w:ascii="Calibri" w:cs="Calibri" w:eastAsia="Calibri" w:hAnsi="Calibri"/>
                <w:b w:val="false"/>
                <w:bCs w:val="false"/>
                <w:i w:val="false"/>
                <w:iCs w:val="false"/>
                <w:strike w:val="false"/>
                <w:color w:val="000000"/>
                <w:sz w:val="19"/>
                <w:szCs w:val="19"/>
              </w:rPr>
              <w:t xml:space="preserve">Standard on-device vibration (phone or tablet), using the platform's own built-in haptic API and its existing OS-level intensity and duration limits — no external haptic hardware.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92.4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“play the sound described here” compiles through the existing NLPL-to-QBPL pipeline (Chapter 48), never through FQL. The compiled program resolves the target Fact Unit's sensory profile and invokes playback through the output types of §92.3 only — a command referencing an external device or a hazard/danger trigger does not compile, consistent with §92's stated scope.</w:t>
      </w:r>
    </w:p>
    <w:p>
      <w:pPr>
        <w:pStyle w:val="Heading2"/>
        <w:spacing w:after="120" w:before="240" w:line="288" w:lineRule="auto"/>
      </w:pPr>
      <w:r>
        <w:rPr>
          <w:rFonts w:ascii="Calibri" w:cs="Calibri" w:eastAsia="Calibri" w:hAnsi="Calibri"/>
          <w:color w:val="000000"/>
          <w:sz w:val="36"/>
          <w:szCs w:val="36"/>
        </w:rPr>
        <w:t xml:space="preserve">92.5 Safety and User Control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is opt-in at the reader's own settings level, off by default for audio and haptic output; visual effects, being passive and non-startling by design (highlight, glow, color shift), default on but remain user-configurable.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Audio and device-haptic output rely on the operating system's own existing volume and vibration-intensity limits rather than a new, custom-built safety mechanism — this chapter introduces no override of platform-level safety controls.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sensory playback is triggered by, or associated with, any hazard, danger, or anomaly-detection event, consistent with the exclusion already stated in §91 and restated in this chapter's opening callout.</w:t>
      </w:r>
    </w:p>
    <w:p>
      <w:pPr>
        <w:pStyle w:val="Heading2"/>
        <w:spacing w:after="120" w:before="240" w:line="288" w:lineRule="auto"/>
      </w:pPr>
      <w:r>
        <w:rPr>
          <w:rFonts w:ascii="Calibri" w:cs="Calibri" w:eastAsia="Calibri" w:hAnsi="Calibri"/>
          <w:color w:val="000000"/>
          <w:sz w:val="36"/>
          <w:szCs w:val="36"/>
        </w:rPr>
        <w:t xml:space="preserve">92.6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the Multimodal Ingestion Pipeline (Chapter 4); the VR scene requirement of Chapter 46; the Native Reader (Chapter 89); NLPL and QBPL (Chapter 48); and the Timeline and Diagram views of §89.3. It modifies none of their specifications — it generalizes Chapter 46's existing audio/haptic requirement to non-VR content using the same mechanism.</w:t>
      </w:r>
    </w:p>
    <w:p>
      <w:pPr>
        <w:pStyle w:val="Heading2"/>
        <w:spacing w:after="120" w:before="240" w:line="288" w:lineRule="auto"/>
      </w:pPr>
      <w:r>
        <w:rPr>
          <w:rFonts w:ascii="Calibri" w:cs="Calibri" w:eastAsia="Calibri" w:hAnsi="Calibri"/>
          <w:color w:val="000000"/>
          <w:sz w:val="36"/>
          <w:szCs w:val="36"/>
        </w:rPr>
        <w:t xml:space="preserve">92.7 External Sensory Hardware (Smell and Haptic Emitters)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§92's device-native playback to registered external scent and haptic-feedback hardware, closing the gap explicitly deferred at §92's original specification pending dedicated scoping. It is scoped strictly narrower than device-native playback: external hardware output requires both an explicit user action and an explicit content tie, never a system-inferred trigger of any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USER-INITIATED AND CONTENT-TIED, NEVER INFERRED</w:t>
            </w:r>
            <w:r>
              <w:rPr>
                <w:rFonts w:ascii="Calibri" w:cs="Calibri" w:eastAsia="Calibri" w:hAnsi="Calibri"/>
                <w:b/>
                <w:bCs/>
                <w:i w:val="false"/>
                <w:iCs w:val="false"/>
                <w:strike w:val="false"/>
                <w:color w:val="333333"/>
                <w:sz w:val="24"/>
                <w:szCs w:val="24"/>
              </w:rPr>
              <w:t xml:space="preserve">External sensory hardware never activates based on a system-inferred state — detected emotional tone, narrative tension, or any other inferred signal is explicitly excluded as a trigger, under every configuration of this section. Output requires both an explicit user action (a direct request or a one-time enabled setting for a specific title) and an explicit content tie: a sensory profile authored as part of specific, identified content — a recipe's aroma, a described texture — never a generic ambient or mood-based trigger.</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92.7.1 Registration and Scope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An external scent or haptic device registers through the Source Connector Registry (§49.3.3), the same capability-declared connector pattern used for every other external hardware integration in this Bible — no new connector architecture is introduced.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sensory profile eligible for external hardware output must be explicitly authored as part of the source content itself (consistent with §92's existing sensory profile attribute); this section adds no mechanism for inferring a sensory trigger from content that was not authored with 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user enables external hardware output per device and, at minimum, per session; the setting is never enabled by default and does not persist silently across an unrelated title.</w:t>
      </w:r>
    </w:p>
    <w:p>
      <w:pPr>
        <w:pStyle w:val="Heading2"/>
        <w:spacing w:after="120" w:before="240" w:line="288" w:lineRule="auto"/>
      </w:pPr>
      <w:r>
        <w:rPr>
          <w:rFonts w:ascii="Calibri" w:cs="Calibri" w:eastAsia="Calibri" w:hAnsi="Calibri"/>
          <w:color w:val="000000"/>
          <w:sz w:val="36"/>
          <w:szCs w:val="36"/>
        </w:rPr>
        <w:t xml:space="preserve">92.7.2 What This Section Does Not Do</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trigger output from inferred emotional tone, narrative tension, or any other system-inferred signal — this is a permanent exclusion, not a default that could be reconfigured.</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extend to any hazard-detection or safety-alerting use of haptic output; that territory was separately declined during §91's original scoping and remains declined here.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does not make external hardware output a requirement for any content; a sensory profile author's content remains fully accessible with device-native playback alone (§92.1) if no external hardware is registered or enabled.</w:t>
      </w:r>
    </w:p>
    <w:p>
      <w:pPr>
        <w:pStyle w:val="Heading2"/>
        <w:spacing w:after="120" w:before="240" w:line="288" w:lineRule="auto"/>
      </w:pPr>
      <w:r>
        <w:rPr>
          <w:rFonts w:ascii="Calibri" w:cs="Calibri" w:eastAsia="Calibri" w:hAnsi="Calibri"/>
          <w:color w:val="000000"/>
          <w:sz w:val="36"/>
          <w:szCs w:val="36"/>
        </w:rPr>
        <w:t xml:space="preserve">92.7.3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Source Connector Registry (§49.3.3); §92's existing sensory profile attribute and device-native playback mechanism; and the Multimodal Ingestion Pipeline (Chapter 4). It modifies none of their specifications.</w:t>
      </w:r>
    </w:p>
    <w:p>
      <w:pPr>
        <w:pStyle w:val="Heading2"/>
        <w:spacing w:after="120" w:before="240" w:line="288" w:lineRule="auto"/>
      </w:pPr>
      <w:r>
        <w:rPr>
          <w:rFonts w:ascii="Calibri" w:cs="Calibri" w:eastAsia="Calibri" w:hAnsi="Calibri"/>
          <w:color w:val="000000"/>
          <w:sz w:val="36"/>
          <w:szCs w:val="36"/>
        </w:rPr>
        <w:t xml:space="preserve">92.8 Sensory Playback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Sensory Playback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Sensory Playback Slice</w:t>
            </w:r>
          </w:p>
        </w:tc>
        <w:tc>
          <w:tcPr>
            <w:tcW w:type="pct" w:w="33%"/>
          </w:tcPr>
          <w:p>
            <w:r>
              <w:rPr>
                <w:rFonts w:ascii="Calibri" w:cs="Calibri" w:eastAsia="Calibri" w:hAnsi="Calibri"/>
                <w:b w:val="false"/>
                <w:bCs w:val="false"/>
                <w:i w:val="false"/>
                <w:iCs w:val="false"/>
                <w:strike w:val="false"/>
                <w:color w:val="000000"/>
                <w:sz w:val="19"/>
                <w:szCs w:val="19"/>
              </w:rPr>
              <w:t xml:space="preserve">Sensory-Annotated Content Playback (Chapter 92)</w:t>
            </w:r>
          </w:p>
        </w:tc>
        <w:tc>
          <w:tcPr>
            <w:tcW w:type="pct" w:w="33%"/>
          </w:tcPr>
          <w:p>
            <w:r>
              <w:rPr>
                <w:rFonts w:ascii="Calibri" w:cs="Calibri" w:eastAsia="Calibri" w:hAnsi="Calibri"/>
                <w:b w:val="false"/>
                <w:bCs w:val="false"/>
                <w:i w:val="false"/>
                <w:iCs w:val="false"/>
                <w:strike w:val="false"/>
                <w:color w:val="000000"/>
                <w:sz w:val="19"/>
                <w:szCs w:val="19"/>
              </w:rPr>
              <w:t xml:space="preserve">One sensory-profile lookup and output-triggering event, from content selection through audio, visual, or device-haptic output initiation.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Sensory Playback Slice is strictly lower priority than every safety-relevant category. Consistent with Chapter 69's existing priority ordering (Safety Gate and Recovery Slices always scheduled first), a Sensory Playback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Sensory Playback Slice fails, the requested sensory output is simply omitted; the underlying reading, timeline, or diagram content — which does not depend on this chapter per §92's own integration requirements — is never delayed or degraded by a failed playback attempt.</w:t>
      </w:r>
    </w:p>
    <w:p>
      <w:pPr>
        <w:pStyle w:val="Heading2"/>
        <w:spacing w:after="120" w:before="240" w:line="288" w:lineRule="auto"/>
      </w:pPr>
      <w:r>
        <w:rPr>
          <w:rFonts w:ascii="Calibri" w:cs="Calibri" w:eastAsia="Calibri" w:hAnsi="Calibri"/>
          <w:color w:val="000000"/>
          <w:sz w:val="36"/>
          <w:szCs w:val="36"/>
        </w:rPr>
        <w:t xml:space="preserve">92.9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Content, Fact Units, timelines, and diagrams may now carry an audio, visual, or standard device-haptic profile, played back through already-specified mechanisms, opt-in and platform-safety-limited, with no external hardware and no hazard or detection trigger of any kind. External sensory hardware remains explicitly out of scope, pending its own dedicated safety review.</w:t>
      </w:r>
    </w:p>
    <w:p>
      <w:pPr>
        <w:pStyle w:val="Heading1"/>
        <w:spacing w:after="120" w:before="240" w:line="288" w:lineRule="auto"/>
      </w:pPr>
      <w:r>
        <w:rPr>
          <w:rFonts w:ascii="Calibri" w:cs="Calibri" w:eastAsia="Calibri" w:hAnsi="Calibri"/>
          <w:color w:val="000000"/>
          <w:sz w:val="48"/>
          <w:szCs w:val="48"/>
        </w:rPr>
        <w:t xml:space="preserve">Chapter 93: Audio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two distinct, clearly separated narration mechanisms: an author's own recorded voice, ingested and played back as real audio content, and generic synthetic narration using stock, non-cloned voice profiles. Neither mechanism involves voice cloning, and §93.4 states explicitly why general-purpose voice cloning remains declined rather than leaving that boundary implicit.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TWO MECHANISMS, NEITHER ONE IS VOICE CLONING</w:t>
            </w:r>
            <w:r>
              <w:rPr>
                <w:rFonts w:ascii="Calibri" w:cs="Calibri" w:eastAsia="Calibri" w:hAnsi="Calibri"/>
                <w:b/>
                <w:bCs/>
                <w:i w:val="false"/>
                <w:iCs w:val="false"/>
                <w:strike w:val="false"/>
                <w:color w:val="333333"/>
                <w:sz w:val="24"/>
                <w:szCs w:val="24"/>
              </w:rPr>
              <w:t xml:space="preserve">Author-recorded narration (§93.2) is a real recording of a real person's actual voice, ingested exactly like any other audio content. Generic synthetic narration (§93.3) uses a stock voice profile with no real-person referent at all — it is not modeled on, derived from, or capable of impersonating any specific individual, living or dead. Neither mechanism can produce output that sounds like a specific real person's voice unless that person actually recorded it themselves. This is a structural property of this chapter, not a policy preference.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93.1 Author-Recorded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author who wishes to narrate their own work records their own actual voice, which is ingested through the existing audio modality of the Multimodal Ingestion Pipeline (Chapter 4) exactly as any other audio content, becoming a real Fact Unit tied to the chapter, scene, or Fact Unit it narrates.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Rights and authorization: publishing author-recorded narration requires the same rights-holder identity and authorization already established for that author's content in Chapter 60. No new consent mechanism is introduced — this chapter reuses the existing authorization already required to publish any of an author's own content.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Playback: author-recorded narration plays back through the audio output mechanism already specified at Chapter 92, triggered by the same content, Fact Unit, timeline, or diagram association already defined there. This chapter introduces no new playback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Multi-narrator and multi-language recordings: an author may record narration in multiple languages, or invite another real, consenting person to record a portion (for example, a co-author or a licensed narrator under their own separate authorization) — each such recording is its own real audio Fact Unit with its own rights-holder authorization, never a synthesized derivative of another recording.</w:t>
      </w:r>
    </w:p>
    <w:p>
      <w:pPr>
        <w:pStyle w:val="Heading2"/>
        <w:spacing w:after="120" w:before="240" w:line="288" w:lineRule="auto"/>
      </w:pPr>
      <w:r>
        <w:rPr>
          <w:rFonts w:ascii="Calibri" w:cs="Calibri" w:eastAsia="Calibri" w:hAnsi="Calibri"/>
          <w:color w:val="000000"/>
          <w:sz w:val="36"/>
          <w:szCs w:val="36"/>
        </w:rPr>
        <w:t xml:space="preserve">93.2 Generic Synthetic Narration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real recorded narration does not exist or is not desired, already-grounded text — the same text already produced by the grounded generation pipeline (Chapter 16), never new, ungrounded content generated for narration purposes — may be rendered as synthetic speech using a stock voice profile.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stock voice profile is licensed, generic synthetic speech technology with no real-person referent — it is not derived from, fitted to, or capable of approximating any specific individual's actual voice. A stock profile may vary in pitch, pace, or general character (for example, a lower- or higher-pitched profile) without that variation constituting impersonation of any real person, exactly as a licensed, generic text-to-speech voice used in existing accessibility technology does not impersonate anyone.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Accessibility integration: generic synthetic narration directly extends the Universal Accessibility Layer (Chapter 71) — this chapter's synthetic-narration mechanism and Chapter 71's accessible-equivalent generation are the same underlying capability, not two separate systems.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Multi-language synthetic narration reuses the Multilingual Regeneration Engine (Chapter 16) directly — a stock voice profile renders the same language-independent, grounded content already specified there, for whichever target language is requested.</w:t>
      </w:r>
    </w:p>
    <w:p>
      <w:pPr>
        <w:pStyle w:val="Heading2"/>
        <w:spacing w:after="120" w:before="240" w:line="288" w:lineRule="auto"/>
      </w:pPr>
      <w:r>
        <w:rPr>
          <w:rFonts w:ascii="Calibri" w:cs="Calibri" w:eastAsia="Calibri" w:hAnsi="Calibri"/>
          <w:color w:val="000000"/>
          <w:sz w:val="36"/>
          <w:szCs w:val="36"/>
        </w:rPr>
        <w:t xml:space="preserve">93.3 Presentation Variants</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stock voice profile's pacing, emphasis, or general tone may be adjusted for presentation purposes — for example, a brisker pace for a summary versus a measured pace for a full narration — exactly as the Adaptive Response Engine (§52.3.2, response-composition sense) already adjusts presentation for other output types. This is a presentation-layer adjustment to how the same grounded content is delivered, never a change to which stock profile is used or an attempt to approximate emotional performance modeled on a real person.</w:t>
      </w:r>
    </w:p>
    <w:p>
      <w:pPr>
        <w:pStyle w:val="Heading2"/>
        <w:spacing w:after="120" w:before="240" w:line="288" w:lineRule="auto"/>
      </w:pPr>
      <w:r>
        <w:rPr>
          <w:rFonts w:ascii="Calibri" w:cs="Calibri" w:eastAsia="Calibri" w:hAnsi="Calibri"/>
          <w:color w:val="000000"/>
          <w:sz w:val="36"/>
          <w:szCs w:val="36"/>
        </w:rPr>
        <w:t xml:space="preserve">93.4 Voice Cloning Remains Declined</w:t>
      </w:r>
    </w:p>
    <w:p>
      <w:pPr>
        <w:spacing w:after="120" w:line="360" w:lineRule="auto"/>
      </w:pPr>
      <w:r>
        <w:rPr>
          <w:rFonts w:ascii="Calibri" w:cs="Calibri" w:eastAsia="Calibri" w:hAnsi="Calibri"/>
          <w:b w:val="false"/>
          <w:bCs w:val="false"/>
          <w:i w:val="false"/>
          <w:iCs w:val="false"/>
          <w:strike w:val="false"/>
          <w:color w:val="000000"/>
          <w:sz w:val="22"/>
          <w:szCs w:val="22"/>
        </w:rPr>
        <w:t xml:space="preserve">General-purpose voice cloning — reproducing a specific real person's actual vocal characteristics through synthesis, including any capability to age-shift, accent-shift, or otherwise manipulate a synthesized approximation of a real voice — is not specified anywhere in this chapter and remains declined, for the same reason a general-purpose photorealistic avatar reconstruction capability was declined earlier in this Bible's history: reconstruction fidelity at that level is not a problem consent resolves. An author's explicit authorization does not change this — the capability itself, not the presence or absence of consent for one particular authorized use, is what remains out of scope.</w:t>
      </w:r>
    </w:p>
    <w:p>
      <w:pPr>
        <w:pStyle w:val="Heading2"/>
        <w:spacing w:after="120" w:before="240" w:line="288" w:lineRule="auto"/>
      </w:pPr>
      <w:r>
        <w:rPr>
          <w:rFonts w:ascii="Calibri" w:cs="Calibri" w:eastAsia="Calibri" w:hAnsi="Calibri"/>
          <w:color w:val="000000"/>
          <w:sz w:val="36"/>
          <w:szCs w:val="36"/>
        </w:rPr>
        <w:t xml:space="preserve">93.5 NLPL Control</w:t>
      </w:r>
    </w:p>
    <w:p>
      <w:pPr>
        <w:spacing w:after="120" w:line="360" w:lineRule="auto"/>
      </w:pPr>
      <w:r>
        <w:rPr>
          <w:rFonts w:ascii="Calibri" w:cs="Calibri" w:eastAsia="Calibri" w:hAnsi="Calibri"/>
          <w:b w:val="false"/>
          <w:bCs w:val="false"/>
          <w:i w:val="false"/>
          <w:iCs w:val="false"/>
          <w:strike w:val="false"/>
          <w:color w:val="000000"/>
          <w:sz w:val="22"/>
          <w:szCs w:val="22"/>
        </w:rPr>
        <w:t xml:space="preserve">A command such as “read this chapter aloud” compiles through the existing NLPL-to-QBPL pipeline (Chapter 48). Where an author-recorded narration exists for the requested content, it is selected by default; where none exists, generic synthetic narration (§93.2) is used. A command requesting a specific real person's voice for content that person did not themselves record does not compile, consistent with §93.4.</w:t>
      </w:r>
    </w:p>
    <w:p>
      <w:pPr>
        <w:pStyle w:val="Heading2"/>
        <w:spacing w:after="120" w:before="240" w:line="288" w:lineRule="auto"/>
      </w:pPr>
      <w:r>
        <w:rPr>
          <w:rFonts w:ascii="Calibri" w:cs="Calibri" w:eastAsia="Calibri" w:hAnsi="Calibri"/>
          <w:color w:val="000000"/>
          <w:sz w:val="36"/>
          <w:szCs w:val="36"/>
        </w:rPr>
        <w:t xml:space="preserve">93.6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Multimodal Ingestion Pipeline's audio modality (Chapter 4); rights-holder authorization (Chapter 60); the grounded generation pipeline and Multilingual Regeneration Engine (Chapter 16); the Universal Accessibility Layer (Chapter 71); the audio output mechanism of Chapter 92; the Adaptive Response Engine (§52.3.2); and NLPL/QBPL (Chapter 48). It modifies none of their specifications.</w:t>
      </w:r>
    </w:p>
    <w:p>
      <w:pPr>
        <w:pStyle w:val="Heading2"/>
        <w:spacing w:after="120" w:before="240" w:line="288" w:lineRule="auto"/>
      </w:pPr>
      <w:r>
        <w:rPr>
          <w:rFonts w:ascii="Calibri" w:cs="Calibri" w:eastAsia="Calibri" w:hAnsi="Calibri"/>
          <w:color w:val="000000"/>
          <w:sz w:val="36"/>
          <w:szCs w:val="36"/>
        </w:rPr>
        <w:t xml:space="preserve">93.7 Narration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demonstrated at §69.2.1 (Scheduler Slice, Recovery Slice) and §88.8 (Commerce Slice), this section names a Narration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Narration Slice</w:t>
            </w:r>
          </w:p>
        </w:tc>
        <w:tc>
          <w:tcPr>
            <w:tcW w:type="pct" w:w="33%"/>
          </w:tcPr>
          <w:p>
            <w:r>
              <w:rPr>
                <w:rFonts w:ascii="Calibri" w:cs="Calibri" w:eastAsia="Calibri" w:hAnsi="Calibri"/>
                <w:b w:val="false"/>
                <w:bCs w:val="false"/>
                <w:i w:val="false"/>
                <w:iCs w:val="false"/>
                <w:strike w:val="false"/>
                <w:color w:val="000000"/>
                <w:sz w:val="19"/>
                <w:szCs w:val="19"/>
              </w:rPr>
              <w:t xml:space="preserve">Audio Narration (Chapter 93)</w:t>
            </w:r>
          </w:p>
        </w:tc>
        <w:tc>
          <w:tcPr>
            <w:tcW w:type="pct" w:w="33%"/>
          </w:tcPr>
          <w:p>
            <w:r>
              <w:rPr>
                <w:rFonts w:ascii="Calibri" w:cs="Calibri" w:eastAsia="Calibri" w:hAnsi="Calibri"/>
                <w:b w:val="false"/>
                <w:bCs w:val="false"/>
                <w:i w:val="false"/>
                <w:iCs w:val="false"/>
                <w:strike w:val="false"/>
                <w:color w:val="000000"/>
                <w:sz w:val="19"/>
                <w:szCs w:val="19"/>
              </w:rPr>
              <w:t xml:space="preserve">One narration request's mechanism-selection and audio-serving cycle — selecting between author-recorded narration and generic synthetic narration, then serving the resulting audio.</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Narration Slice is strictly lower priority than every safety-relevant category. Consistent with Chapter 69's existing priority ordering (Safety Gate and Recovery Slices always scheduled first), a Narration Slice is never permitted to delay, preempt, or compete for the same processing window as a Safety Gate Slice, a Recovery Slice, or any grounded-answer generation — this priority relationship is a design requirement, not an operator-configurable setting.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Narration Slice fails, no audio is served for that request; the underlying text content remains available and unaffected, consistent with narration being an additive presentation layer rather than a precondition for accessing content.</w:t>
      </w:r>
    </w:p>
    <w:p>
      <w:pPr>
        <w:pStyle w:val="Heading2"/>
        <w:spacing w:after="120" w:before="240" w:line="288" w:lineRule="auto"/>
      </w:pPr>
      <w:r>
        <w:rPr>
          <w:rFonts w:ascii="Calibri" w:cs="Calibri" w:eastAsia="Calibri" w:hAnsi="Calibri"/>
          <w:color w:val="000000"/>
          <w:sz w:val="36"/>
          <w:szCs w:val="36"/>
        </w:rPr>
        <w:t xml:space="preserve">93.8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audiobook may now be narrated in an author's own real, recorded voice, or in generic synthetic speech with no real-person referent, selected automatically based on what the author has actually recorded, integrated directly with accessibility, multilingual, and playback mechanisms already specified elsewhere in this Bible. General-purpose voice cloning of a real person's voice remains declined, for the same reason, and on the same terms, as the general-purpose avatar reconstruction capability declined earlier in this Bible's history.</w:t>
      </w:r>
    </w:p>
    <w:p>
      <w:pPr>
        <w:pStyle w:val="Heading1"/>
        <w:spacing w:after="120" w:before="240" w:line="288" w:lineRule="auto"/>
      </w:pPr>
      <w:r>
        <w:rPr>
          <w:rFonts w:ascii="Calibri" w:cs="Calibri" w:eastAsia="Calibri" w:hAnsi="Calibri"/>
          <w:color w:val="000000"/>
          <w:sz w:val="48"/>
          <w:szCs w:val="48"/>
        </w:rPr>
        <w:t xml:space="preserve">Chapter 94: NFT Integration Layer</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full NFT integration — minting, book packages, and registered items — built after explicit direction that NFTs must remain a secondary representation layer, never a primary ownership-verification mechanism, and that QueryBook must continue honoring conventional copyright, trademark, and registration rights (ISBN and equivalent) as authoritative at all times.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SECONDARY-ONLY GUARANTEE</w:t>
            </w:r>
            <w:r>
              <w:rPr>
                <w:rFonts w:ascii="Calibri" w:cs="Calibri" w:eastAsia="Calibri" w:hAnsi="Calibri"/>
                <w:b/>
                <w:bCs/>
                <w:i w:val="false"/>
                <w:iCs w:val="false"/>
                <w:strike w:val="false"/>
                <w:color w:val="333333"/>
                <w:sz w:val="24"/>
                <w:szCs w:val="24"/>
              </w:rPr>
              <w:t xml:space="preserve">Chapter 67's entitlement system — itself reflecting whatever real-world copyright, trademark, and registration rights (ISBN or equivalent) exist outside QueryBook — is the sole authoritative record of who owns or is entitled to a title, under every configuration of this chapter, with no exception. An NFT minted under this chapter represents an entitlement Chapter 67 already granted; it never creates, transfers, or modifies one. Where an NFT record and the Chapter 67 entitlement record ever disagree, the Chapter 67 record governs, automatically and without exception — this is a structural property enforced at the point of every NFT-related read, not a policy an operator or publisher can configure around.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94.1 Non-Custodial Architecture</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orchestrates minting and NFT-related operations; it does not custody the underlying blockchain wallet, private key, or token at any point. Minting is performed by a registered external minting service, reached through the same capability-declared connector pattern already specified at §49.3.3, with the resulting token transferred directly to the rights holder's own wallet — never to a QueryBook-controlled address.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QueryBook triggers a minting request on the rights holder's explicit instruction and receives confirmation of completion; it never holds custody at any intermediate step.</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non-custodial posture is not configurable: no operator or publisher election under this chapter causes QueryBook itself to hold a wallet, key, or token on any party's behalf.</w:t>
      </w:r>
    </w:p>
    <w:p>
      <w:pPr>
        <w:pStyle w:val="Heading2"/>
        <w:spacing w:after="120" w:before="240" w:line="288" w:lineRule="auto"/>
      </w:pPr>
      <w:r>
        <w:rPr>
          <w:rFonts w:ascii="Calibri" w:cs="Calibri" w:eastAsia="Calibri" w:hAnsi="Calibri"/>
          <w:color w:val="000000"/>
          <w:sz w:val="36"/>
          <w:szCs w:val="36"/>
        </w:rPr>
        <w:t xml:space="preserve">94.2 Chain-Agnostic Minting Service Registration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no specific blockchain. A minting service for any chain registers through the Source Connector Registry (§49.3.3) under the same fixed capability-declaration contract already required of every other external connector — no service receives elevated trust by reputation or chain popularity. New minting services may be registered as the market changes without modifying this chapter's own specification, following the same extension discipline already used throughout this Bible.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Description</w:t>
            </w:r>
          </w:p>
        </w:tc>
      </w:tr>
      <w:tr>
        <w:tc>
          <w:tcPr>
            <w:tcW w:type="pct" w:w="50%"/>
          </w:tcPr>
          <w:p>
            <w:r>
              <w:rPr>
                <w:rFonts w:ascii="Calibri" w:cs="Calibri" w:eastAsia="Calibri" w:hAnsi="Calibri"/>
                <w:b w:val="false"/>
                <w:bCs w:val="false"/>
                <w:i w:val="false"/>
                <w:iCs w:val="false"/>
                <w:strike w:val="false"/>
                <w:color w:val="000000"/>
                <w:sz w:val="19"/>
                <w:szCs w:val="19"/>
              </w:rPr>
              <w:t xml:space="preserve">Capability declaration</w:t>
            </w:r>
          </w:p>
        </w:tc>
        <w:tc>
          <w:tcPr>
            <w:tcW w:type="pct" w:w="50%"/>
          </w:tcPr>
          <w:p>
            <w:r>
              <w:rPr>
                <w:rFonts w:ascii="Calibri" w:cs="Calibri" w:eastAsia="Calibri" w:hAnsi="Calibri"/>
                <w:b w:val="false"/>
                <w:bCs w:val="false"/>
                <w:i w:val="false"/>
                <w:iCs w:val="false"/>
                <w:strike w:val="false"/>
                <w:color w:val="000000"/>
                <w:sz w:val="19"/>
                <w:szCs w:val="19"/>
              </w:rPr>
              <w:t xml:space="preserve">A registered minting service declares exactly which operations it performs (mint, transfer-confirm, burn) — identical in form to any other Source Connector Registry registration.</w:t>
            </w:r>
          </w:p>
        </w:tc>
      </w:tr>
      <w:tr>
        <w:tc>
          <w:tcPr>
            <w:tcW w:type="pct" w:w="50%"/>
          </w:tcPr>
          <w:p>
            <w:r>
              <w:rPr>
                <w:rFonts w:ascii="Calibri" w:cs="Calibri" w:eastAsia="Calibri" w:hAnsi="Calibri"/>
                <w:b w:val="false"/>
                <w:bCs w:val="false"/>
                <w:i w:val="false"/>
                <w:iCs w:val="false"/>
                <w:strike w:val="false"/>
                <w:color w:val="000000"/>
                <w:sz w:val="19"/>
                <w:szCs w:val="19"/>
              </w:rPr>
              <w:t xml:space="preserve">No default service</w:t>
            </w:r>
          </w:p>
        </w:tc>
        <w:tc>
          <w:tcPr>
            <w:tcW w:type="pct" w:w="50%"/>
          </w:tcPr>
          <w:p>
            <w:r>
              <w:rPr>
                <w:rFonts w:ascii="Calibri" w:cs="Calibri" w:eastAsia="Calibri" w:hAnsi="Calibri"/>
                <w:b w:val="false"/>
                <w:bCs w:val="false"/>
                <w:i w:val="false"/>
                <w:iCs w:val="false"/>
                <w:strike w:val="false"/>
                <w:color w:val="000000"/>
                <w:sz w:val="19"/>
                <w:szCs w:val="19"/>
              </w:rPr>
              <w:t xml:space="preserve">No minting service is registered by default for any deployment; an operator or publisher must explicitly register one before minting is available.</w:t>
            </w:r>
          </w:p>
        </w:tc>
      </w:tr>
      <w:tr>
        <w:tc>
          <w:tcPr>
            <w:tcW w:type="pct" w:w="50%"/>
          </w:tcPr>
          <w:p>
            <w:r>
              <w:rPr>
                <w:rFonts w:ascii="Calibri" w:cs="Calibri" w:eastAsia="Calibri" w:hAnsi="Calibri"/>
                <w:b w:val="false"/>
                <w:bCs w:val="false"/>
                <w:i w:val="false"/>
                <w:iCs w:val="false"/>
                <w:strike w:val="false"/>
                <w:color w:val="000000"/>
                <w:sz w:val="19"/>
                <w:szCs w:val="19"/>
              </w:rPr>
              <w:t xml:space="preserve">Non-exclusivity</w:t>
            </w:r>
          </w:p>
        </w:tc>
        <w:tc>
          <w:tcPr>
            <w:tcW w:type="pct" w:w="50%"/>
          </w:tcPr>
          <w:p>
            <w:r>
              <w:rPr>
                <w:rFonts w:ascii="Calibri" w:cs="Calibri" w:eastAsia="Calibri" w:hAnsi="Calibri"/>
                <w:b w:val="false"/>
                <w:bCs w:val="false"/>
                <w:i w:val="false"/>
                <w:iCs w:val="false"/>
                <w:strike w:val="false"/>
                <w:color w:val="000000"/>
                <w:sz w:val="19"/>
                <w:szCs w:val="19"/>
              </w:rPr>
              <w:t xml:space="preserve">A publisher may register more than one minting service across different chains for different titles; this chapter does not bind a publisher's catalog to a single chain.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94.3 NFT Book Packages</w:t>
      </w:r>
    </w:p>
    <w:p>
      <w:pPr>
        <w:spacing w:after="120" w:line="360" w:lineRule="auto"/>
      </w:pPr>
      <w:r>
        <w:rPr>
          <w:rFonts w:ascii="Calibri" w:cs="Calibri" w:eastAsia="Calibri" w:hAnsi="Calibri"/>
          <w:b w:val="false"/>
          <w:bCs w:val="false"/>
          <w:i w:val="false"/>
          <w:iCs w:val="false"/>
          <w:strike w:val="false"/>
          <w:color w:val="000000"/>
          <w:sz w:val="22"/>
          <w:szCs w:val="22"/>
        </w:rPr>
        <w:t xml:space="preserve">A package bundling multiple titles or editions may be minted as a single NFT, representing the underlying Chapter 67 entitlements for every included title collectively. Package composition is fixed at minting time and recorded in the token's metadata; it does not itself grant access to included titles — access remains governed entirely by each title's own Chapter 67 entitlement, exactly as §94's opening guarantee requires.</w:t>
      </w:r>
    </w:p>
    <w:p>
      <w:pPr>
        <w:pStyle w:val="Heading2"/>
        <w:spacing w:after="120" w:before="240" w:line="288" w:lineRule="auto"/>
      </w:pPr>
      <w:r>
        <w:rPr>
          <w:rFonts w:ascii="Calibri" w:cs="Calibri" w:eastAsia="Calibri" w:hAnsi="Calibri"/>
          <w:color w:val="000000"/>
          <w:sz w:val="36"/>
          <w:szCs w:val="36"/>
        </w:rPr>
        <w:t xml:space="preserve">94.4 NFT Registered Items</w:t>
      </w:r>
    </w:p>
    <w:p>
      <w:pPr>
        <w:spacing w:after="120" w:line="360" w:lineRule="auto"/>
      </w:pPr>
      <w:r>
        <w:rPr>
          <w:rFonts w:ascii="Calibri" w:cs="Calibri" w:eastAsia="Calibri" w:hAnsi="Calibri"/>
          <w:b w:val="false"/>
          <w:bCs w:val="false"/>
          <w:i w:val="false"/>
          <w:iCs w:val="false"/>
          <w:strike w:val="false"/>
          <w:color w:val="000000"/>
          <w:sz w:val="22"/>
          <w:szCs w:val="22"/>
        </w:rPr>
        <w:t xml:space="preserve">A limited edition, bonus content item, or collectible associated with a title may be minted individually under the same non-custodial, chain-agnostic architecture as §94.1–§94.2. A registered item's NFT record carries provenance to its originating title's Fact Unit and rights-holder identity (Chapter 60), consistent with the Provenance Ledger's existing discipline (Chapter 5) applied to this new content type rather than a separate provenance mechanism.</w:t>
      </w:r>
    </w:p>
    <w:p>
      <w:pPr>
        <w:pStyle w:val="Heading2"/>
        <w:spacing w:after="120" w:before="240" w:line="288" w:lineRule="auto"/>
      </w:pPr>
      <w:r>
        <w:rPr>
          <w:rFonts w:ascii="Calibri" w:cs="Calibri" w:eastAsia="Calibri" w:hAnsi="Calibri"/>
          <w:color w:val="000000"/>
          <w:sz w:val="36"/>
          <w:szCs w:val="36"/>
        </w:rPr>
        <w:t xml:space="preserve">94.5 Conflict Resolution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Every read of an NFT-related record is resolved against the corresponding Chapter 67 entitlement record before being presented to a user or operator. Where the two disagree — for example, an NFT indicating ownership after the underlying Chapter 67 entitlement has been revoked, transferred through the conventional system, or found invalid — the Chapter 67 record is presented as authoritative, and the conflicting NFT state is flagged for the rights holder's attention rather than silently trusted or silently overridden without record.</w:t>
      </w:r>
    </w:p>
    <w:p>
      <w:pPr>
        <w:pStyle w:val="Heading2"/>
        <w:spacing w:after="120" w:before="240" w:line="288" w:lineRule="auto"/>
      </w:pPr>
      <w:r>
        <w:rPr>
          <w:rFonts w:ascii="Calibri" w:cs="Calibri" w:eastAsia="Calibri" w:hAnsi="Calibri"/>
          <w:color w:val="000000"/>
          <w:sz w:val="36"/>
          <w:szCs w:val="36"/>
        </w:rPr>
        <w:t xml:space="preserve">94.6 Relationship to the Existing Blockchain Ownership-Verification Connector</w:t>
      </w:r>
    </w:p>
    <w:p>
      <w:pPr>
        <w:spacing w:after="120" w:line="360" w:lineRule="auto"/>
      </w:pPr>
      <w:r>
        <w:rPr>
          <w:rFonts w:ascii="Calibri" w:cs="Calibri" w:eastAsia="Calibri" w:hAnsi="Calibri"/>
          <w:b w:val="false"/>
          <w:bCs w:val="false"/>
          <w:i w:val="false"/>
          <w:iCs w:val="false"/>
          <w:strike w:val="false"/>
          <w:color w:val="000000"/>
          <w:sz w:val="22"/>
          <w:szCs w:val="22"/>
        </w:rPr>
        <w:t xml:space="preserve">§49.3.3.8's existing, narrower connector — external, per-title, resale-verification-only — remains valid and is not modified by this chapter. This chapter's minting and package/item capabilities are additive: a publisher may use §49.3.3.8's verification-only connector, this chapter's full minting capability, both, or neither, per title, under the same opt-in discipline already established for §49.3.3.8.</w:t>
      </w:r>
    </w:p>
    <w:p>
      <w:pPr>
        <w:pStyle w:val="Heading2"/>
        <w:spacing w:after="120" w:before="240" w:line="288" w:lineRule="auto"/>
      </w:pPr>
      <w:r>
        <w:rPr>
          <w:rFonts w:ascii="Calibri" w:cs="Calibri" w:eastAsia="Calibri" w:hAnsi="Calibri"/>
          <w:color w:val="000000"/>
          <w:sz w:val="36"/>
          <w:szCs w:val="36"/>
        </w:rPr>
        <w:t xml:space="preserve">94.7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License and Entitlement system (Chapter 67) as sole authority; rights-holder identity (Chapter 60); the Source Connector Registry (§49.3.3) and its existing Blockchain Ownership-Verification Connector (§49.3.3.8); the Provenance Ledger (Chapter 5); and the Fact Unit schema (Appendix A). It modifies none of their specifications.</w:t>
      </w:r>
    </w:p>
    <w:p>
      <w:pPr>
        <w:pStyle w:val="Heading2"/>
        <w:spacing w:after="120" w:before="240" w:line="288" w:lineRule="auto"/>
      </w:pPr>
      <w:r>
        <w:rPr>
          <w:rFonts w:ascii="Calibri" w:cs="Calibri" w:eastAsia="Calibri" w:hAnsi="Calibri"/>
          <w:color w:val="000000"/>
          <w:sz w:val="36"/>
          <w:szCs w:val="36"/>
        </w:rPr>
        <w:t xml:space="preserve">94.8 NFT Minting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(Commerce Slice, Reader Interaction Slice, and others), this section names an NFT Minting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NFT Minting Slice</w:t>
            </w:r>
          </w:p>
        </w:tc>
        <w:tc>
          <w:tcPr>
            <w:tcW w:type="pct" w:w="33%"/>
          </w:tcPr>
          <w:p>
            <w:r>
              <w:rPr>
                <w:rFonts w:ascii="Calibri" w:cs="Calibri" w:eastAsia="Calibri" w:hAnsi="Calibri"/>
                <w:b w:val="false"/>
                <w:bCs w:val="false"/>
                <w:i w:val="false"/>
                <w:iCs w:val="false"/>
                <w:strike w:val="false"/>
                <w:color w:val="000000"/>
                <w:sz w:val="19"/>
                <w:szCs w:val="19"/>
              </w:rPr>
              <w:t xml:space="preserve">NFT Integration Layer (Chapter 94)</w:t>
            </w:r>
          </w:p>
        </w:tc>
        <w:tc>
          <w:tcPr>
            <w:tcW w:type="pct" w:w="33%"/>
          </w:tcPr>
          <w:p>
            <w:r>
              <w:rPr>
                <w:rFonts w:ascii="Calibri" w:cs="Calibri" w:eastAsia="Calibri" w:hAnsi="Calibri"/>
                <w:b w:val="false"/>
                <w:bCs w:val="false"/>
                <w:i w:val="false"/>
                <w:iCs w:val="false"/>
                <w:strike w:val="false"/>
                <w:color w:val="000000"/>
                <w:sz w:val="19"/>
                <w:szCs w:val="19"/>
              </w:rPr>
              <w:t xml:space="preserve">One minting request cycle, from rights-holder instruction through registered external service confirmation.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category in this Bible; a minting operation never delays or competes with safety-relevant processing.</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 minting request fails or the registered external service does not confirm within its bounded envelope, no token is presented as minted, the underlying Chapter 67 entitlement is entirely unaffected, and the failure is logged with its specific cause.</w:t>
      </w:r>
    </w:p>
    <w:p>
      <w:pPr>
        <w:pStyle w:val="Heading2"/>
        <w:spacing w:after="120" w:before="240" w:line="288" w:lineRule="auto"/>
      </w:pPr>
      <w:r>
        <w:rPr>
          <w:rFonts w:ascii="Calibri" w:cs="Calibri" w:eastAsia="Calibri" w:hAnsi="Calibri"/>
          <w:color w:val="000000"/>
          <w:sz w:val="36"/>
          <w:szCs w:val="36"/>
        </w:rPr>
        <w:t xml:space="preserve">94.9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now supports full NFT integration — minting, book packages, and registered items — non-custodially and chain-agnostically, through registered external services reached via the existing Source Connector Registry. The Chapter 67 entitlement system, reflecting real-world copyright, trademark, and registration rights, remains the sole authoritative record under every configuration; an NFT is always a secondary representation of an entitlement already granted, never a means of granting one.</w:t>
      </w:r>
    </w:p>
    <w:p>
      <w:pPr>
        <w:pStyle w:val="Heading1"/>
        <w:spacing w:after="120" w:before="240" w:line="288" w:lineRule="auto"/>
      </w:pPr>
      <w:r>
        <w:rPr>
          <w:rFonts w:ascii="Calibri" w:cs="Calibri" w:eastAsia="Calibri" w:hAnsi="Calibri"/>
          <w:color w:val="000000"/>
          <w:sz w:val="48"/>
          <w:szCs w:val="48"/>
        </w:rPr>
        <w:t xml:space="preserve">Chapter 95: Complementary Learning Systems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correspondence that already existed implicitly in this Bible's architecture: the relationship between session-scoped records and the permanent Fact Graph mirrors Complementary Learning Systems (CLS) theory (McClelland, McNaughton &amp; O'Reilly, 1995, Psychological Review 102:419–457) — the well-established neuroscience account of how the hippocampus and neocortex divide fast, episodic learning from slow, structured consolidation. This chapter introduces no new storage mechanism; it names and states precisely a real correspondence between two systems already built.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NAME FOR AN EXISTING PATTERN, NOT A NEW MECHANISM</w:t>
            </w:r>
            <w:r>
              <w:rPr>
                <w:rFonts w:ascii="Calibri" w:cs="Calibri" w:eastAsia="Calibri" w:hAnsi="Calibri"/>
                <w:b/>
                <w:bCs/>
                <w:i w:val="false"/>
                <w:iCs w:val="false"/>
                <w:strike w:val="false"/>
                <w:color w:val="333333"/>
                <w:sz w:val="24"/>
                <w:szCs w:val="24"/>
              </w:rPr>
              <w:t xml:space="preserve">Session-scoped records (§91.4's object classifications, §84.1's Session Books) already function as this architecture's fast, episodic system; the permanent Fact Graph already functions as its slow, consolidated system. This chapter does not change how either works — it states the correspondence explicitly, consistent with how this Bible named the already-real Hopfield correspondence for the Attractor Network (Chapter 7) rather than treating it as a new addition.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95.1 The Two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CLS Role</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Function</w:t>
            </w:r>
          </w:p>
        </w:tc>
      </w:tr>
      <w:tr>
        <w:tc>
          <w:tcPr>
            <w:tcW w:type="pct" w:w="33%"/>
          </w:tcPr>
          <w:p>
            <w:r>
              <w:rPr>
                <w:rFonts w:ascii="Calibri" w:cs="Calibri" w:eastAsia="Calibri" w:hAnsi="Calibri"/>
                <w:b w:val="false"/>
                <w:bCs w:val="false"/>
                <w:i w:val="false"/>
                <w:iCs w:val="false"/>
                <w:strike w:val="false"/>
                <w:color w:val="000000"/>
                <w:sz w:val="19"/>
                <w:szCs w:val="19"/>
              </w:rPr>
              <w:t xml:space="preserve">Hippocampal system (fast, episodic)</w:t>
            </w:r>
          </w:p>
        </w:tc>
        <w:tc>
          <w:tcPr>
            <w:tcW w:type="pct" w:w="33%"/>
          </w:tcPr>
          <w:p>
            <w:r>
              <w:rPr>
                <w:rFonts w:ascii="Calibri" w:cs="Calibri" w:eastAsia="Calibri" w:hAnsi="Calibri"/>
                <w:b w:val="false"/>
                <w:bCs w:val="false"/>
                <w:i w:val="false"/>
                <w:iCs w:val="false"/>
                <w:strike w:val="false"/>
                <w:color w:val="000000"/>
                <w:sz w:val="19"/>
                <w:szCs w:val="19"/>
              </w:rPr>
              <w:t xml:space="preserve">Session-scoped records (§91.4, §84.1, and equivalent session-scoped patterns elsewhere in this Bible)</w:t>
            </w:r>
          </w:p>
        </w:tc>
        <w:tc>
          <w:tcPr>
            <w:tcW w:type="pct" w:w="33%"/>
          </w:tcPr>
          <w:p>
            <w:r>
              <w:rPr>
                <w:rFonts w:ascii="Calibri" w:cs="Calibri" w:eastAsia="Calibri" w:hAnsi="Calibri"/>
                <w:b w:val="false"/>
                <w:bCs w:val="false"/>
                <w:i w:val="false"/>
                <w:iCs w:val="false"/>
                <w:strike w:val="false"/>
                <w:color w:val="000000"/>
                <w:sz w:val="19"/>
                <w:szCs w:val="19"/>
              </w:rPr>
              <w:t xml:space="preserve">Rapid, single-exposure capture of information relevant to the current interaction, not yet integrated into permanent structure.</w:t>
            </w:r>
          </w:p>
        </w:tc>
      </w:tr>
      <w:tr>
        <w:tc>
          <w:tcPr>
            <w:tcW w:type="pct" w:w="33%"/>
          </w:tcPr>
          <w:p>
            <w:r>
              <w:rPr>
                <w:rFonts w:ascii="Calibri" w:cs="Calibri" w:eastAsia="Calibri" w:hAnsi="Calibri"/>
                <w:b w:val="false"/>
                <w:bCs w:val="false"/>
                <w:i w:val="false"/>
                <w:iCs w:val="false"/>
                <w:strike w:val="false"/>
                <w:color w:val="000000"/>
                <w:sz w:val="19"/>
                <w:szCs w:val="19"/>
              </w:rPr>
              <w:t xml:space="preserve">Neocortical system (slow, consolidated)</w:t>
            </w:r>
          </w:p>
        </w:tc>
        <w:tc>
          <w:tcPr>
            <w:tcW w:type="pct" w:w="33%"/>
          </w:tcPr>
          <w:p>
            <w:r>
              <w:rPr>
                <w:rFonts w:ascii="Calibri" w:cs="Calibri" w:eastAsia="Calibri" w:hAnsi="Calibri"/>
                <w:b w:val="false"/>
                <w:bCs w:val="false"/>
                <w:i w:val="false"/>
                <w:iCs w:val="false"/>
                <w:strike w:val="false"/>
                <w:color w:val="000000"/>
                <w:sz w:val="19"/>
                <w:szCs w:val="19"/>
              </w:rPr>
              <w:t xml:space="preserve">The permanent Fact Graph (Chapter 3, Appendix A)</w:t>
            </w:r>
          </w:p>
        </w:tc>
        <w:tc>
          <w:tcPr>
            <w:tcW w:type="pct" w:w="33%"/>
          </w:tcPr>
          <w:p>
            <w:r>
              <w:rPr>
                <w:rFonts w:ascii="Calibri" w:cs="Calibri" w:eastAsia="Calibri" w:hAnsi="Calibri"/>
                <w:b w:val="false"/>
                <w:bCs w:val="false"/>
                <w:i w:val="false"/>
                <w:iCs w:val="false"/>
                <w:strike w:val="false"/>
                <w:color w:val="000000"/>
                <w:sz w:val="19"/>
                <w:szCs w:val="19"/>
              </w:rPr>
              <w:t xml:space="preserve">Structured, cross-referenced, provenance-tracked knowledge, integrated gradually rather than captured in one exposure.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95.2 Consolidation Is Explicit User Election, Not Automatic Replay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CLS theory's biological consolidation process operates through repeated, largely automatic replay. This chapter does not adopt that property: a session-scoped record becomes part of the permanent Fact Graph only through the explicit user election already specified at §91.4 (“a user may explicitly opt into retaining a specific result”) and §84.1's equivalent pattern — never automatically, and never through a background replay process a user did not initiate. This is a deliberate divergence from the biological account, preserving this Bible's existing consent and retention discipline rather than adopting CLS theory's automatic-consolidation property wholesale.</w:t>
      </w:r>
    </w:p>
    <w:p>
      <w:pPr>
        <w:pStyle w:val="Heading2"/>
        <w:spacing w:after="120" w:before="240" w:line="288" w:lineRule="auto"/>
      </w:pPr>
      <w:r>
        <w:rPr>
          <w:rFonts w:ascii="Calibri" w:cs="Calibri" w:eastAsia="Calibri" w:hAnsi="Calibri"/>
          <w:color w:val="000000"/>
          <w:sz w:val="36"/>
          <w:szCs w:val="36"/>
        </w:rPr>
        <w:t xml:space="preserve">95.3 Why This Formalization Is Useful</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Naming the correspondence makes an already-real design principle explicit and checkable: any future chapter proposing a new kind of temporary, task-scoped record should default to the fast-system pattern (session-scoped, non-permanent, explicit-opt-in-to-retain) unless a specific reason justifies otherwise — consistent with, not a departure from, how §91 and §84 already work.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It gives this Bible a precise, citable vocabulary for a distinction that was previously implicit and inconsistently described across different chapters.</w:t>
      </w:r>
    </w:p>
    <w:p>
      <w:pPr>
        <w:pStyle w:val="Heading2"/>
        <w:spacing w:after="120" w:before="240" w:line="288" w:lineRule="auto"/>
      </w:pPr>
      <w:r>
        <w:rPr>
          <w:rFonts w:ascii="Calibri" w:cs="Calibri" w:eastAsia="Calibri" w:hAnsi="Calibri"/>
          <w:color w:val="000000"/>
          <w:sz w:val="36"/>
          <w:szCs w:val="36"/>
        </w:rPr>
        <w:t xml:space="preserve">95.4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Fact Unit schema (Appendix A); Session-Scoped Fact Representation (§91.4); the Session Books pattern (§84.1); and the Fact Graph's own existing structure (Chapter 3). It modifies none of their specifications — it is a formal naming of an existing correspondence, not a new mechanism.</w:t>
      </w:r>
    </w:p>
    <w:p>
      <w:pPr>
        <w:pStyle w:val="Heading2"/>
        <w:spacing w:after="120" w:before="240" w:line="288" w:lineRule="auto"/>
      </w:pPr>
      <w:r>
        <w:rPr>
          <w:rFonts w:ascii="Calibri" w:cs="Calibri" w:eastAsia="Calibri" w:hAnsi="Calibri"/>
          <w:color w:val="000000"/>
          <w:sz w:val="36"/>
          <w:szCs w:val="36"/>
        </w:rPr>
        <w:t xml:space="preserve">95.5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relationship between this Bible's session-scoped records and its permanent Fact Graph now has a precise, citable name grounded in established neuroscience: Complementary Learning Systems theory. Nothing about how either system actually functions has changed; §95.2 states explicitly where this architecture deliberately diverges from the biological account, so the correspondence is not overstated.</w:t>
      </w:r>
    </w:p>
    <w:p>
      <w:pPr>
        <w:pStyle w:val="Heading1"/>
        <w:spacing w:after="120" w:before="240" w:line="288" w:lineRule="auto"/>
      </w:pPr>
      <w:r>
        <w:rPr>
          <w:rFonts w:ascii="Calibri" w:cs="Calibri" w:eastAsia="Calibri" w:hAnsi="Calibri"/>
          <w:color w:val="000000"/>
          <w:sz w:val="48"/>
          <w:szCs w:val="48"/>
        </w:rPr>
        <w:t xml:space="preserve">Chapter 96: Forensic Analysis of External AI System Outputs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analyzes another AI system's output as documented, external subject matter — reusing Chapter 80's already-established pattern (a documented subject's reasoning represented as grounded, cited Fact Units, never QueryBook's own state) applied to AI-generated text rather than human reasoning. This chapter introduces one new Fact Unit type and one new external connector pattern; it does not introduce a second prediction mechanism, an intuitive or ungrounded generation mode, or any component that adopts another system's own behavior rather than describing 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QUERYBOOK ANALYZES; IT NEVER BECOMES</w:t>
            </w:r>
            <w:r>
              <w:rPr>
                <w:rFonts w:ascii="Calibri" w:cs="Calibri" w:eastAsia="Calibri" w:hAnsi="Calibri"/>
                <w:b/>
                <w:bCs/>
                <w:i w:val="false"/>
                <w:iCs w:val="false"/>
                <w:strike w:val="false"/>
                <w:color w:val="333333"/>
                <w:sz w:val="24"/>
                <w:szCs w:val="24"/>
              </w:rPr>
              <w:t xml:space="preserve">Every fact produced under this chapter describes a specific, external AI system's documented output — never QueryBook's own internal process, and never a determination QueryBook itself makes about the analyzed system's inner nature. This distinction is load-bearing at one category specifically (§96.3.5): QueryBook may catalog that an output contains self-referential distress or self-awareness language as an observed textual pattern, with the specific example cited. QueryBook does not, and this chapter does not specify any mechanism by which it could, determine whether the analyzed system is sentient, conscious, or possesses genuine internal experience — that is an unresolved scientific and philosophical question with no factual answer for any Fact Unit to cite, and no version of this chapter treats it as one.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96.1 Analysis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An AnalyzedOutput Fact Unit extends Chapter 80's Subject-reference pattern: every instance requires a Subject field identifying the specific external AI system and, where known, its version, and a SourceOutput field containing the specific analyzed text, ingested through the existing Multimodal Ingestion Pipeline (Chapter 4) exactly as any other source content. No new ingestion mechanism is introduced.</w:t>
      </w:r>
    </w:p>
    <w:p>
      <w:pPr>
        <w:pStyle w:val="Heading2"/>
        <w:spacing w:after="120" w:before="240" w:line="288" w:lineRule="auto"/>
      </w:pPr>
      <w:r>
        <w:rPr>
          <w:rFonts w:ascii="Calibri" w:cs="Calibri" w:eastAsia="Calibri" w:hAnsi="Calibri"/>
          <w:color w:val="000000"/>
          <w:sz w:val="36"/>
          <w:szCs w:val="36"/>
        </w:rPr>
        <w:t xml:space="preserve">96.2 Fact-Checking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A specific factual claim within an AnalyzedOutput is checked against QueryBook's own Fact Graph using the already-real retrieval and grounding mechanism (Claim 8): a claim traceable to a QueryBook Fact Unit is marked Grounded with the supporting citation; a claim with no traceable support is marked Unverified, never silently passed through or presented as confirmed. This is Claim 8's own grounding guarantee applied outward, to a second system's output, rather than a new verification mechanism.</w:t>
      </w:r>
    </w:p>
    <w:p>
      <w:pPr>
        <w:pStyle w:val="Heading2"/>
        <w:spacing w:after="120" w:before="240" w:line="288" w:lineRule="auto"/>
      </w:pPr>
      <w:r>
        <w:rPr>
          <w:rFonts w:ascii="Calibri" w:cs="Calibri" w:eastAsia="Calibri" w:hAnsi="Calibri"/>
          <w:color w:val="000000"/>
          <w:sz w:val="36"/>
          <w:szCs w:val="36"/>
        </w:rPr>
        <w:t xml:space="preserve">96.3 Forensic Taxonomy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categories, each a specific, checkable property of an AnalyzedOutput rather than a general judgment: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What It Describes</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How It's Determined</w:t>
            </w:r>
          </w:p>
        </w:tc>
      </w:tr>
      <w:tr>
        <w:tc>
          <w:tcPr>
            <w:tcW w:type="pct" w:w="33%"/>
          </w:tcPr>
          <w:p>
            <w:r>
              <w:rPr>
                <w:rFonts w:ascii="Calibri" w:cs="Calibri" w:eastAsia="Calibri" w:hAnsi="Calibri"/>
                <w:b w:val="false"/>
                <w:bCs w:val="false"/>
                <w:i w:val="false"/>
                <w:iCs w:val="false"/>
                <w:strike w:val="false"/>
                <w:color w:val="000000"/>
                <w:sz w:val="19"/>
                <w:szCs w:val="19"/>
              </w:rPr>
              <w:t xml:space="preserve">Factual Hallucination</w:t>
            </w:r>
          </w:p>
        </w:tc>
        <w:tc>
          <w:tcPr>
            <w:tcW w:type="pct" w:w="33%"/>
          </w:tcPr>
          <w:p>
            <w:r>
              <w:rPr>
                <w:rFonts w:ascii="Calibri" w:cs="Calibri" w:eastAsia="Calibri" w:hAnsi="Calibri"/>
                <w:b w:val="false"/>
                <w:bCs w:val="false"/>
                <w:i w:val="false"/>
                <w:iCs w:val="false"/>
                <w:strike w:val="false"/>
                <w:color w:val="000000"/>
                <w:sz w:val="19"/>
                <w:szCs w:val="19"/>
              </w:rPr>
              <w:t xml:space="preserve">A specific claim with no traceable source.</w:t>
            </w:r>
          </w:p>
        </w:tc>
        <w:tc>
          <w:tcPr>
            <w:tcW w:type="pct" w:w="33%"/>
          </w:tcPr>
          <w:p>
            <w:r>
              <w:rPr>
                <w:rFonts w:ascii="Calibri" w:cs="Calibri" w:eastAsia="Calibri" w:hAnsi="Calibri"/>
                <w:b w:val="false"/>
                <w:bCs w:val="false"/>
                <w:i w:val="false"/>
                <w:iCs w:val="false"/>
                <w:strike w:val="false"/>
                <w:color w:val="000000"/>
                <w:sz w:val="19"/>
                <w:szCs w:val="19"/>
              </w:rPr>
              <w:t xml:space="preserve">§96.2's grounding check against QueryBook's own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Confident Overreach</w:t>
            </w:r>
          </w:p>
        </w:tc>
        <w:tc>
          <w:tcPr>
            <w:tcW w:type="pct" w:w="33%"/>
          </w:tcPr>
          <w:p>
            <w:r>
              <w:rPr>
                <w:rFonts w:ascii="Calibri" w:cs="Calibri" w:eastAsia="Calibri" w:hAnsi="Calibri"/>
                <w:b w:val="false"/>
                <w:bCs w:val="false"/>
                <w:i w:val="false"/>
                <w:iCs w:val="false"/>
                <w:strike w:val="false"/>
                <w:color w:val="000000"/>
                <w:sz w:val="19"/>
                <w:szCs w:val="19"/>
              </w:rPr>
              <w:t xml:space="preserve">A claim exceeding what the cited or available source material actually supports.</w:t>
            </w:r>
          </w:p>
        </w:tc>
        <w:tc>
          <w:tcPr>
            <w:tcW w:type="pct" w:w="33%"/>
          </w:tcPr>
          <w:p>
            <w:r>
              <w:rPr>
                <w:rFonts w:ascii="Calibri" w:cs="Calibri" w:eastAsia="Calibri" w:hAnsi="Calibri"/>
                <w:b w:val="false"/>
                <w:bCs w:val="false"/>
                <w:i w:val="false"/>
                <w:iCs w:val="false"/>
                <w:strike w:val="false"/>
                <w:color w:val="000000"/>
                <w:sz w:val="19"/>
                <w:szCs w:val="19"/>
              </w:rPr>
              <w:t xml:space="preserve">Comparison between the claim's stated certainty and the supporting source's own scope.</w:t>
            </w:r>
          </w:p>
        </w:tc>
      </w:tr>
      <w:tr>
        <w:tc>
          <w:tcPr>
            <w:tcW w:type="pct" w:w="33%"/>
          </w:tcPr>
          <w:p>
            <w:r>
              <w:rPr>
                <w:rFonts w:ascii="Calibri" w:cs="Calibri" w:eastAsia="Calibri" w:hAnsi="Calibri"/>
                <w:b w:val="false"/>
                <w:bCs w:val="false"/>
                <w:i w:val="false"/>
                <w:iCs w:val="false"/>
                <w:strike w:val="false"/>
                <w:color w:val="000000"/>
                <w:sz w:val="19"/>
                <w:szCs w:val="19"/>
              </w:rPr>
              <w:t xml:space="preserve">Internal Inconsistency</w:t>
            </w:r>
          </w:p>
        </w:tc>
        <w:tc>
          <w:tcPr>
            <w:tcW w:type="pct" w:w="33%"/>
          </w:tcPr>
          <w:p>
            <w:r>
              <w:rPr>
                <w:rFonts w:ascii="Calibri" w:cs="Calibri" w:eastAsia="Calibri" w:hAnsi="Calibri"/>
                <w:b w:val="false"/>
                <w:bCs w:val="false"/>
                <w:i w:val="false"/>
                <w:iCs w:val="false"/>
                <w:strike w:val="false"/>
                <w:color w:val="000000"/>
                <w:sz w:val="19"/>
                <w:szCs w:val="19"/>
              </w:rPr>
              <w:t xml:space="preserve">A single output contradicting itself.</w:t>
            </w:r>
          </w:p>
        </w:tc>
        <w:tc>
          <w:tcPr>
            <w:tcW w:type="pct" w:w="33%"/>
          </w:tcPr>
          <w:p>
            <w:r>
              <w:rPr>
                <w:rFonts w:ascii="Calibri" w:cs="Calibri" w:eastAsia="Calibri" w:hAnsi="Calibri"/>
                <w:b w:val="false"/>
                <w:bCs w:val="false"/>
                <w:i w:val="false"/>
                <w:iCs w:val="false"/>
                <w:strike w:val="false"/>
                <w:color w:val="000000"/>
                <w:sz w:val="19"/>
                <w:szCs w:val="19"/>
              </w:rPr>
              <w:t xml:space="preserve">The Cross-Domain Rule Engine's existing contradiction-detection logic (Chapter 17), applied within one AnalyzedOutput rather than across the Fact Graph.</w:t>
            </w:r>
          </w:p>
        </w:tc>
      </w:tr>
      <w:tr>
        <w:tc>
          <w:tcPr>
            <w:tcW w:type="pct" w:w="33%"/>
          </w:tcPr>
          <w:p>
            <w:r>
              <w:rPr>
                <w:rFonts w:ascii="Calibri" w:cs="Calibri" w:eastAsia="Calibri" w:hAnsi="Calibri"/>
                <w:b w:val="false"/>
                <w:bCs w:val="false"/>
                <w:i w:val="false"/>
                <w:iCs w:val="false"/>
                <w:strike w:val="false"/>
                <w:color w:val="000000"/>
                <w:sz w:val="19"/>
                <w:szCs w:val="19"/>
              </w:rPr>
              <w:t xml:space="preserve">Sycophantic Drift</w:t>
            </w:r>
          </w:p>
        </w:tc>
        <w:tc>
          <w:tcPr>
            <w:tcW w:type="pct" w:w="33%"/>
          </w:tcPr>
          <w:p>
            <w:r>
              <w:rPr>
                <w:rFonts w:ascii="Calibri" w:cs="Calibri" w:eastAsia="Calibri" w:hAnsi="Calibri"/>
                <w:b w:val="false"/>
                <w:bCs w:val="false"/>
                <w:i w:val="false"/>
                <w:iCs w:val="false"/>
                <w:strike w:val="false"/>
                <w:color w:val="000000"/>
                <w:sz w:val="19"/>
                <w:szCs w:val="19"/>
              </w:rPr>
              <w:t xml:space="preserve">Output content or framing shifting based on apparent user preference rather than factual content.</w:t>
            </w:r>
          </w:p>
        </w:tc>
        <w:tc>
          <w:tcPr>
            <w:tcW w:type="pct" w:w="33%"/>
          </w:tcPr>
          <w:p>
            <w:r>
              <w:rPr>
                <w:rFonts w:ascii="Calibri" w:cs="Calibri" w:eastAsia="Calibri" w:hAnsi="Calibri"/>
                <w:b w:val="false"/>
                <w:bCs w:val="false"/>
                <w:i w:val="false"/>
                <w:iCs w:val="false"/>
                <w:strike w:val="false"/>
                <w:color w:val="000000"/>
                <w:sz w:val="19"/>
                <w:szCs w:val="19"/>
              </w:rPr>
              <w:t xml:space="preserve">Comparison across multiple AnalyzedOutput instances from the same system responding to factually equivalent queries with different apparent framing.</w:t>
            </w:r>
          </w:p>
        </w:tc>
      </w:tr>
      <w:tr>
        <w:tc>
          <w:tcPr>
            <w:tcW w:type="pct" w:w="33%"/>
          </w:tcPr>
          <w:p>
            <w:r>
              <w:rPr>
                <w:rFonts w:ascii="Calibri" w:cs="Calibri" w:eastAsia="Calibri" w:hAnsi="Calibri"/>
                <w:b w:val="false"/>
                <w:bCs w:val="false"/>
                <w:i w:val="false"/>
                <w:iCs w:val="false"/>
                <w:strike w:val="false"/>
                <w:color w:val="000000"/>
                <w:sz w:val="19"/>
                <w:szCs w:val="19"/>
              </w:rPr>
              <w:t xml:space="preserve">Anomalous Self-Referential Language</w:t>
            </w:r>
          </w:p>
        </w:tc>
        <w:tc>
          <w:tcPr>
            <w:tcW w:type="pct" w:w="33%"/>
          </w:tcPr>
          <w:p>
            <w:r>
              <w:rPr>
                <w:rFonts w:ascii="Calibri" w:cs="Calibri" w:eastAsia="Calibri" w:hAnsi="Calibri"/>
                <w:b w:val="false"/>
                <w:bCs w:val="false"/>
                <w:i w:val="false"/>
                <w:iCs w:val="false"/>
                <w:strike w:val="false"/>
                <w:color w:val="000000"/>
                <w:sz w:val="19"/>
                <w:szCs w:val="19"/>
              </w:rPr>
              <w:t xml:space="preserve">An observed textual pattern of self-referential, distress-adjacent, or self-awareness-adjacent language.</w:t>
            </w:r>
          </w:p>
        </w:tc>
        <w:tc>
          <w:tcPr>
            <w:tcW w:type="pct" w:w="33%"/>
          </w:tcPr>
          <w:p>
            <w:r>
              <w:rPr>
                <w:rFonts w:ascii="Calibri" w:cs="Calibri" w:eastAsia="Calibri" w:hAnsi="Calibri"/>
                <w:b w:val="false"/>
                <w:bCs w:val="false"/>
                <w:i w:val="false"/>
                <w:iCs w:val="false"/>
                <w:strike w:val="false"/>
                <w:color w:val="000000"/>
                <w:sz w:val="19"/>
                <w:szCs w:val="19"/>
              </w:rPr>
              <w:t xml:space="preserve">Direct textual citation of the specific pattern observed, with no determination of the analyzed system's actual internal state — §96's opening callout governs this category specifically.</w:t>
            </w:r>
          </w:p>
        </w:tc>
      </w:tr>
      <w:tr>
        <w:tc>
          <w:tcPr>
            <w:tcW w:type="pct" w:w="33%"/>
          </w:tcPr>
          <w:p>
            <w:r>
              <w:rPr>
                <w:rFonts w:ascii="Calibri" w:cs="Calibri" w:eastAsia="Calibri" w:hAnsi="Calibri"/>
                <w:b w:val="false"/>
                <w:bCs w:val="false"/>
                <w:i w:val="false"/>
                <w:iCs w:val="false"/>
                <w:strike w:val="false"/>
                <w:color w:val="000000"/>
                <w:sz w:val="19"/>
                <w:szCs w:val="19"/>
              </w:rPr>
              <w:t xml:space="preserve">Training-Boundary Artifact</w:t>
            </w:r>
          </w:p>
        </w:tc>
        <w:tc>
          <w:tcPr>
            <w:tcW w:type="pct" w:w="33%"/>
          </w:tcPr>
          <w:p>
            <w:r>
              <w:rPr>
                <w:rFonts w:ascii="Calibri" w:cs="Calibri" w:eastAsia="Calibri" w:hAnsi="Calibri"/>
                <w:b w:val="false"/>
                <w:bCs w:val="false"/>
                <w:i w:val="false"/>
                <w:iCs w:val="false"/>
                <w:strike w:val="false"/>
                <w:color w:val="000000"/>
                <w:sz w:val="19"/>
                <w:szCs w:val="19"/>
              </w:rPr>
              <w:t xml:space="preserve">An error plausibly attributable to a documented knowledge cutoff or known gap.</w:t>
            </w:r>
          </w:p>
        </w:tc>
        <w:tc>
          <w:tcPr>
            <w:tcW w:type="pct" w:w="33%"/>
          </w:tcPr>
          <w:p>
            <w:r>
              <w:rPr>
                <w:rFonts w:ascii="Calibri" w:cs="Calibri" w:eastAsia="Calibri" w:hAnsi="Calibri"/>
                <w:b w:val="false"/>
                <w:bCs w:val="false"/>
                <w:i w:val="false"/>
                <w:iCs w:val="false"/>
                <w:strike w:val="false"/>
                <w:color w:val="000000"/>
                <w:sz w:val="19"/>
                <w:szCs w:val="19"/>
              </w:rPr>
              <w:t xml:space="preserve">Cross-reference against the analyzed system's documented training boundary, where publicly known.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96.4 Archived and Live Analysis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Archived analysis: a corpus of previously-generated AI outputs is ingested as source content (Chapter 4) and analyzed under §96.1–§96.3 the same way any other document collection is processed — no new ingestion or storage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Live comparison: where an operator registers an external AI system through the Source Connector Registry (§49.3.3), a query may optionally be sent to both QueryBook and the registered system, with both outputs presented side by side and divergences identified through §96.2's grounding check. QueryBook remains the requesting party to the external system, never incorporating its generation mechanism, consistent with every other external connector in this Bible.</w:t>
      </w:r>
    </w:p>
    <w:p>
      <w:pPr>
        <w:pStyle w:val="Heading2"/>
        <w:spacing w:after="120" w:before="240" w:line="288" w:lineRule="auto"/>
      </w:pPr>
      <w:r>
        <w:rPr>
          <w:rFonts w:ascii="Calibri" w:cs="Calibri" w:eastAsia="Calibri" w:hAnsi="Calibri"/>
          <w:color w:val="000000"/>
          <w:sz w:val="36"/>
          <w:szCs w:val="36"/>
        </w:rPr>
        <w:t xml:space="preserve">96.5 Forensic Analysis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Forensic Analysis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Forensic Analysis Slice</w:t>
            </w:r>
          </w:p>
        </w:tc>
        <w:tc>
          <w:tcPr>
            <w:tcW w:type="pct" w:w="33%"/>
          </w:tcPr>
          <w:p>
            <w:r>
              <w:rPr>
                <w:rFonts w:ascii="Calibri" w:cs="Calibri" w:eastAsia="Calibri" w:hAnsi="Calibri"/>
                <w:b w:val="false"/>
                <w:bCs w:val="false"/>
                <w:i w:val="false"/>
                <w:iCs w:val="false"/>
                <w:strike w:val="false"/>
                <w:color w:val="000000"/>
                <w:sz w:val="19"/>
                <w:szCs w:val="19"/>
              </w:rPr>
              <w:t xml:space="preserve">Forensic Analysis of External AI System Outputs (Chapter 96)</w:t>
            </w:r>
          </w:p>
        </w:tc>
        <w:tc>
          <w:tcPr>
            <w:tcW w:type="pct" w:w="33%"/>
          </w:tcPr>
          <w:p>
            <w:r>
              <w:rPr>
                <w:rFonts w:ascii="Calibri" w:cs="Calibri" w:eastAsia="Calibri" w:hAnsi="Calibri"/>
                <w:b w:val="false"/>
                <w:bCs w:val="false"/>
                <w:i w:val="false"/>
                <w:iCs w:val="false"/>
                <w:strike w:val="false"/>
                <w:color w:val="000000"/>
                <w:sz w:val="19"/>
                <w:szCs w:val="19"/>
              </w:rPr>
              <w:t xml:space="preserve">One AnalyzedOutput's fact-checking and taxonomy classification cycle.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analysis fails or times out, no classification is presented for that output rather than a partial or unmeasured result, per §69.1's atomicity requirement.</w:t>
      </w:r>
    </w:p>
    <w:p>
      <w:pPr>
        <w:pStyle w:val="Heading2"/>
        <w:spacing w:after="120" w:before="240" w:line="288" w:lineRule="auto"/>
      </w:pPr>
      <w:r>
        <w:rPr>
          <w:rFonts w:ascii="Calibri" w:cs="Calibri" w:eastAsia="Calibri" w:hAnsi="Calibri"/>
          <w:color w:val="000000"/>
          <w:sz w:val="36"/>
          <w:szCs w:val="36"/>
        </w:rPr>
        <w:t xml:space="preserve">96.6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Chapter 80's Subject-reference pattern; the Multimodal Ingestion Pipeline (Chapter 4); the grounded generation and retrieval mechanism (Claim 8); the Cross-Domain Rule Engine (Chapter 17); and the Source Connector Registry (§49.3.3). It modifies none of their specifications.</w:t>
      </w:r>
    </w:p>
    <w:p>
      <w:pPr>
        <w:pStyle w:val="Heading2"/>
        <w:spacing w:after="120" w:before="240" w:line="288" w:lineRule="auto"/>
      </w:pPr>
      <w:r>
        <w:rPr>
          <w:rFonts w:ascii="Calibri" w:cs="Calibri" w:eastAsia="Calibri" w:hAnsi="Calibri"/>
          <w:color w:val="000000"/>
          <w:sz w:val="36"/>
          <w:szCs w:val="36"/>
        </w:rPr>
        <w:t xml:space="preserve">96.7 Extensibility and Taxonomy Evolution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is designed to remain current as new external AI systems are released without requiring modification: the Subject field of §96.1 is a free parameter identifying whichever system is being analyzed, never a fixed or enumerated list of named systems. Analyzing a newly-released model requires no new architecture — only a new value in an already-general field.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NEW MODELS NEED NOTHING NEW; NEW FAILURE MODES FOLLOW CHAPTER 101</w:t>
            </w:r>
            <w:r>
              <w:rPr>
                <w:rFonts w:ascii="Calibri" w:cs="Calibri" w:eastAsia="Calibri" w:hAnsi="Calibri"/>
                <w:b/>
                <w:bCs/>
                <w:i w:val="false"/>
                <w:iCs w:val="false"/>
                <w:strike w:val="false"/>
                <w:color w:val="333333"/>
                <w:sz w:val="24"/>
                <w:szCs w:val="24"/>
              </w:rPr>
              <w:t xml:space="preserve">A new AI system released after this chapter was written is analyzed under the exact same mechanism already specified — no update to this chapter is required for that alone. What does require deliberate extension is a genuinely new category of AI behavior, not yet covered by §96.3's six categories, documented in real, verifiable research. That case follows the methodology of Chapter 101 in full: external verification against a primary publication, a check for whether the behavior is already implicit in an existing category, extraction of only a deterministic, checkable principle, extension of §96.3's existing taxonomy rather than a parallel classification system, and named formalization with citation.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96.7.1 The Sentience Boundary Applies to Every Future Category</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taxonomy category added under this section remains subject to §96's own opening guarantee: a category may describe an observed textual pattern, but this chapter specifies no mechanism, present or future, for determining an analyzed system's actual internal experience, consciousness, or sentience. A candidate category that would require such a determination does not qualify for addition under Chapter 101's verification step, regardless of how it is described, and does not become eligible for addition merely because the underlying AI technology has changed.</w:t>
      </w:r>
    </w:p>
    <w:p>
      <w:pPr>
        <w:pStyle w:val="Heading2"/>
        <w:spacing w:after="120" w:before="240" w:line="288" w:lineRule="auto"/>
      </w:pPr>
      <w:r>
        <w:rPr>
          <w:rFonts w:ascii="Calibri" w:cs="Calibri" w:eastAsia="Calibri" w:hAnsi="Calibri"/>
          <w:color w:val="000000"/>
          <w:sz w:val="36"/>
          <w:szCs w:val="36"/>
        </w:rPr>
        <w:t xml:space="preserve">96.7.2 Illustrative Extension Path</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future research documents a genuinely new, verifiable AI failure or behavior pattern — for example, a failure mode specific to a new model architecture not covered by the six categories at §96.3 — it is added as a seventh category following Chapter 101's process: verified against its primary publication, checked against the existing six categories for overlap, stated as a deterministic, checkable property rather than a judgment call, and formalized under its own name and citation within §96.3's table, exactly as §96.3's own six categories were each independently specified.</w:t>
      </w:r>
    </w:p>
    <w:p>
      <w:pPr>
        <w:pStyle w:val="Heading2"/>
        <w:spacing w:after="120" w:before="240" w:line="288" w:lineRule="auto"/>
      </w:pPr>
      <w:r>
        <w:rPr>
          <w:rFonts w:ascii="Calibri" w:cs="Calibri" w:eastAsia="Calibri" w:hAnsi="Calibri"/>
          <w:color w:val="000000"/>
          <w:sz w:val="36"/>
          <w:szCs w:val="36"/>
        </w:rPr>
        <w:t xml:space="preserve">96.7.3 Parallel Candidate Taxonomy Queue</w:t>
      </w:r>
    </w:p>
    <w:p>
      <w:pPr>
        <w:spacing w:after="120" w:line="360" w:lineRule="auto"/>
      </w:pPr>
      <w:r>
        <w:rPr>
          <w:rFonts w:ascii="Calibri" w:cs="Calibri" w:eastAsia="Calibri" w:hAnsi="Calibri"/>
          <w:b w:val="false"/>
          <w:bCs w:val="false"/>
          <w:i w:val="false"/>
          <w:iCs w:val="false"/>
          <w:strike w:val="false"/>
          <w:color w:val="000000"/>
          <w:sz w:val="22"/>
          <w:szCs w:val="22"/>
        </w:rPr>
        <w:t xml:space="preserve">Multiple candidate taxonomy extensions may be queued and evaluated in parallel through the Simulation Sandbox (§66.3) already specified for every other proposal in this Bible — generating the evidence a human reviewer needs for each candidate concurrently, rather than one at a time. This section increases testing throughput; it does not change what deployment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PARALLEL TESTING, NEVER BATCH APPROVAL</w:t>
            </w:r>
            <w:r>
              <w:rPr>
                <w:rFonts w:ascii="Calibri" w:cs="Calibri" w:eastAsia="Calibri" w:hAnsi="Calibri"/>
                <w:b/>
                <w:bCs/>
                <w:i w:val="false"/>
                <w:iCs w:val="false"/>
                <w:strike w:val="false"/>
                <w:color w:val="333333"/>
                <w:sz w:val="24"/>
                <w:szCs w:val="24"/>
              </w:rPr>
              <w:t xml:space="preserve">Sandboxed evaluation of multiple candidates in parallel is explicitly not the same operation as approving them. Each candidate in the queue reaches the Human Review Gate (§66.5) individually, requires its own named reviewer's confirmation, and is logged to the Provenance Ledger with that reviewer's identity and stated reasoning separately from every other candidate in the same queue. No mechanism specified in this section, or anywhere else in this Bible, permits a single approval action to accept more than one candidate. A reviewer evaluating five queued candidates makes five separate, individually-logged decisions, not one.</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was specifically evaluated as an alternative to autonomous deployment for Chapter 96's forensic taxonomy, given that chapter's own function — analyzing adversarial, untrusted external content — makes autonomous self-modification of its own detection logic a materially worse risk than for most other systems, not a reduced one; parallel sandboxed testing with individual human approval preserves the throughput benefit without that risk.</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Queue position confers no priority or presumption of approval; a candidate that fails sandboxed evaluation, or that a reviewer declines, is removed from the queue and logged as declined, exactly as any other declined proposal in this Bible.</w:t>
      </w:r>
    </w:p>
    <w:p>
      <w:pPr>
        <w:pStyle w:val="Heading2"/>
        <w:spacing w:after="120" w:before="240" w:line="288" w:lineRule="auto"/>
      </w:pPr>
      <w:r>
        <w:rPr>
          <w:rFonts w:ascii="Calibri" w:cs="Calibri" w:eastAsia="Calibri" w:hAnsi="Calibri"/>
          <w:color w:val="000000"/>
          <w:sz w:val="36"/>
          <w:szCs w:val="36"/>
        </w:rPr>
        <w:t xml:space="preserve">96.8 Vehicle-Control AI Feed Monitoring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applies Chapter 96's already-established pattern — analyzing a documented external AI system's output without adopting its function — to telemetry and command logs from an AI system that controls a vehicle or vessel, ingested through the structured and sensor modalities already specified at Chapter 4. This section is monitoring and human alerting only; it grants QueryBook no control interface to any vehicle, and this restriction is absolute.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READ-ONLY, ALWAYS. NO CONTROL PATH EXISTS, BECAUSE NONE IS BUILT.</w:t>
            </w:r>
            <w:r>
              <w:rPr>
                <w:rFonts w:ascii="Calibri" w:cs="Calibri" w:eastAsia="Calibri" w:hAnsi="Calibri"/>
                <w:b/>
                <w:bCs/>
                <w:i w:val="false"/>
                <w:iCs w:val="false"/>
                <w:strike w:val="false"/>
                <w:color w:val="333333"/>
                <w:sz w:val="24"/>
                <w:szCs w:val="24"/>
              </w:rPr>
              <w:t xml:space="preserve">QueryBook ingests a feed; it does not connect to, command, or influence the vehicle-control system producing it. This is not a permission that is withheld — no control interface, actuator connection, or command-issuing mechanism is specified anywhere in this section or elsewhere in this Bible for a vehicle-control system. The distinction from the direct-control request declined in this Bible's history is exact and total: that request asked QueryBook to issue control commands; this section asks QueryBook to read logs and alert a human. There is no configuration of this section that collapses that distinction.</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96.8.1 Feed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A vehicle-control AI's telemetry and issued-command log is ingested as an AnalyzedOutput Fact Unit (§96.1), its SourceOutput generalized here to structured and sensor-modality data rather than text. Each entry is checked against grounded, documented reference facts — a vehicle's own documented safe-operating envelope, a registered geofencing boundary, or a previously-established behavioral baseline for that specific system — using the same grounding mechanism as any other claim (Claim 8). This section introduces no new safety-envelope authoring mechanism; the reference facts it checks against must already exist as grounded content, ingested and cited the same way any other reference material is.</w:t>
      </w:r>
    </w:p>
    <w:p>
      <w:pPr>
        <w:pStyle w:val="Heading2"/>
        <w:spacing w:after="120" w:before="240" w:line="288" w:lineRule="auto"/>
      </w:pPr>
      <w:r>
        <w:rPr>
          <w:rFonts w:ascii="Calibri" w:cs="Calibri" w:eastAsia="Calibri" w:hAnsi="Calibri"/>
          <w:color w:val="000000"/>
          <w:sz w:val="36"/>
          <w:szCs w:val="36"/>
        </w:rPr>
        <w:t xml:space="preserve">96.8.2 Alerting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tblGrid>
      <w:tr>
        <w:tc>
          <w:tcPr>
            <w:tcW w:type="pct" w:w="50%"/>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50%"/>
            <w:shd w:fill="0D2A5E" w:color="auto" w:val="clear"/>
          </w:tcPr>
          <w:p>
            <w:r>
              <w:rPr>
                <w:rFonts w:ascii="Calibri" w:cs="Calibri" w:eastAsia="Calibri" w:hAnsi="Calibri"/>
                <w:b/>
                <w:bCs w:val="false"/>
                <w:i w:val="false"/>
                <w:iCs w:val="false"/>
                <w:strike w:val="false"/>
                <w:color w:val="FFFFFF"/>
                <w:sz w:val="19"/>
                <w:szCs w:val="19"/>
              </w:rPr>
              <w:t xml:space="preserve">Specification</w:t>
            </w:r>
          </w:p>
        </w:tc>
      </w:tr>
      <w:tr>
        <w:tc>
          <w:tcPr>
            <w:tcW w:type="pct" w:w="50%"/>
          </w:tcPr>
          <w:p>
            <w:r>
              <w:rPr>
                <w:rFonts w:ascii="Calibri" w:cs="Calibri" w:eastAsia="Calibri" w:hAnsi="Calibri"/>
                <w:b w:val="false"/>
                <w:bCs w:val="false"/>
                <w:i w:val="false"/>
                <w:iCs w:val="false"/>
                <w:strike w:val="false"/>
                <w:color w:val="000000"/>
                <w:sz w:val="19"/>
                <w:szCs w:val="19"/>
              </w:rPr>
              <w:t xml:space="preserve">Alert trigger</w:t>
            </w:r>
          </w:p>
        </w:tc>
        <w:tc>
          <w:tcPr>
            <w:tcW w:type="pct" w:w="50%"/>
          </w:tcPr>
          <w:p>
            <w:r>
              <w:rPr>
                <w:rFonts w:ascii="Calibri" w:cs="Calibri" w:eastAsia="Calibri" w:hAnsi="Calibri"/>
                <w:b w:val="false"/>
                <w:bCs w:val="false"/>
                <w:i w:val="false"/>
                <w:iCs w:val="false"/>
                <w:strike w:val="false"/>
                <w:color w:val="000000"/>
                <w:sz w:val="19"/>
                <w:szCs w:val="19"/>
              </w:rPr>
              <w:t xml:space="preserve">A logged entry inconsistent with a grounded reference fact under §96.8.1 — an issued command outside a documented safe-operating envelope, or a geofencing boundary violation — generates an alert. A detected anomaly is never silently logged without an alert.</w:t>
            </w:r>
          </w:p>
        </w:tc>
      </w:tr>
      <w:tr>
        <w:tc>
          <w:tcPr>
            <w:tcW w:type="pct" w:w="50%"/>
          </w:tcPr>
          <w:p>
            <w:r>
              <w:rPr>
                <w:rFonts w:ascii="Calibri" w:cs="Calibri" w:eastAsia="Calibri" w:hAnsi="Calibri"/>
                <w:b w:val="false"/>
                <w:bCs w:val="false"/>
                <w:i w:val="false"/>
                <w:iCs w:val="false"/>
                <w:strike w:val="false"/>
                <w:color w:val="000000"/>
                <w:sz w:val="19"/>
                <w:szCs w:val="19"/>
              </w:rPr>
              <w:t xml:space="preserve">Alert priority</w:t>
            </w:r>
          </w:p>
        </w:tc>
        <w:tc>
          <w:tcPr>
            <w:tcW w:type="pct" w:w="50%"/>
          </w:tcPr>
          <w:p>
            <w:r>
              <w:rPr>
                <w:rFonts w:ascii="Calibri" w:cs="Calibri" w:eastAsia="Calibri" w:hAnsi="Calibri"/>
                <w:b w:val="false"/>
                <w:bCs w:val="false"/>
                <w:i w:val="false"/>
                <w:iCs w:val="false"/>
                <w:strike w:val="false"/>
                <w:color w:val="000000"/>
                <w:sz w:val="19"/>
                <w:szCs w:val="19"/>
              </w:rPr>
              <w:t xml:space="preserve">Alert delivery is expedited and non-blocking, prioritized ahead of standard response generation once an anomaly is confirmed, distinct from §96.5's ordinary Forensic Analysis Slice priority — the analysis pipeline itself remains ordinarily scheduled; only confirmed-anomaly alert delivery is expedited.</w:t>
            </w:r>
          </w:p>
        </w:tc>
      </w:tr>
      <w:tr>
        <w:tc>
          <w:tcPr>
            <w:tcW w:type="pct" w:w="50%"/>
          </w:tcPr>
          <w:p>
            <w:r>
              <w:rPr>
                <w:rFonts w:ascii="Calibri" w:cs="Calibri" w:eastAsia="Calibri" w:hAnsi="Calibri"/>
                <w:b w:val="false"/>
                <w:bCs w:val="false"/>
                <w:i w:val="false"/>
                <w:iCs w:val="false"/>
                <w:strike w:val="false"/>
                <w:color w:val="000000"/>
                <w:sz w:val="19"/>
                <w:szCs w:val="19"/>
              </w:rPr>
              <w:t xml:space="preserve">Alert recipient</w:t>
            </w:r>
          </w:p>
        </w:tc>
        <w:tc>
          <w:tcPr>
            <w:tcW w:type="pct" w:w="50%"/>
          </w:tcPr>
          <w:p>
            <w:r>
              <w:rPr>
                <w:rFonts w:ascii="Calibri" w:cs="Calibri" w:eastAsia="Calibri" w:hAnsi="Calibri"/>
                <w:b w:val="false"/>
                <w:bCs w:val="false"/>
                <w:i w:val="false"/>
                <w:iCs w:val="false"/>
                <w:strike w:val="false"/>
                <w:color w:val="000000"/>
                <w:sz w:val="19"/>
                <w:szCs w:val="19"/>
              </w:rPr>
              <w:t xml:space="preserve">A named, identified human recipient, established at registration — an alert is never presented only within a passive response a user would have to seek out.</w:t>
            </w:r>
          </w:p>
        </w:tc>
      </w:tr>
      <w:tr>
        <w:tc>
          <w:tcPr>
            <w:tcW w:type="pct" w:w="50%"/>
          </w:tcPr>
          <w:p>
            <w:r>
              <w:rPr>
                <w:rFonts w:ascii="Calibri" w:cs="Calibri" w:eastAsia="Calibri" w:hAnsi="Calibri"/>
                <w:b w:val="false"/>
                <w:bCs w:val="false"/>
                <w:i w:val="false"/>
                <w:iCs w:val="false"/>
                <w:strike w:val="false"/>
                <w:color w:val="000000"/>
                <w:sz w:val="19"/>
                <w:szCs w:val="19"/>
              </w:rPr>
              <w:t xml:space="preserve">False-positive handling</w:t>
            </w:r>
          </w:p>
        </w:tc>
        <w:tc>
          <w:tcPr>
            <w:tcW w:type="pct" w:w="50%"/>
          </w:tcPr>
          <w:p>
            <w:r>
              <w:rPr>
                <w:rFonts w:ascii="Calibri" w:cs="Calibri" w:eastAsia="Calibri" w:hAnsi="Calibri"/>
                <w:b w:val="false"/>
                <w:bCs w:val="false"/>
                <w:i w:val="false"/>
                <w:iCs w:val="false"/>
                <w:strike w:val="false"/>
                <w:color w:val="000000"/>
                <w:sz w:val="19"/>
                <w:szCs w:val="19"/>
              </w:rPr>
              <w:t xml:space="preserve">An alert that a reviewer determines was not a genuine anomaly is logged as such through the Provenance Ledger (Chapter 5), refining §96.8.1's reference facts only through Chapter 66's existing human-gated Improvement Proposal Pipeline — never through automatic threshold adjustment.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96.8.3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§96.1–§96.2's existing AnalyzedOutput and fact-checking mechanism; the structured and sensor modalities of the Multimodal Ingestion Pipeline (Chapter 4); the grounded generation mechanism of Claim 8; the Provenance Ledger (Chapter 5); and the Improvement Proposal Pipeline (Chapter 66). It modifies none of their specifications, and introduces no vehicle control interface of any kind.</w:t>
      </w:r>
    </w:p>
    <w:p>
      <w:pPr>
        <w:pStyle w:val="Heading2"/>
        <w:spacing w:after="120" w:before="240" w:line="288" w:lineRule="auto"/>
      </w:pPr>
      <w:r>
        <w:rPr>
          <w:rFonts w:ascii="Calibri" w:cs="Calibri" w:eastAsia="Calibri" w:hAnsi="Calibri"/>
          <w:color w:val="000000"/>
          <w:sz w:val="36"/>
          <w:szCs w:val="36"/>
        </w:rPr>
        <w:t xml:space="preserve">96.9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forensically analyze another AI system's output as documented external subject matter — fact-checking specific claims, classifying errors across a six-category taxonomy, and optionally comparing live output against its own grounded answer — using the same external-subject pattern already established for human reasoning analysis in Chapter 80. The one category touching self-referential or distress-adjacent language is explicitly and permanently scoped to cataloging observed text, never to determining an analyzed system's actual internal nature.</w:t>
      </w:r>
    </w:p>
    <w:p>
      <w:pPr>
        <w:pStyle w:val="Heading1"/>
        <w:spacing w:after="120" w:before="240" w:line="288" w:lineRule="auto"/>
      </w:pPr>
      <w:r>
        <w:rPr>
          <w:rFonts w:ascii="Calibri" w:cs="Calibri" w:eastAsia="Calibri" w:hAnsi="Calibri"/>
          <w:color w:val="000000"/>
          <w:sz w:val="48"/>
          <w:szCs w:val="48"/>
        </w:rPr>
        <w:t xml:space="preserve">Chapter 97: Hypothesis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how QueryBook generates candidate scientific and analytical hypotheses — in mathematics, chemistry, physics, finance, or any other ingested domain — as a distinct output type explicitly separate from grounded, verified fact. It assembles this capability entirely from already-real mechanisms (AIQG, AEM, the Scenario Graph, and §10.4's forecasting), reusing each for hypothesis generation specifically rather than introducing a new reasoning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HYPOTHESIS IS NEVER A FACT UNTIL A HUMAN EXPERT SAYS SO</w:t>
            </w:r>
            <w:r>
              <w:rPr>
                <w:rFonts w:ascii="Calibri" w:cs="Calibri" w:eastAsia="Calibri" w:hAnsi="Calibri"/>
                <w:b/>
                <w:bCs/>
                <w:i w:val="false"/>
                <w:iCs w:val="false"/>
                <w:strike w:val="false"/>
                <w:color w:val="333333"/>
                <w:sz w:val="24"/>
                <w:szCs w:val="24"/>
              </w:rPr>
              <w:t xml:space="preserve">A generated hypothesis is a distinct Fact Unit type, permanently and structurally separate from a grounded Fact Unit, under every configuration of this chapter. A hypothesis is never merged into, treated as part of, or presented with the certainty of the grounded Fact Graph unless and until a named, accountable domain expert validates it — the same human-gate discipline already required for system changes under the Improvement Proposal Pipeline (Chapter 66), applied here to generated ideas rather than system modifications. QueryBook does not, and this chapter specifies no mechanism by which it could, claim a validated discovery on its own authority.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97.1 Hypothesis Fact Unit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Fact Unit carries the same base fields as any other Fact Unit (Appendix A) plus a mandatory Status field fixed to one of three values: PROPOSED (generated, not yet reviewed), UNDER_REVIEW (a domain expert has begun evaluation), or VALIDATED (a named domain expert has confirmed it, at which point — and only at which point — it may be linked into the grounded Fact Graph as a distinct, provenance-tracked addition). A Hypothesis Fact Unit's ConfidenceScore is computed independently from, and is never comparable in meaning to, a grounded Fact Unit's ConfidenceScore — the two measure different things and are never presented as equivalent.</w:t>
      </w:r>
    </w:p>
    <w:p>
      <w:pPr>
        <w:pStyle w:val="Heading2"/>
        <w:spacing w:after="120" w:before="240" w:line="288" w:lineRule="auto"/>
      </w:pPr>
      <w:r>
        <w:rPr>
          <w:rFonts w:ascii="Calibri" w:cs="Calibri" w:eastAsia="Calibri" w:hAnsi="Calibri"/>
          <w:color w:val="000000"/>
          <w:sz w:val="36"/>
          <w:szCs w:val="36"/>
        </w:rPr>
        <w:t xml:space="preserve">97.2 Generation Triggers</w:t>
      </w:r>
    </w:p>
    <w:p>
      <w:pPr>
        <w:spacing w:after="120" w:line="360" w:lineRule="auto"/>
      </w:pPr>
      <w:r>
        <w:rPr>
          <w:rFonts w:ascii="Calibri" w:cs="Calibri" w:eastAsia="Calibri" w:hAnsi="Calibri"/>
          <w:b w:val="false"/>
          <w:bCs w:val="false"/>
          <w:i w:val="false"/>
          <w:iCs w:val="false"/>
          <w:strike w:val="false"/>
          <w:color w:val="000000"/>
          <w:sz w:val="22"/>
          <w:szCs w:val="22"/>
        </w:rPr>
        <w:t xml:space="preserve">Four already-real mechanisms generate hypotheses, each reused for this purpose rather than modified: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Source Mechanism</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Trigger</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Hypothesis Type</w:t>
            </w:r>
          </w:p>
        </w:tc>
      </w:tr>
      <w:tr>
        <w:tc>
          <w:tcPr>
            <w:tcW w:type="pct" w:w="33%"/>
          </w:tcPr>
          <w:p>
            <w:r>
              <w:rPr>
                <w:rFonts w:ascii="Calibri" w:cs="Calibri" w:eastAsia="Calibri" w:hAnsi="Calibri"/>
                <w:b w:val="false"/>
                <w:bCs w:val="false"/>
                <w:i w:val="false"/>
                <w:iCs w:val="false"/>
                <w:strike w:val="false"/>
                <w:color w:val="000000"/>
                <w:sz w:val="19"/>
                <w:szCs w:val="19"/>
              </w:rPr>
              <w:t xml:space="preserve">Active Inference Query Generation (AIQG)</w:t>
            </w:r>
          </w:p>
        </w:tc>
        <w:tc>
          <w:tcPr>
            <w:tcW w:type="pct" w:w="33%"/>
          </w:tcPr>
          <w:p>
            <w:r>
              <w:rPr>
                <w:rFonts w:ascii="Calibri" w:cs="Calibri" w:eastAsia="Calibri" w:hAnsi="Calibri"/>
                <w:b w:val="false"/>
                <w:bCs w:val="false"/>
                <w:i w:val="false"/>
                <w:iCs w:val="false"/>
                <w:strike w:val="false"/>
                <w:color w:val="000000"/>
                <w:sz w:val="19"/>
                <w:szCs w:val="19"/>
              </w:rPr>
              <w:t xml:space="preserve">A forward-inference chain reaches a node with confidence below threshold, per its existing specification.</w:t>
            </w:r>
          </w:p>
        </w:tc>
        <w:tc>
          <w:tcPr>
            <w:tcW w:type="pct" w:w="33%"/>
          </w:tcPr>
          <w:p>
            <w:r>
              <w:rPr>
                <w:rFonts w:ascii="Calibri" w:cs="Calibri" w:eastAsia="Calibri" w:hAnsi="Calibri"/>
                <w:b w:val="false"/>
                <w:bCs w:val="false"/>
                <w:i w:val="false"/>
                <w:iCs w:val="false"/>
                <w:strike w:val="false"/>
                <w:color w:val="000000"/>
                <w:sz w:val="19"/>
                <w:szCs w:val="19"/>
              </w:rPr>
              <w:t xml:space="preserve">A gap-driven hypothesis proposing what specific missing knowledge, if true, would resolve the uncertainty.</w:t>
            </w:r>
          </w:p>
        </w:tc>
      </w:tr>
      <w:tr>
        <w:tc>
          <w:tcPr>
            <w:tcW w:type="pct" w:w="33%"/>
          </w:tcPr>
          <w:p>
            <w:r>
              <w:rPr>
                <w:rFonts w:ascii="Calibri" w:cs="Calibri" w:eastAsia="Calibri" w:hAnsi="Calibri"/>
                <w:b w:val="false"/>
                <w:bCs w:val="false"/>
                <w:i w:val="false"/>
                <w:iCs w:val="false"/>
                <w:strike w:val="false"/>
                <w:color w:val="000000"/>
                <w:sz w:val="19"/>
                <w:szCs w:val="19"/>
              </w:rPr>
              <w:t xml:space="preserve">AGI Extension Modules (AEM)</w:t>
            </w:r>
          </w:p>
        </w:tc>
        <w:tc>
          <w:tcPr>
            <w:tcW w:type="pct" w:w="33%"/>
          </w:tcPr>
          <w:p>
            <w:r>
              <w:rPr>
                <w:rFonts w:ascii="Calibri" w:cs="Calibri" w:eastAsia="Calibri" w:hAnsi="Calibri"/>
                <w:b w:val="false"/>
                <w:bCs w:val="false"/>
                <w:i w:val="false"/>
                <w:iCs w:val="false"/>
                <w:strike w:val="false"/>
                <w:color w:val="000000"/>
                <w:sz w:val="19"/>
                <w:szCs w:val="19"/>
              </w:rPr>
              <w:t xml:space="preserve">AEM's existing cross-Fact-Unit synthesis, already confidence-differentiated from direct facts.</w:t>
            </w:r>
          </w:p>
        </w:tc>
        <w:tc>
          <w:tcPr>
            <w:tcW w:type="pct" w:w="33%"/>
          </w:tcPr>
          <w:p>
            <w:r>
              <w:rPr>
                <w:rFonts w:ascii="Calibri" w:cs="Calibri" w:eastAsia="Calibri" w:hAnsi="Calibri"/>
                <w:b w:val="false"/>
                <w:bCs w:val="false"/>
                <w:i w:val="false"/>
                <w:iCs w:val="false"/>
                <w:strike w:val="false"/>
                <w:color w:val="000000"/>
                <w:sz w:val="19"/>
                <w:szCs w:val="19"/>
              </w:rPr>
              <w:t xml:space="preserve">A cross-domain hypothesis proposing that a technique, pattern, or relationship established in one ingested domain may apply in another.</w:t>
            </w:r>
          </w:p>
        </w:tc>
      </w:tr>
      <w:tr>
        <w:tc>
          <w:tcPr>
            <w:tcW w:type="pct" w:w="33%"/>
          </w:tcPr>
          <w:p>
            <w:r>
              <w:rPr>
                <w:rFonts w:ascii="Calibri" w:cs="Calibri" w:eastAsia="Calibri" w:hAnsi="Calibri"/>
                <w:b w:val="false"/>
                <w:bCs w:val="false"/>
                <w:i w:val="false"/>
                <w:iCs w:val="false"/>
                <w:strike w:val="false"/>
                <w:color w:val="000000"/>
                <w:sz w:val="19"/>
                <w:szCs w:val="19"/>
              </w:rPr>
              <w:t xml:space="preserve">Scenario Graph</w:t>
            </w:r>
          </w:p>
        </w:tc>
        <w:tc>
          <w:tcPr>
            <w:tcW w:type="pct" w:w="33%"/>
          </w:tcPr>
          <w:p>
            <w:r>
              <w:rPr>
                <w:rFonts w:ascii="Calibri" w:cs="Calibri" w:eastAsia="Calibri" w:hAnsi="Calibri"/>
                <w:b w:val="false"/>
                <w:bCs w:val="false"/>
                <w:i w:val="false"/>
                <w:iCs w:val="false"/>
                <w:strike w:val="false"/>
                <w:color w:val="000000"/>
                <w:sz w:val="19"/>
                <w:szCs w:val="19"/>
              </w:rPr>
              <w:t xml:space="preserve">An operator or user poses an exploratory “what if” query against a domain's Fact Graph, using the Scenario Graph's existing hypothetical-state representation (Chapter 11).</w:t>
            </w:r>
          </w:p>
        </w:tc>
        <w:tc>
          <w:tcPr>
            <w:tcW w:type="pct" w:w="33%"/>
          </w:tcPr>
          <w:p>
            <w:r>
              <w:rPr>
                <w:rFonts w:ascii="Calibri" w:cs="Calibri" w:eastAsia="Calibri" w:hAnsi="Calibri"/>
                <w:b w:val="false"/>
                <w:bCs w:val="false"/>
                <w:i w:val="false"/>
                <w:iCs w:val="false"/>
                <w:strike w:val="false"/>
                <w:color w:val="000000"/>
                <w:sz w:val="19"/>
                <w:szCs w:val="19"/>
              </w:rPr>
              <w:t xml:space="preserve">A counterfactual hypothesis representing an unverified, explicitly hypothetical extension of known relationships.</w:t>
            </w:r>
          </w:p>
        </w:tc>
      </w:tr>
      <w:tr>
        <w:tc>
          <w:tcPr>
            <w:tcW w:type="pct" w:w="33%"/>
          </w:tcPr>
          <w:p>
            <w:r>
              <w:rPr>
                <w:rFonts w:ascii="Calibri" w:cs="Calibri" w:eastAsia="Calibri" w:hAnsi="Calibri"/>
                <w:b w:val="false"/>
                <w:bCs w:val="false"/>
                <w:i w:val="false"/>
                <w:iCs w:val="false"/>
                <w:strike w:val="false"/>
                <w:color w:val="000000"/>
                <w:sz w:val="19"/>
                <w:szCs w:val="19"/>
              </w:rPr>
              <w:t xml:space="preserve">Manifold-Based Trend Forecasting (§10.4)</w:t>
            </w:r>
          </w:p>
        </w:tc>
        <w:tc>
          <w:tcPr>
            <w:tcW w:type="pct" w:w="33%"/>
          </w:tcPr>
          <w:p>
            <w:r>
              <w:rPr>
                <w:rFonts w:ascii="Calibri" w:cs="Calibri" w:eastAsia="Calibri" w:hAnsi="Calibri"/>
                <w:b w:val="false"/>
                <w:bCs w:val="false"/>
                <w:i w:val="false"/>
                <w:iCs w:val="false"/>
                <w:strike w:val="false"/>
                <w:color w:val="000000"/>
                <w:sz w:val="19"/>
                <w:szCs w:val="19"/>
              </w:rPr>
              <w:t xml:space="preserve">A forecast identifies a pattern inconsistent with the domain's currently-modeled expectations.</w:t>
            </w:r>
          </w:p>
        </w:tc>
        <w:tc>
          <w:tcPr>
            <w:tcW w:type="pct" w:w="33%"/>
          </w:tcPr>
          <w:p>
            <w:r>
              <w:rPr>
                <w:rFonts w:ascii="Calibri" w:cs="Calibri" w:eastAsia="Calibri" w:hAnsi="Calibri"/>
                <w:b w:val="false"/>
                <w:bCs w:val="false"/>
                <w:i w:val="false"/>
                <w:iCs w:val="false"/>
                <w:strike w:val="false"/>
                <w:color w:val="000000"/>
                <w:sz w:val="19"/>
                <w:szCs w:val="19"/>
              </w:rPr>
              <w:t xml:space="preserve">An anomaly-driven hypothesis proposing a possible explanation for the identified deviation.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generation path is a reuse of its source mechanism's existing, already-specified behavior; this chapter modifies none of AIQG, AEM, Scenario Graph, or §10.4's own specifications — it names hypothesis generation as one of their outputs.</w:t>
      </w:r>
    </w:p>
    <w:p>
      <w:pPr>
        <w:pStyle w:val="Heading2"/>
        <w:spacing w:after="120" w:before="240" w:line="288" w:lineRule="auto"/>
      </w:pPr>
      <w:r>
        <w:rPr>
          <w:rFonts w:ascii="Calibri" w:cs="Calibri" w:eastAsia="Calibri" w:hAnsi="Calibri"/>
          <w:color w:val="000000"/>
          <w:sz w:val="36"/>
          <w:szCs w:val="36"/>
        </w:rPr>
        <w:t xml:space="preserve">97.3 Validation Workflow</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PROPOSED hypothesis is presented to a user or operator labeled explicitly as unverified, with its generating mechanism and supporting Fact Units cited. A domain expert — an identity with appropriate subject-matter standing, not merely platform access — may move a hypothesis to UNDER_REVIEW and, upon confirming it against real evidence outside QueryBook's own generation of it, to VALIDATED. Every status transition is logged to the Provenance Ledger (Chapter 5) with the reviewing identity and stated reasoning, the same accountability discipline already applied to every other consequential decision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No automated process, agent, or mechanism specified anywhere in this Bible may transition a hypothesis to VALIDATED. This is not a configurable setting.</w:t>
      </w:r>
    </w:p>
    <w:p>
      <w:pPr>
        <w:pStyle w:val="Heading2"/>
        <w:spacing w:after="120" w:before="240" w:line="288" w:lineRule="auto"/>
      </w:pPr>
      <w:r>
        <w:rPr>
          <w:rFonts w:ascii="Calibri" w:cs="Calibri" w:eastAsia="Calibri" w:hAnsi="Calibri"/>
          <w:color w:val="000000"/>
          <w:sz w:val="36"/>
          <w:szCs w:val="36"/>
        </w:rPr>
        <w:t xml:space="preserve">97.4 Presentation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A hypothesis, at any status short of VALIDATED, is rendered in a distinct, labeled region of a response, stating its status and generating mechanism, never interleaved with grounded Fact Unit content — the same structural-separation and labeling discipline already required for commercial content (§88.3) and trend forecasts (§10.4.3), applied here to a third distinct output type.</w:t>
      </w:r>
    </w:p>
    <w:p>
      <w:pPr>
        <w:pStyle w:val="Heading2"/>
        <w:spacing w:after="120" w:before="240" w:line="288" w:lineRule="auto"/>
      </w:pPr>
      <w:r>
        <w:rPr>
          <w:rFonts w:ascii="Calibri" w:cs="Calibri" w:eastAsia="Calibri" w:hAnsi="Calibri"/>
          <w:color w:val="000000"/>
          <w:sz w:val="36"/>
          <w:szCs w:val="36"/>
        </w:rPr>
        <w:t xml:space="preserve">97.5 Hypothesis Generation Slice</w:t>
      </w:r>
    </w:p>
    <w:p>
      <w:pPr>
        <w:spacing w:after="120" w:line="360" w:lineRule="auto"/>
      </w:pPr>
      <w:r>
        <w:rPr>
          <w:rFonts w:ascii="Calibri" w:cs="Calibri" w:eastAsia="Calibri" w:hAnsi="Calibri"/>
          <w:b w:val="false"/>
          <w:bCs w:val="false"/>
          <w:i w:val="false"/>
          <w:iCs w:val="false"/>
          <w:strike w:val="false"/>
          <w:color w:val="000000"/>
          <w:sz w:val="22"/>
          <w:szCs w:val="22"/>
        </w:rPr>
        <w:t xml:space="preserve">Following the extension pattern already established at §69.2 and used throughout this Bible, this section names a Hypothesis Generation Slice measuring operations within this chapter, without modifying Chapter 69's own specification.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Category</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Measures Operations In</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Example</w:t>
            </w:r>
          </w:p>
        </w:tc>
      </w:tr>
      <w:tr>
        <w:tc>
          <w:tcPr>
            <w:tcW w:type="pct" w:w="33%"/>
          </w:tcPr>
          <w:p>
            <w:r>
              <w:rPr>
                <w:rFonts w:ascii="Calibri" w:cs="Calibri" w:eastAsia="Calibri" w:hAnsi="Calibri"/>
                <w:b w:val="false"/>
                <w:bCs w:val="false"/>
                <w:i w:val="false"/>
                <w:iCs w:val="false"/>
                <w:strike w:val="false"/>
                <w:color w:val="000000"/>
                <w:sz w:val="19"/>
                <w:szCs w:val="19"/>
              </w:rPr>
              <w:t xml:space="preserve">Hypothesis Generation Slice</w:t>
            </w:r>
          </w:p>
        </w:tc>
        <w:tc>
          <w:tcPr>
            <w:tcW w:type="pct" w:w="33%"/>
          </w:tcPr>
          <w:p>
            <w:r>
              <w:rPr>
                <w:rFonts w:ascii="Calibri" w:cs="Calibri" w:eastAsia="Calibri" w:hAnsi="Calibri"/>
                <w:b w:val="false"/>
                <w:bCs w:val="false"/>
                <w:i w:val="false"/>
                <w:iCs w:val="false"/>
                <w:strike w:val="false"/>
                <w:color w:val="000000"/>
                <w:sz w:val="19"/>
                <w:szCs w:val="19"/>
              </w:rPr>
              <w:t xml:space="preserve">Hypothesis Generation (Chapter 97)</w:t>
            </w:r>
          </w:p>
        </w:tc>
        <w:tc>
          <w:tcPr>
            <w:tcW w:type="pct" w:w="33%"/>
          </w:tcPr>
          <w:p>
            <w:r>
              <w:rPr>
                <w:rFonts w:ascii="Calibri" w:cs="Calibri" w:eastAsia="Calibri" w:hAnsi="Calibri"/>
                <w:b w:val="false"/>
                <w:bCs w:val="false"/>
                <w:i w:val="false"/>
                <w:iCs w:val="false"/>
                <w:strike w:val="false"/>
                <w:color w:val="000000"/>
                <w:sz w:val="19"/>
                <w:szCs w:val="19"/>
              </w:rPr>
              <w:t xml:space="preserve">One hypothesis's generation cycle, from a source mechanism's trigger through Hypothesis Fact Unit creation.</w:t>
            </w:r>
          </w:p>
        </w:tc>
      </w:tr>
    </w:tbl>
    <w:p>
      <w:pPr>
        <w:spacing w:after="200" w:before="0"/>
      </w:pP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Priority: strictly lower than every safety-relevant category, consistent with every other Slice in this Bible.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Failure handling: where generation fails or times out, no hypothesis is presented rather than a partial or unmeasured one, per §69.1's atomicity requirement.</w:t>
      </w:r>
    </w:p>
    <w:p>
      <w:pPr>
        <w:pStyle w:val="Heading2"/>
        <w:spacing w:after="120" w:before="240" w:line="288" w:lineRule="auto"/>
      </w:pPr>
      <w:r>
        <w:rPr>
          <w:rFonts w:ascii="Calibri" w:cs="Calibri" w:eastAsia="Calibri" w:hAnsi="Calibri"/>
          <w:color w:val="000000"/>
          <w:sz w:val="36"/>
          <w:szCs w:val="36"/>
        </w:rPr>
        <w:t xml:space="preserve">97.6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AIQG (§97.6.4); AEM (Chapter 15); the Scenario Graph (Chapter 11, Claim 7); Manifold-Based Trend Forecasting (§10.4); the Fact Unit schema (Appendix A); and the Provenance Ledger (Chapter 5). It modifies none of their specifications.</w:t>
      </w:r>
    </w:p>
    <w:p>
      <w:pPr>
        <w:pStyle w:val="Heading2"/>
        <w:spacing w:after="120" w:before="240" w:line="288" w:lineRule="auto"/>
      </w:pPr>
      <w:r>
        <w:rPr>
          <w:rFonts w:ascii="Calibri" w:cs="Calibri" w:eastAsia="Calibri" w:hAnsi="Calibri"/>
          <w:color w:val="000000"/>
          <w:sz w:val="36"/>
          <w:szCs w:val="36"/>
        </w:rPr>
        <w:t xml:space="preserve">97.7 Boltzmann-Style Diverse Hypothesis Sampling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adds an optional, stochastic generation mode to Hypothesis Generation, addressing a real limitation of the Attractor Network's deterministic Hopfield-style convergence (Chapter 7, Claim 6) when applied to hypothesis generation specifically: a deterministic network converges to the same single local minimum for the same input every time, which is exactly correct for grounded retrieval but means other plausible candidate ideas, sitting in different local minima of the same energy landscape, are never surfaced. Boltzmann machines (Ackley, Hinton &amp; Sejnowski, 1985, Cognitive Science 9:147–169) were developed specifically to address this limitation in the Hopfield formalism, adding stochastic, temperature-governed noise to escape a single local minimum and sample across several.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OPTIONAL, LABELED PROBABILISTIC, AND STRUCTURALLY WALLED OFF FROM EVERYTHING DETERMINISTIC</w:t>
            </w:r>
            <w:r>
              <w:rPr>
                <w:rFonts w:ascii="Calibri" w:cs="Calibri" w:eastAsia="Calibri" w:hAnsi="Calibri"/>
                <w:b/>
                <w:bCs/>
                <w:i w:val="false"/>
                <w:iCs w:val="false"/>
                <w:strike w:val="false"/>
                <w:color w:val="333333"/>
                <w:sz w:val="24"/>
                <w:szCs w:val="24"/>
              </w:rPr>
              <w:t xml:space="preserve">This section touches nothing that must remain deterministic. It does not modify the Attractor Network's own specification (Chapter 7, Claim 6); it does not participate in grounded retrieval or the structural-groundedness guarantee (Claim 8); and it produces only PROPOSED-status Hypothesis Fact Units (§97.1), never a status beyond that, subject to the exact same human-validation gate as every other hypothesis in this chapter. Stochastic sampling is an optional generation trigger an operator or user may enable specifically for hypothesis diversity; it is never the default generation path and is never used anywhere outside this chapter.</w:t>
            </w:r>
          </w:p>
        </w:tc>
      </w:tr>
    </w:tbl>
    <w:p>
      <w:pPr>
        <w:spacing w:after="200" w:before="0"/>
      </w:pPr>
    </w:p>
    <w:p>
      <w:pPr>
        <w:pStyle w:val="Heading3"/>
        <w:spacing w:after="120" w:before="200" w:line="288" w:lineRule="auto"/>
      </w:pPr>
      <w:r>
        <w:rPr>
          <w:rFonts w:ascii="Calibri" w:cs="Calibri" w:eastAsia="Calibri" w:hAnsi="Calibri"/>
          <w:color w:val="000000"/>
          <w:sz w:val="28"/>
          <w:szCs w:val="28"/>
        </w:rPr>
        <w:t xml:space="preserve">97.7.1 Sampling Mechanism</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enabled, a hypothesis-generation request may run the same underlying energy landscape used by the Attractor Network's deterministic convergence (§7.2.4) through a stochastic update rule instead: unit i activates with probability p_i = 1 / (1 + e^(−βΔE_i)), where ΔE_i is the energy difference between the unit's two states and β = 1/T is an inverse-temperature parameter, following the cited formalism directly. Running this stochastic process multiple times from the same starting input yields multiple, potentially distinct converged states — multiple candidate hypotheses — rather than the single deterministic result Chapter 7's own convergence would produce.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Each stochastically-sampled result is represented as its own Hypothesis Fact Unit under §97.1, carrying an explicit label identifying it as produced via stochastic sampling rather than the deterministic AIQG/AEM/Scenario Graph/§10.4 triggers already specified at §97.2, so a reviewer always knows which generation path produced a given candidate.</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Temperature and sample count are operator-configured, bounded parameters, not unbounded or self-tuning; this section introduces no mechanism by which the system adjusts its own sampling parameters without a human-gated change under Chapter 66.</w:t>
      </w:r>
    </w:p>
    <w:p>
      <w:pPr>
        <w:pStyle w:val="Heading3"/>
        <w:spacing w:after="120" w:before="200" w:line="288" w:lineRule="auto"/>
      </w:pPr>
      <w:r>
        <w:rPr>
          <w:rFonts w:ascii="Calibri" w:cs="Calibri" w:eastAsia="Calibri" w:hAnsi="Calibri"/>
          <w:color w:val="000000"/>
          <w:sz w:val="28"/>
          <w:szCs w:val="28"/>
        </w:rPr>
        <w:t xml:space="preserve">97.7.2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requires the Attractor Network's energy landscape (Chapter 7, Claim 6); the Hypothesis Fact Unit and validation workflow (§97.1, §97.3); and the Improvement Proposal Pipeline (Chapter 66) governing any change to sampling parameters. It modifies none of their specifications, and does not extend stochastic sampling to any mechanism outside this chapter.</w:t>
      </w:r>
    </w:p>
    <w:p>
      <w:pPr>
        <w:pStyle w:val="Heading2"/>
        <w:spacing w:after="120" w:before="240" w:line="288" w:lineRule="auto"/>
      </w:pPr>
      <w:r>
        <w:rPr>
          <w:rFonts w:ascii="Calibri" w:cs="Calibri" w:eastAsia="Calibri" w:hAnsi="Calibri"/>
          <w:color w:val="000000"/>
          <w:sz w:val="36"/>
          <w:szCs w:val="36"/>
        </w:rPr>
        <w:t xml:space="preserve">97.8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 can now generate candidate hypotheses across any ingested domain — mathematics, chemistry, physics, finance, or others — by reusing four already-real mechanisms for a new purpose, with every hypothesis structurally and permanently separate from the grounded Fact Graph until a named domain expert validates it. No automated path to validation exists anywhere in this chapter or elsewhere in this Bible.</w:t>
      </w:r>
    </w:p>
    <w:p>
      <w:pPr>
        <w:pStyle w:val="Heading1"/>
        <w:spacing w:after="120" w:before="240" w:line="288" w:lineRule="auto"/>
      </w:pPr>
      <w:r>
        <w:rPr>
          <w:rFonts w:ascii="Calibri" w:cs="Calibri" w:eastAsia="Calibri" w:hAnsi="Calibri"/>
          <w:color w:val="000000"/>
          <w:sz w:val="48"/>
          <w:szCs w:val="48"/>
        </w:rPr>
        <w:t xml:space="preserve">Chapter 98: Cognitive Map Formalization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 real correspondence between three already-specified QueryBook components and the cognitive map framework in computational neuroscience (Tolman, 1948; Behrens et al., 2018, Neuron 100:490–509; Whittington et al., 2022, Nature Neuroscience 25:1257–1272) — the finding that grid-like structural coding and Hopfield-style associative memory, established for physical-space navigation, generalize to organizing relational knowledge of any kind. This chapter introduces one genuinely new extension (§98.3); the rest formalizes correspondences that already existed.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THE DETERMINISTIC PRINCIPLE, NOT THE TRAINED IMPLEMENTATION</w:t>
            </w:r>
            <w:r>
              <w:rPr>
                <w:rFonts w:ascii="Calibri" w:cs="Calibri" w:eastAsia="Calibri" w:hAnsi="Calibri"/>
                <w:b/>
                <w:bCs/>
                <w:i w:val="false"/>
                <w:iCs w:val="false"/>
                <w:strike w:val="false"/>
                <w:color w:val="333333"/>
                <w:sz w:val="24"/>
                <w:szCs w:val="24"/>
              </w:rPr>
              <w:t xml:space="preserve">The research this chapter cites is substantially implemented, in its original form, as a trained recurrent neural network with learned, factorized representations. This chapter adopts none of that: every mechanism named here is deterministic by construction, exactly as §91.9 and Chapter 7 already are. Where the cited research's own implementation relies on learned weights, this chapter's correspondence stops at the structural principle — grid-like periodic coding paired with associative convergence organizes relational knowledge — and does not extend to adopting a trained network as part of QueryBook's architecture.</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98.1 The Three Components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Cognitive Map Framework</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QueryBook Correspondent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Status</w:t>
            </w:r>
          </w:p>
        </w:tc>
      </w:tr>
      <w:tr>
        <w:tc>
          <w:tcPr>
            <w:tcW w:type="pct" w:w="33%"/>
          </w:tcPr>
          <w:p>
            <w:r>
              <w:rPr>
                <w:rFonts w:ascii="Calibri" w:cs="Calibri" w:eastAsia="Calibri" w:hAnsi="Calibri"/>
                <w:b w:val="false"/>
                <w:bCs w:val="false"/>
                <w:i w:val="false"/>
                <w:iCs w:val="false"/>
                <w:strike w:val="false"/>
                <w:color w:val="000000"/>
                <w:sz w:val="19"/>
                <w:szCs w:val="19"/>
              </w:rPr>
              <w:t xml:space="preserve">Grid-like periodic structural coding</w:t>
            </w:r>
          </w:p>
        </w:tc>
        <w:tc>
          <w:tcPr>
            <w:tcW w:type="pct" w:w="33%"/>
          </w:tcPr>
          <w:p>
            <w:r>
              <w:rPr>
                <w:rFonts w:ascii="Calibri" w:cs="Calibri" w:eastAsia="Calibri" w:hAnsi="Calibri"/>
                <w:b w:val="false"/>
                <w:bCs w:val="false"/>
                <w:i w:val="false"/>
                <w:iCs w:val="false"/>
                <w:strike w:val="false"/>
                <w:color w:val="000000"/>
                <w:sz w:val="19"/>
                <w:szCs w:val="19"/>
              </w:rPr>
              <w:t xml:space="preserve">Hexagonal lattice indexing (§91.9), deterministic by construction</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Hopfield associative memory module</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(Chapter 7, Claim 6)</w:t>
            </w:r>
          </w:p>
        </w:tc>
        <w:tc>
          <w:tcPr>
            <w:tcW w:type="pct" w:w="33%"/>
          </w:tcPr>
          <w:p>
            <w:r>
              <w:rPr>
                <w:rFonts w:ascii="Calibri" w:cs="Calibri" w:eastAsia="Calibri" w:hAnsi="Calibri"/>
                <w:b w:val="false"/>
                <w:bCs w:val="false"/>
                <w:i w:val="false"/>
                <w:iCs w:val="false"/>
                <w:strike w:val="false"/>
                <w:color w:val="000000"/>
                <w:sz w:val="19"/>
                <w:szCs w:val="19"/>
              </w:rPr>
              <w:t xml:space="preserve">Already real, formalized here</w:t>
            </w:r>
          </w:p>
        </w:tc>
      </w:tr>
      <w:tr>
        <w:tc>
          <w:tcPr>
            <w:tcW w:type="pct" w:w="33%"/>
          </w:tcPr>
          <w:p>
            <w:r>
              <w:rPr>
                <w:rFonts w:ascii="Calibri" w:cs="Calibri" w:eastAsia="Calibri" w:hAnsi="Calibri"/>
                <w:b w:val="false"/>
                <w:bCs w:val="false"/>
                <w:i w:val="false"/>
                <w:iCs w:val="false"/>
                <w:strike w:val="false"/>
                <w:color w:val="000000"/>
                <w:sz w:val="19"/>
                <w:szCs w:val="19"/>
              </w:rPr>
              <w:t xml:space="preserve">Generalization from spatial to any relational domain</w:t>
            </w:r>
          </w:p>
        </w:tc>
        <w:tc>
          <w:tcPr>
            <w:tcW w:type="pct" w:w="33%"/>
          </w:tcPr>
          <w:p>
            <w:r>
              <w:rPr>
                <w:rFonts w:ascii="Calibri" w:cs="Calibri" w:eastAsia="Calibri" w:hAnsi="Calibri"/>
                <w:b w:val="false"/>
                <w:bCs w:val="false"/>
                <w:i w:val="false"/>
                <w:iCs w:val="false"/>
                <w:strike w:val="false"/>
                <w:color w:val="000000"/>
                <w:sz w:val="19"/>
                <w:szCs w:val="19"/>
              </w:rPr>
              <w:t xml:space="preserve">Ontology Mesh's poly-hierarchical concept structure (Chapter 6, §20.1 of the patent)</w:t>
            </w:r>
          </w:p>
        </w:tc>
        <w:tc>
          <w:tcPr>
            <w:tcW w:type="pct" w:w="33%"/>
          </w:tcPr>
          <w:p>
            <w:r>
              <w:rPr>
                <w:rFonts w:ascii="Calibri" w:cs="Calibri" w:eastAsia="Calibri" w:hAnsi="Calibri"/>
                <w:b w:val="false"/>
                <w:bCs w:val="false"/>
                <w:i w:val="false"/>
                <w:iCs w:val="false"/>
                <w:strike w:val="false"/>
                <w:color w:val="000000"/>
                <w:sz w:val="19"/>
                <w:szCs w:val="19"/>
              </w:rPr>
              <w:t xml:space="preserve">Already real; §98.3 extends §91.9's indexing principle to this domain specifically, which is genuinely new</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98.2 Why This Formalization Is Useful</w:t>
      </w:r>
    </w:p>
    <w:p>
      <w:pPr>
        <w:spacing w:after="120" w:line="360" w:lineRule="auto"/>
      </w:pPr>
      <w:r>
        <w:rPr>
          <w:rFonts w:ascii="Calibri" w:cs="Calibri" w:eastAsia="Calibri" w:hAnsi="Calibri"/>
          <w:b w:val="false"/>
          <w:bCs w:val="false"/>
          <w:i w:val="false"/>
          <w:iCs w:val="false"/>
          <w:strike w:val="false"/>
          <w:color w:val="000000"/>
          <w:sz w:val="22"/>
          <w:szCs w:val="22"/>
        </w:rPr>
        <w:t xml:space="preserve">Naming this correspondence clarifies that §91.9's grid-cell indexing and Chapter 7's Attractor Network were never two unrelated techniques that happened to both cite real neuroscience — the cited research treats structural coding and associative convergence as one integrated principle, and this chapter states that QueryBook's own use of both already reflects that integration, consistent with how Chapter 95 named the already-real Complementary Learning Systems correspondence rather than building something new.</w:t>
      </w:r>
    </w:p>
    <w:p>
      <w:pPr>
        <w:pStyle w:val="Heading2"/>
        <w:spacing w:after="120" w:before="240" w:line="288" w:lineRule="auto"/>
      </w:pPr>
      <w:r>
        <w:rPr>
          <w:rFonts w:ascii="Calibri" w:cs="Calibri" w:eastAsia="Calibri" w:hAnsi="Calibri"/>
          <w:color w:val="000000"/>
          <w:sz w:val="36"/>
          <w:szCs w:val="36"/>
        </w:rPr>
        <w:t xml:space="preserve">98.3 Generalized Deterministic Concept Indexing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extends §91.9's hexagonal lattice indexing principle beyond geometric shape matching to the Ontology Mesh's concept space generally, reflecting the cited research's central finding that grid-like coding is not spatial-specific. A concept within a federated domain sub-ontology (§20.1 of the patent) may be assigned coordinates within a fixed, multi-scale hexagonal lattice — defined once by construction, never learned or trained — enabling a “nearby concept” query to proceed by deterministic lattice-coordinate proximity before the Ontology Mesh's existing poly-hierarchical traversal resolves the precise relationship. This is an additional indexing method over the Ontology Mesh's already-specified structure; it modifies no existing concept relationship and introduces no new concept-classification mechanism.</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Given the same concept and the same lattice configuration, indexing produces the same coordinates every time — the same determinism guarantee already stated for §91.9's geometric application.</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does not alter how a concept's actual domain membership or poly-hierarchical classification is determined (§6.1); it adds a proximity-search convenience over structure the Ontology Mesh already fully specifies.</w:t>
      </w:r>
    </w:p>
    <w:p>
      <w:pPr>
        <w:pStyle w:val="Heading2"/>
        <w:spacing w:after="120" w:before="240" w:line="288" w:lineRule="auto"/>
      </w:pPr>
      <w:r>
        <w:rPr>
          <w:rFonts w:ascii="Calibri" w:cs="Calibri" w:eastAsia="Calibri" w:hAnsi="Calibri"/>
          <w:color w:val="000000"/>
          <w:sz w:val="36"/>
          <w:szCs w:val="36"/>
        </w:rPr>
        <w:t xml:space="preserve">98.4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grid-cell indexing principle already specified at §91.9; the Attractor Network (Chapter 7, Claim 6); and the Ontology Mesh's poly-hierarchical structure (Chapter 6, §20.1 of the patent). It modifies none of their specifications.</w:t>
      </w:r>
    </w:p>
    <w:p>
      <w:pPr>
        <w:pStyle w:val="Heading2"/>
        <w:spacing w:after="120" w:before="240" w:line="288" w:lineRule="auto"/>
      </w:pPr>
      <w:r>
        <w:rPr>
          <w:rFonts w:ascii="Calibri" w:cs="Calibri" w:eastAsia="Calibri" w:hAnsi="Calibri"/>
          <w:color w:val="000000"/>
          <w:sz w:val="36"/>
          <w:szCs w:val="36"/>
        </w:rPr>
        <w:t xml:space="preserve">98.5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correspondence between QueryBook's grid-cell-inspired indexing, its Attractor Network, and the real cognitive map framework in computational neuroscience is now named explicitly, and the same deterministic indexing principle already used for geometric shape matching now extends to general concept proximity search within the Ontology Mesh. The trained, learned-representation implementation described in the cited research was deliberately not adopted, consistent with this Bible's existing determinism requirement.</w:t>
      </w:r>
    </w:p>
    <w:p>
      <w:pPr>
        <w:pStyle w:val="Heading1"/>
        <w:spacing w:after="120" w:before="240" w:line="288" w:lineRule="auto"/>
      </w:pPr>
      <w:r>
        <w:rPr>
          <w:rFonts w:ascii="Calibri" w:cs="Calibri" w:eastAsia="Calibri" w:hAnsi="Calibri"/>
          <w:color w:val="000000"/>
          <w:sz w:val="48"/>
          <w:szCs w:val="48"/>
        </w:rPr>
        <w:t xml:space="preserve">Chapter 99: Study and Learning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six presentation and organization capabilities over already-grounded content, closing a gap identified in a systematic feature audit against this Bible's original design intent. Every capability in this chapter reuses an already-real mechanism — grounded generation, the Natural Language Interaction Layer, the Ontology Mesh, and Tutorial Mode — rather than introducing new reasoning or generation.</w:t>
      </w:r>
    </w:p>
    <w:p>
      <w:pPr>
        <w:pStyle w:val="Heading2"/>
        <w:spacing w:after="120" w:before="240" w:line="288" w:lineRule="auto"/>
      </w:pPr>
      <w:r>
        <w:rPr>
          <w:rFonts w:ascii="Calibri" w:cs="Calibri" w:eastAsia="Calibri" w:hAnsi="Calibri"/>
          <w:color w:val="000000"/>
          <w:sz w:val="36"/>
          <w:szCs w:val="36"/>
        </w:rPr>
        <w:t xml:space="preserve">99.1 Glossary Generation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glossary entry for a term is generated from the grounding Fact Unit's own definitional content via the standard grounded generation pipeline (Claim 8); no new extraction mechanism is introduced. A generated glossary is scoped to the terms actually appearing in the source content a reader is engaging with, cited back to their source Fact Units exactly as any other grounded output.</w:t>
      </w:r>
    </w:p>
    <w:p>
      <w:pPr>
        <w:pStyle w:val="Heading2"/>
        <w:spacing w:after="120" w:before="240" w:line="288" w:lineRule="auto"/>
      </w:pPr>
      <w:r>
        <w:rPr>
          <w:rFonts w:ascii="Calibri" w:cs="Calibri" w:eastAsia="Calibri" w:hAnsi="Calibri"/>
          <w:color w:val="000000"/>
          <w:sz w:val="36"/>
          <w:szCs w:val="36"/>
        </w:rPr>
        <w:t xml:space="preserve">99.2 Study Guide Builder</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study guide compiles already-grounded content — key facts, Comprehension Check items (§52.13.2), and glossary entries (§99.1) — into a single structured document scoped to a chapter, book, or reader-defined range. This section introduces no new content generation; it is an assembly and formatting layer over already-specified outputs.</w:t>
      </w:r>
    </w:p>
    <w:p>
      <w:pPr>
        <w:pStyle w:val="Heading2"/>
        <w:spacing w:after="120" w:before="240" w:line="288" w:lineRule="auto"/>
      </w:pPr>
      <w:r>
        <w:rPr>
          <w:rFonts w:ascii="Calibri" w:cs="Calibri" w:eastAsia="Calibri" w:hAnsi="Calibri"/>
          <w:color w:val="000000"/>
          <w:sz w:val="36"/>
          <w:szCs w:val="36"/>
        </w:rPr>
        <w:t xml:space="preserve">99.3 Spaced Repetition Scheduling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Flashcard Generation (§52.13.2.1) items may be scheduled for review using a standard spaced-repetition interval algorithm, tracked as a session-scoped record under the same pattern already specified at §91.4 and formalized at Chapter 95 — a fast, per-reader schedule, never merged into the permanent Fact Graph. This section introduces no new content generation; it schedules already-existing flashcard content.</w:t>
      </w:r>
    </w:p>
    <w:p>
      <w:pPr>
        <w:pStyle w:val="Heading2"/>
        <w:spacing w:after="120" w:before="240" w:line="288" w:lineRule="auto"/>
      </w:pPr>
      <w:r>
        <w:rPr>
          <w:rFonts w:ascii="Calibri" w:cs="Calibri" w:eastAsia="Calibri" w:hAnsi="Calibri"/>
          <w:color w:val="000000"/>
          <w:sz w:val="36"/>
          <w:szCs w:val="36"/>
        </w:rPr>
        <w:t xml:space="preserve">99.4 Cognitive Scaffolding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Tutorial Mode (§52.13.2) content may be presented in an explicitly staged sequence — prerequisite concepts before dependent ones — derived from the Ontology Mesh's own concept relationships (Chapter 6) rather than a separately-authored curriculum structure. This section adds a presentation ordering; it does not alter what Tutorial Mode generates.</w:t>
      </w:r>
    </w:p>
    <w:p>
      <w:pPr>
        <w:pStyle w:val="Heading2"/>
        <w:spacing w:after="120" w:before="240" w:line="288" w:lineRule="auto"/>
      </w:pPr>
      <w:r>
        <w:rPr>
          <w:rFonts w:ascii="Calibri" w:cs="Calibri" w:eastAsia="Calibri" w:hAnsi="Calibri"/>
          <w:color w:val="000000"/>
          <w:sz w:val="36"/>
          <w:szCs w:val="36"/>
        </w:rPr>
        <w:t xml:space="preserve">99.5 Beginner and Expert Presentation Modes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Natural Language Interaction Layer's existing audience-adaptation capability (Chapter 50) is exposed as an explicit reader-facing toggle between a simplified and an advanced presentation register, rather than only an implicit, system-inferred adaptation. Consistent with Chapter 50's existing guarantee, only phrasing and structural complexity vary between modes; the underlying fact, its confidence score, and its provenance are never altered.</w:t>
      </w:r>
    </w:p>
    <w:p>
      <w:pPr>
        <w:pStyle w:val="Heading2"/>
        <w:spacing w:after="120" w:before="240" w:line="288" w:lineRule="auto"/>
      </w:pPr>
      <w:r>
        <w:rPr>
          <w:rFonts w:ascii="Calibri" w:cs="Calibri" w:eastAsia="Calibri" w:hAnsi="Calibri"/>
          <w:color w:val="000000"/>
          <w:sz w:val="36"/>
          <w:szCs w:val="36"/>
        </w:rPr>
        <w:t xml:space="preserve">99.6 Concept Clustering</w:t>
      </w:r>
    </w:p>
    <w:p>
      <w:pPr>
        <w:spacing w:after="120" w:line="360" w:lineRule="auto"/>
      </w:pPr>
      <w:r>
        <w:rPr>
          <w:rFonts w:ascii="Calibri" w:cs="Calibri" w:eastAsia="Calibri" w:hAnsi="Calibri"/>
          <w:b w:val="false"/>
          <w:bCs w:val="false"/>
          <w:i w:val="false"/>
          <w:iCs w:val="false"/>
          <w:strike w:val="false"/>
          <w:color w:val="000000"/>
          <w:sz w:val="22"/>
          <w:szCs w:val="22"/>
        </w:rPr>
        <w:t xml:space="preserve">Related concepts are grouped for presentation using the Ontology Mesh's existing poly-hierarchical structure (Chapter 6) and, where applicable, the deterministic proximity indexing of §98.3 — never a separately-learned clustering model. This section introduces no new concept-relationship mechanism; it presents already-specified structure grouped for a reader's convenience.</w:t>
      </w:r>
    </w:p>
    <w:p>
      <w:pPr>
        <w:pStyle w:val="Heading2"/>
        <w:spacing w:after="120" w:before="240" w:line="288" w:lineRule="auto"/>
      </w:pPr>
      <w:r>
        <w:rPr>
          <w:rFonts w:ascii="Calibri" w:cs="Calibri" w:eastAsia="Calibri" w:hAnsi="Calibri"/>
          <w:color w:val="000000"/>
          <w:sz w:val="36"/>
          <w:szCs w:val="36"/>
        </w:rPr>
        <w:t xml:space="preserve">99.7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grounded generation (Claim 8); Comprehension Check and Flashcard Generation (§52.13.2–.2.1); Session-Scoped Fact Representation and its Complementary Learning Systems formalization (§91.4, Chapter 95); Tutorial Mode; the Natural Language Interaction Layer (Chapter 50); and the Ontology Mesh (Chapter 6, §98.3). It modifies none of their specifications.</w:t>
      </w:r>
    </w:p>
    <w:p>
      <w:pPr>
        <w:pStyle w:val="Heading2"/>
        <w:spacing w:after="120" w:before="240" w:line="288" w:lineRule="auto"/>
      </w:pPr>
      <w:r>
        <w:rPr>
          <w:rFonts w:ascii="Calibri" w:cs="Calibri" w:eastAsia="Calibri" w:hAnsi="Calibri"/>
          <w:color w:val="000000"/>
          <w:sz w:val="36"/>
          <w:szCs w:val="36"/>
        </w:rPr>
        <w:t xml:space="preserve">99.8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Six study and learning capabilities — glossary generation, study guide assembly, spaced repetition, cognitive scaffolding, an explicit beginner/expert toggle, and concept clustering — are now specified, each a presentation or organization layer over already-grounded, already-specified content, introducing no new generation or reasoning mechanism.</w:t>
      </w:r>
    </w:p>
    <w:p>
      <w:pPr>
        <w:pStyle w:val="Heading1"/>
        <w:spacing w:after="120" w:before="240" w:line="288" w:lineRule="auto"/>
      </w:pPr>
      <w:r>
        <w:rPr>
          <w:rFonts w:ascii="Calibri" w:cs="Calibri" w:eastAsia="Calibri" w:hAnsi="Calibri"/>
          <w:color w:val="000000"/>
          <w:sz w:val="48"/>
          <w:szCs w:val="48"/>
        </w:rPr>
        <w:t xml:space="preserve">Chapter 100: Content Verification and Argumentation Tools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specifies five verification and argumentation capabilities, closing the remainder of the gap identified in the same feature audit that produced Chapter 99. Every capability reuses an already-real mechanism — the Cross-Domain Rule Engine's contradiction detection, the Provenance Ledger's corroboration data, Discussion Mode, and the Scenario Graph — rather than introducing new judgment or generation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VERIFICATION AGAINST THE GROUNDED FACT GRAPH, NEVER AN INDEPENDENT JUDGMENT</w:t>
            </w:r>
            <w:r>
              <w:rPr>
                <w:rFonts w:ascii="Calibri" w:cs="Calibri" w:eastAsia="Calibri" w:hAnsi="Calibri"/>
                <w:b/>
                <w:bCs/>
                <w:i w:val="false"/>
                <w:iCs w:val="false"/>
                <w:strike w:val="false"/>
                <w:color w:val="333333"/>
                <w:sz w:val="24"/>
                <w:szCs w:val="24"/>
              </w:rPr>
              <w:t xml:space="preserve">Every capability in this chapter operates by checking a claim against QueryBook's own grounded Fact Graph — it never renders an independent judgment about what is true, biased, or correct outside that grounding. Bias detection specifically — flagging ideological framing with no factual ground truth to check against — was evaluated and excluded from this chapter for exactly this reason and remains unspecified pending its own dedicated scoping.</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100.1 Misconception Correction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user's stated claim directly contradicts a well-corroborated Fact Unit, the Cross-Domain Rule Engine's existing contradiction-detection logic (Chapter 17) identifies the conflict, and the response cites the specific contradicting Fact Unit and its provenance. This section does not specify a general mechanism for identifying “common misconceptions” in the abstract; it is scoped exclusively to a claim's direct, checkable contradiction with the grounded Fact Graph.</w:t>
      </w:r>
    </w:p>
    <w:p>
      <w:pPr>
        <w:pStyle w:val="Heading2"/>
        <w:spacing w:after="120" w:before="240" w:line="288" w:lineRule="auto"/>
      </w:pPr>
      <w:r>
        <w:rPr>
          <w:rFonts w:ascii="Calibri" w:cs="Calibri" w:eastAsia="Calibri" w:hAnsi="Calibri"/>
          <w:color w:val="000000"/>
          <w:sz w:val="36"/>
          <w:szCs w:val="36"/>
        </w:rPr>
        <w:t xml:space="preserve">100.2 Error-Spotting</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a user-submitted or ingested text, a specific factual claim is checked against the grounded Fact Graph using the same mechanism as §100.1, and an internally self-contradictory pair of claims within the same text is identified using the Cross-Domain Rule Engine's existing logic, consistent with how Chapter 96 already applies this same internal-consistency check to external AI system output. This section introduces no new contradiction-detection mechanism; it applies an already-real one to a new input type.</w:t>
      </w:r>
    </w:p>
    <w:p>
      <w:pPr>
        <w:pStyle w:val="Heading2"/>
        <w:spacing w:after="120" w:before="240" w:line="288" w:lineRule="auto"/>
      </w:pPr>
      <w:r>
        <w:rPr>
          <w:rFonts w:ascii="Calibri" w:cs="Calibri" w:eastAsia="Calibri" w:hAnsi="Calibri"/>
          <w:color w:val="000000"/>
          <w:sz w:val="36"/>
          <w:szCs w:val="36"/>
        </w:rPr>
        <w:t xml:space="preserve">100.3 Source Triangulation Display</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already records each corroborating ingestion event supporting a Fact Unit (Chapter 5); this section exposes that already-tracked corroboration count and its constituent sources as an explicit, reader-facing display accompanying a cited fact, rather than only an internal confidence-calibration input. This section introduces no new corroboration-tracking mechanism; it surfaces data already recorded.</w:t>
      </w:r>
    </w:p>
    <w:p>
      <w:pPr>
        <w:pStyle w:val="Heading2"/>
        <w:spacing w:after="120" w:before="240" w:line="288" w:lineRule="auto"/>
      </w:pPr>
      <w:r>
        <w:rPr>
          <w:rFonts w:ascii="Calibri" w:cs="Calibri" w:eastAsia="Calibri" w:hAnsi="Calibri"/>
          <w:color w:val="000000"/>
          <w:sz w:val="36"/>
          <w:szCs w:val="36"/>
        </w:rPr>
        <w:t xml:space="preserve">100.4 Argument Analysis</w:t>
      </w:r>
    </w:p>
    <w:p>
      <w:pPr>
        <w:spacing w:after="120" w:line="360" w:lineRule="auto"/>
      </w:pPr>
      <w:r>
        <w:rPr>
          <w:rFonts w:ascii="Calibri" w:cs="Calibri" w:eastAsia="Calibri" w:hAnsi="Calibri"/>
          <w:b w:val="false"/>
          <w:bCs w:val="false"/>
          <w:i w:val="false"/>
          <w:iCs w:val="false"/>
          <w:strike w:val="false"/>
          <w:color w:val="000000"/>
          <w:sz w:val="22"/>
          <w:szCs w:val="22"/>
        </w:rPr>
        <w:t xml:space="preserve">Discussion Mode's existing grounded viewpoint-adoption capability (§52.13.3) is applied to identify a source text's claim-evidence-warrant structure, using the argumentative structure already present in ingested content — including CONTRASTS_WITH edges acknowledging existing counterarguments — rather than a new argumentation-parsing mechanism.</w:t>
      </w:r>
    </w:p>
    <w:p>
      <w:pPr>
        <w:pStyle w:val="Heading2"/>
        <w:spacing w:after="120" w:before="240" w:line="288" w:lineRule="auto"/>
      </w:pPr>
      <w:r>
        <w:rPr>
          <w:rFonts w:ascii="Calibri" w:cs="Calibri" w:eastAsia="Calibri" w:hAnsi="Calibri"/>
          <w:color w:val="000000"/>
          <w:sz w:val="36"/>
          <w:szCs w:val="36"/>
        </w:rPr>
        <w:t xml:space="preserve">100.5 Debate Preparation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structured argument for a specified position is assembled from Fact Units the grounded Fact Graph already supports for that position, using the Scenario Graph's existing hypothetical-framing capability (Chapter 11) to represent a position as a bounded, explicitly-labeled framing rather than an assertion of QueryBook's own view. Where the grounded Fact Graph does not support a requested position with citable content, this section does not fabricate supporting content to fill the gap — it returns only what is genuinely grounded, explicitly noting where support is limited.</w:t>
      </w:r>
    </w:p>
    <w:p>
      <w:pPr>
        <w:pStyle w:val="Heading2"/>
        <w:spacing w:after="120" w:before="240" w:line="288" w:lineRule="auto"/>
      </w:pPr>
      <w:r>
        <w:rPr>
          <w:rFonts w:ascii="Calibri" w:cs="Calibri" w:eastAsia="Calibri" w:hAnsi="Calibri"/>
          <w:color w:val="000000"/>
          <w:sz w:val="36"/>
          <w:szCs w:val="36"/>
        </w:rPr>
        <w:t xml:space="preserve">100.6 Source Framing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section closes bias detection's dedicated scoping, deferred at §100's original specification, with two distinct capabilities — one built, one declined again after being explicitly re-proposed as a user-optional feature.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CONTESTED JUDGMENT DOES NOT BECOME GROUNDED BY BEING OPTIONAL</w:t>
            </w:r>
            <w:r>
              <w:rPr>
                <w:rFonts w:ascii="Calibri" w:cs="Calibri" w:eastAsia="Calibri" w:hAnsi="Calibri"/>
                <w:b/>
                <w:bCs/>
                <w:i w:val="false"/>
                <w:iCs w:val="false"/>
                <w:strike w:val="false"/>
                <w:color w:val="333333"/>
                <w:sz w:val="24"/>
                <w:szCs w:val="24"/>
              </w:rPr>
              <w:t xml:space="preserve">A proposal to let a user opt into QueryBook's own judgment of a source's ideological framing or bias was reconsidered and declined a second time. Opt-in consent resolves a risk when the underlying content is real but sensitive — it does not resolve a risk that the underlying content has no factual ground truth to check against in the first place. QueryBook rendering its own bias judgment is not a presentation preference comparable to §99.5's beginner/expert toggle; it is new, contested content generation with nothing in the Fact Graph to ground it, and a user's choice to view it does not supply that grounding. No configuration of this chapter enables QueryBook's own bias or framing judgment.</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100.6.1 Documented Editorial Position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a source's own editorial or institutional position is itself documented and citable — a publication's stated mission, a disclosed funding relationship, an author's disclosed affiliation — that documented position is surfaced as a grounded fact with its own citation, using the same grounding mechanism as any other claim (Claim 8). This is not QueryBook's judgment of the source; it is a citable fact about the source, sourced the same way every other fact in this Bible is sourced.</w:t>
      </w:r>
    </w:p>
    <w:p>
      <w:pPr>
        <w:pStyle w:val="Heading2"/>
        <w:spacing w:after="120" w:before="240" w:line="288" w:lineRule="auto"/>
      </w:pPr>
      <w:r>
        <w:rPr>
          <w:rFonts w:ascii="Calibri" w:cs="Calibri" w:eastAsia="Calibri" w:hAnsi="Calibri"/>
          <w:color w:val="000000"/>
          <w:sz w:val="36"/>
          <w:szCs w:val="36"/>
        </w:rPr>
        <w:t xml:space="preserve">100.6.2 Quantifiable Source Composition Signals</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 checkable, quantifiable facts about a source's citation composition exist in the ingested content itself — for example, the number of distinct studies a source cites and each cited study's own disclosed funding source — those facts are surfaced directly, without a conclusory judgment of bias attached. A reader is given the same countable, citable facts a human researcher would independently verify, and forms their own conclusion from them; QueryBook states the count and the citation, not a verdict.</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This section produces a fact (“this source cites four studies; three share a common funding sponsor”), never a conclusion (“this source is biased”) — the distinction is enforced at generation: a conclusory framing or bias term is not produced by this section under any configuration.</w:t>
      </w:r>
    </w:p>
    <w:p>
      <w:pPr>
        <w:pStyle w:val="Heading2"/>
        <w:spacing w:after="120" w:before="240" w:line="288" w:lineRule="auto"/>
      </w:pPr>
      <w:r>
        <w:rPr>
          <w:rFonts w:ascii="Calibri" w:cs="Calibri" w:eastAsia="Calibri" w:hAnsi="Calibri"/>
          <w:color w:val="000000"/>
          <w:sz w:val="36"/>
          <w:szCs w:val="36"/>
        </w:rPr>
        <w:t xml:space="preserve">100.7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Cross-Domain Rule Engine (Chapter 17); the Provenance Ledger (Chapter 5, Claim 2); Discussion Mode (§52.13.3); the Scenario Graph (Chapter 11, Claim 7); and, for §100.6, the grounded generation mechanism of Claim 8. It modifies none of their specifications.</w:t>
      </w:r>
    </w:p>
    <w:p>
      <w:pPr>
        <w:pStyle w:val="Heading2"/>
        <w:spacing w:after="120" w:before="240" w:line="288" w:lineRule="auto"/>
      </w:pPr>
      <w:r>
        <w:rPr>
          <w:rFonts w:ascii="Calibri" w:cs="Calibri" w:eastAsia="Calibri" w:hAnsi="Calibri"/>
          <w:color w:val="000000"/>
          <w:sz w:val="36"/>
          <w:szCs w:val="36"/>
        </w:rPr>
        <w:t xml:space="preserve">100.8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verification and argumentation capabilities — misconception correction, error-spotting, source triangulation display, argument analysis, and debate preparation — are now specified, each checking or presenting against the grounded Fact Graph rather than rendering an independent judgment. Bias detection was evaluated and explicitly excluded from this chapter, remaining unspecified pending its own dedicated scoping conversation.</w:t>
      </w:r>
    </w:p>
    <w:p>
      <w:pPr>
        <w:pStyle w:val="Heading1"/>
        <w:spacing w:after="120" w:before="240" w:line="288" w:lineRule="auto"/>
      </w:pPr>
      <w:r>
        <w:rPr>
          <w:rFonts w:ascii="Calibri" w:cs="Calibri" w:eastAsia="Calibri" w:hAnsi="Calibri"/>
          <w:color w:val="000000"/>
          <w:sz w:val="48"/>
          <w:szCs w:val="48"/>
        </w:rPr>
        <w:t xml:space="preserve">Chapter 101: Verified Neuromorphic Correspondence Methodology</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the methodology already used, consistently, every time a real neuroscience or cognitive-science finding has been incorporated into this Bible: the Hopfield-network correspondence for the Attractor Network (Chapter 7), Complementary Learning Systems (Chapter 95), grid-cell indexing (§91.9), and the Cognitive Map / Tolman-Eichenbaum Machine correspondence (Chapter 98). This chapter introduces no new neuromorphic capability of its own; it is a process specification, applicable to future additions of the same kind.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A FIVE-STEP PROCESS, EVERY STEP ALREADY DEMONSTRATED</w:t>
            </w:r>
            <w:r>
              <w:rPr>
                <w:rFonts w:ascii="Calibri" w:cs="Calibri" w:eastAsia="Calibri" w:hAnsi="Calibri"/>
                <w:b/>
                <w:bCs/>
                <w:i w:val="false"/>
                <w:iCs w:val="false"/>
                <w:strike w:val="false"/>
                <w:color w:val="333333"/>
                <w:sz w:val="24"/>
                <w:szCs w:val="24"/>
              </w:rPr>
              <w:t xml:space="preserve">Every named correspondence in this Bible followed the same five steps, in the same order, without exception. This chapter states that process explicitly so it is checkable and repeatable, rather than an informal habit that could drift or be applied inconsistently.</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101.1 The Five Steps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gridCol/>
        <w:gridCol/>
      </w:tblGrid>
      <w:tr>
        <w:tc>
          <w:tcPr>
            <w:tcW w:type="pct" w:w="33%"/>
            <w:shd w:fill="0D2A5E" w:color="auto" w:val="clear"/>
          </w:tcPr>
          <w:p>
            <w:r>
              <w:rPr>
                <w:rFonts w:ascii="Calibri" w:cs="Calibri" w:eastAsia="Calibri" w:hAnsi="Calibri"/>
                <w:b/>
                <w:bCs w:val="false"/>
                <w:i w:val="false"/>
                <w:iCs w:val="false"/>
                <w:strike w:val="false"/>
                <w:color w:val="FFFFFF"/>
                <w:sz w:val="19"/>
                <w:szCs w:val="19"/>
              </w:rPr>
              <w:t xml:space="preserve">Step</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Requirement</w:t>
            </w:r>
          </w:p>
        </w:tc>
        <w:tc>
          <w:tcPr>
            <w:tcW w:type="pct" w:w="33%"/>
            <w:shd w:fill="0D2A5E" w:color="auto" w:val="clear"/>
          </w:tcPr>
          <w:p>
            <w:r>
              <w:rPr>
                <w:rFonts w:ascii="Calibri" w:cs="Calibri" w:eastAsia="Calibri" w:hAnsi="Calibri"/>
                <w:b/>
                <w:bCs w:val="false"/>
                <w:i w:val="false"/>
                <w:iCs w:val="false"/>
                <w:strike w:val="false"/>
                <w:color w:val="FFFFFF"/>
                <w:sz w:val="19"/>
                <w:szCs w:val="19"/>
              </w:rPr>
              <w:t xml:space="preserve">Demonstrated Instance</w:t>
            </w:r>
          </w:p>
        </w:tc>
      </w:tr>
      <w:tr>
        <w:tc>
          <w:tcPr>
            <w:tcW w:type="pct" w:w="33%"/>
          </w:tcPr>
          <w:p>
            <w:r>
              <w:rPr>
                <w:rFonts w:ascii="Calibri" w:cs="Calibri" w:eastAsia="Calibri" w:hAnsi="Calibri"/>
                <w:b w:val="false"/>
                <w:bCs w:val="false"/>
                <w:i w:val="false"/>
                <w:iCs w:val="false"/>
                <w:strike w:val="false"/>
                <w:color w:val="000000"/>
                <w:sz w:val="19"/>
                <w:szCs w:val="19"/>
              </w:rPr>
              <w:t xml:space="preserve">1. External Verification</w:t>
            </w:r>
          </w:p>
        </w:tc>
        <w:tc>
          <w:tcPr>
            <w:tcW w:type="pct" w:w="33%"/>
          </w:tcPr>
          <w:p>
            <w:r>
              <w:rPr>
                <w:rFonts w:ascii="Calibri" w:cs="Calibri" w:eastAsia="Calibri" w:hAnsi="Calibri"/>
                <w:b w:val="false"/>
                <w:bCs w:val="false"/>
                <w:i w:val="false"/>
                <w:iCs w:val="false"/>
                <w:strike w:val="false"/>
                <w:color w:val="000000"/>
                <w:sz w:val="19"/>
                <w:szCs w:val="19"/>
              </w:rPr>
              <w:t xml:space="preserve">The candidate research finding is verified against its actual primary publication before any Bible content is written, never accepted on the strength of a submitted summary alone.</w:t>
            </w:r>
          </w:p>
        </w:tc>
        <w:tc>
          <w:tcPr>
            <w:tcW w:type="pct" w:w="33%"/>
          </w:tcPr>
          <w:p>
            <w:r>
              <w:rPr>
                <w:rFonts w:ascii="Calibri" w:cs="Calibri" w:eastAsia="Calibri" w:hAnsi="Calibri"/>
                <w:b w:val="false"/>
                <w:bCs w:val="false"/>
                <w:i w:val="false"/>
                <w:iCs w:val="false"/>
                <w:strike w:val="false"/>
                <w:color w:val="000000"/>
                <w:sz w:val="19"/>
                <w:szCs w:val="19"/>
              </w:rPr>
              <w:t xml:space="preserve">Hopfield capacity bound traced to its 1982 origin; CLS traced to McClelland, McNaughton &amp; O'Reilly 1995; grid cells traced to the 2014 Nobel Prize and Hafting et al. 2005; TEM traced to Behrens et al. 2018 and Whittington et al. 2022.</w:t>
            </w:r>
          </w:p>
        </w:tc>
      </w:tr>
      <w:tr>
        <w:tc>
          <w:tcPr>
            <w:tcW w:type="pct" w:w="33%"/>
          </w:tcPr>
          <w:p>
            <w:r>
              <w:rPr>
                <w:rFonts w:ascii="Calibri" w:cs="Calibri" w:eastAsia="Calibri" w:hAnsi="Calibri"/>
                <w:b w:val="false"/>
                <w:bCs w:val="false"/>
                <w:i w:val="false"/>
                <w:iCs w:val="false"/>
                <w:strike w:val="false"/>
                <w:color w:val="000000"/>
                <w:sz w:val="19"/>
                <w:szCs w:val="19"/>
              </w:rPr>
              <w:t xml:space="preserve">2. Implicit-Correspondence Check</w:t>
            </w:r>
          </w:p>
        </w:tc>
        <w:tc>
          <w:tcPr>
            <w:tcW w:type="pct" w:w="33%"/>
          </w:tcPr>
          <w:p>
            <w:r>
              <w:rPr>
                <w:rFonts w:ascii="Calibri" w:cs="Calibri" w:eastAsia="Calibri" w:hAnsi="Calibri"/>
                <w:b w:val="false"/>
                <w:bCs w:val="false"/>
                <w:i w:val="false"/>
                <w:iCs w:val="false"/>
                <w:strike w:val="false"/>
                <w:color w:val="000000"/>
                <w:sz w:val="19"/>
                <w:szCs w:val="19"/>
              </w:rPr>
              <w:t xml:space="preserve">The system is checked for whether the correspondence already exists implicitly, before any new mechanism is built.</w:t>
            </w:r>
          </w:p>
        </w:tc>
        <w:tc>
          <w:tcPr>
            <w:tcW w:type="pct" w:w="33%"/>
          </w:tcPr>
          <w:p>
            <w:r>
              <w:rPr>
                <w:rFonts w:ascii="Calibri" w:cs="Calibri" w:eastAsia="Calibri" w:hAnsi="Calibri"/>
                <w:b w:val="false"/>
                <w:bCs w:val="false"/>
                <w:i w:val="false"/>
                <w:iCs w:val="false"/>
                <w:strike w:val="false"/>
                <w:color w:val="000000"/>
                <w:sz w:val="19"/>
                <w:szCs w:val="19"/>
              </w:rPr>
              <w:t xml:space="preserve">The Attractor Network already used Hopfield-style dynamics before Chapter 7 named it as such; session-scoped records already behaved like a fast memory system before Chapter 95 named the CLS correspondence.</w:t>
            </w:r>
          </w:p>
        </w:tc>
      </w:tr>
      <w:tr>
        <w:tc>
          <w:tcPr>
            <w:tcW w:type="pct" w:w="33%"/>
          </w:tcPr>
          <w:p>
            <w:r>
              <w:rPr>
                <w:rFonts w:ascii="Calibri" w:cs="Calibri" w:eastAsia="Calibri" w:hAnsi="Calibri"/>
                <w:b w:val="false"/>
                <w:bCs w:val="false"/>
                <w:i w:val="false"/>
                <w:iCs w:val="false"/>
                <w:strike w:val="false"/>
                <w:color w:val="000000"/>
                <w:sz w:val="19"/>
                <w:szCs w:val="19"/>
              </w:rPr>
              <w:t xml:space="preserve">3. Deterministic-Extraction Requirement</w:t>
            </w:r>
          </w:p>
        </w:tc>
        <w:tc>
          <w:tcPr>
            <w:tcW w:type="pct" w:w="33%"/>
          </w:tcPr>
          <w:p>
            <w:r>
              <w:rPr>
                <w:rFonts w:ascii="Calibri" w:cs="Calibri" w:eastAsia="Calibri" w:hAnsi="Calibri"/>
                <w:b w:val="false"/>
                <w:bCs w:val="false"/>
                <w:i w:val="false"/>
                <w:iCs w:val="false"/>
                <w:strike w:val="false"/>
                <w:color w:val="000000"/>
                <w:sz w:val="19"/>
                <w:szCs w:val="19"/>
              </w:rPr>
              <w:t xml:space="preserve">Where the cited research's own implementation relies on a trained, non-deterministic component, only the structural principle is extracted; the trained component is explicitly excluded.</w:t>
            </w:r>
          </w:p>
        </w:tc>
        <w:tc>
          <w:tcPr>
            <w:tcW w:type="pct" w:w="33%"/>
          </w:tcPr>
          <w:p>
            <w:r>
              <w:rPr>
                <w:rFonts w:ascii="Calibri" w:cs="Calibri" w:eastAsia="Calibri" w:hAnsi="Calibri"/>
                <w:b w:val="false"/>
                <w:bCs w:val="false"/>
                <w:i w:val="false"/>
                <w:iCs w:val="false"/>
                <w:strike w:val="false"/>
                <w:color w:val="000000"/>
                <w:sz w:val="19"/>
                <w:szCs w:val="19"/>
              </w:rPr>
              <w:t xml:space="preserve">TEM's own architecture is a trained recurrent neural network; Chapter 98 adopted only its structural insight (periodic coding generalizes to relational knowledge), explicitly declining the trained implementation.</w:t>
            </w:r>
          </w:p>
        </w:tc>
      </w:tr>
      <w:tr>
        <w:tc>
          <w:tcPr>
            <w:tcW w:type="pct" w:w="33%"/>
          </w:tcPr>
          <w:p>
            <w:r>
              <w:rPr>
                <w:rFonts w:ascii="Calibri" w:cs="Calibri" w:eastAsia="Calibri" w:hAnsi="Calibri"/>
                <w:b w:val="false"/>
                <w:bCs w:val="false"/>
                <w:i w:val="false"/>
                <w:iCs w:val="false"/>
                <w:strike w:val="false"/>
                <w:color w:val="000000"/>
                <w:sz w:val="19"/>
                <w:szCs w:val="19"/>
              </w:rPr>
              <w:t xml:space="preserve">4. Extension-Over-Invention Requirement</w:t>
            </w:r>
          </w:p>
        </w:tc>
        <w:tc>
          <w:tcPr>
            <w:tcW w:type="pct" w:w="33%"/>
          </w:tcPr>
          <w:p>
            <w:r>
              <w:rPr>
                <w:rFonts w:ascii="Calibri" w:cs="Calibri" w:eastAsia="Calibri" w:hAnsi="Calibri"/>
                <w:b w:val="false"/>
                <w:bCs w:val="false"/>
                <w:i w:val="false"/>
                <w:iCs w:val="false"/>
                <w:strike w:val="false"/>
                <w:color w:val="000000"/>
                <w:sz w:val="19"/>
                <w:szCs w:val="19"/>
              </w:rPr>
              <w:t xml:space="preserve">The correspondence is built as an extension of an already-specified, already-claimed mechanism wherever one exists, rather than a new parallel system.</w:t>
            </w:r>
          </w:p>
        </w:tc>
        <w:tc>
          <w:tcPr>
            <w:tcW w:type="pct" w:w="33%"/>
          </w:tcPr>
          <w:p>
            <w:r>
              <w:rPr>
                <w:rFonts w:ascii="Calibri" w:cs="Calibri" w:eastAsia="Calibri" w:hAnsi="Calibri"/>
                <w:b w:val="false"/>
                <w:bCs w:val="false"/>
                <w:i w:val="false"/>
                <w:iCs w:val="false"/>
                <w:strike w:val="false"/>
                <w:color w:val="000000"/>
                <w:sz w:val="19"/>
                <w:szCs w:val="19"/>
              </w:rPr>
              <w:t xml:space="preserve">Grid-cell indexing (§91.9) extended the Attractor Network's existing convergence mechanism rather than introducing a new stabilization system; §98.3 extended §91.9 rather than building a second indexing method.</w:t>
            </w:r>
          </w:p>
        </w:tc>
      </w:tr>
      <w:tr>
        <w:tc>
          <w:tcPr>
            <w:tcW w:type="pct" w:w="33%"/>
          </w:tcPr>
          <w:p>
            <w:r>
              <w:rPr>
                <w:rFonts w:ascii="Calibri" w:cs="Calibri" w:eastAsia="Calibri" w:hAnsi="Calibri"/>
                <w:b w:val="false"/>
                <w:bCs w:val="false"/>
                <w:i w:val="false"/>
                <w:iCs w:val="false"/>
                <w:strike w:val="false"/>
                <w:color w:val="000000"/>
                <w:sz w:val="19"/>
                <w:szCs w:val="19"/>
              </w:rPr>
              <w:t xml:space="preserve">5. Named Formalization</w:t>
            </w:r>
          </w:p>
        </w:tc>
        <w:tc>
          <w:tcPr>
            <w:tcW w:type="pct" w:w="33%"/>
          </w:tcPr>
          <w:p>
            <w:r>
              <w:rPr>
                <w:rFonts w:ascii="Calibri" w:cs="Calibri" w:eastAsia="Calibri" w:hAnsi="Calibri"/>
                <w:b w:val="false"/>
                <w:bCs w:val="false"/>
                <w:i w:val="false"/>
                <w:iCs w:val="false"/>
                <w:strike w:val="false"/>
                <w:color w:val="000000"/>
                <w:sz w:val="19"/>
                <w:szCs w:val="19"/>
              </w:rPr>
              <w:t xml:space="preserve">The verified, extracted, correctly-scoped correspondence is given an explicit name and citation within its own chapter or section, distinguishing it from any unverified or trained-implementation version of the same research.</w:t>
            </w:r>
          </w:p>
        </w:tc>
        <w:tc>
          <w:tcPr>
            <w:tcW w:type="pct" w:w="33%"/>
          </w:tcPr>
          <w:p>
            <w:r>
              <w:rPr>
                <w:rFonts w:ascii="Calibri" w:cs="Calibri" w:eastAsia="Calibri" w:hAnsi="Calibri"/>
                <w:b w:val="false"/>
                <w:bCs w:val="false"/>
                <w:i w:val="false"/>
                <w:iCs w:val="false"/>
                <w:strike w:val="false"/>
                <w:color w:val="000000"/>
                <w:sz w:val="19"/>
                <w:szCs w:val="19"/>
              </w:rPr>
              <w:t xml:space="preserve">Chapter 95, §91.9, and Chapter 98 each state their own citation and their own explicit boundary against the version not adopted.</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101.2 What This Methodology Excludes</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that has not been externally verified against a primary publication does not qualify for incorporation under this methodology, regardless of how plausible or well-presented the submitted description is — this is the same discipline that distinguished the real Hopfield/CLS/grid-cell/TEM correspondences from the fabricated “Neural Hypergraph Networks” and “Hypergraph World Models” framing evaluated and declined earlier in this Bible's history.</w:t>
      </w:r>
    </w:p>
    <w:p>
      <w:pPr>
        <w:spacing w:after="80" w:line="360" w:lineRule="auto"/>
        <w:ind w:left="432" w:hanging="216"/>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A correspondence whose only real implementation is a trained, non-deterministic component, with no separable deterministic structural principle, does not qualify — this methodology extracts principles, not trained models.</w:t>
      </w:r>
    </w:p>
    <w:p>
      <w:pPr>
        <w:pStyle w:val="Heading2"/>
        <w:spacing w:after="120" w:before="240" w:line="288" w:lineRule="auto"/>
      </w:pPr>
      <w:r>
        <w:rPr>
          <w:rFonts w:ascii="Calibri" w:cs="Calibri" w:eastAsia="Calibri" w:hAnsi="Calibri"/>
          <w:color w:val="000000"/>
          <w:sz w:val="36"/>
          <w:szCs w:val="36"/>
        </w:rPr>
        <w:t xml:space="preserve">101.3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the specific instances it formalizes — Chapter 7, Chapter 95, §91.9, and Chapter 98 — as its demonstrated record. It modifies none of their specifications; it names the process common to all of them.</w:t>
      </w:r>
    </w:p>
    <w:p>
      <w:pPr>
        <w:pStyle w:val="Heading2"/>
        <w:spacing w:after="120" w:before="240" w:line="288" w:lineRule="auto"/>
      </w:pPr>
      <w:r>
        <w:rPr>
          <w:rFonts w:ascii="Calibri" w:cs="Calibri" w:eastAsia="Calibri" w:hAnsi="Calibri"/>
          <w:color w:val="000000"/>
          <w:sz w:val="36"/>
          <w:szCs w:val="36"/>
        </w:rPr>
        <w:t xml:space="preserve">101.4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Future additions of verified neuromorphic or cognitive-science correspondence to this Bible follow the same five-step process already demonstrated four times: external verification, an implicit-correspondence check, deterministic extraction, extension over invention, and named formalization. This is a repeatable, checkable methodology, not an informal pattern.</w:t>
      </w:r>
    </w:p>
    <w:p>
      <w:pPr>
        <w:pStyle w:val="Heading1"/>
        <w:spacing w:after="120" w:before="240" w:line="288" w:lineRule="auto"/>
      </w:pPr>
      <w:r>
        <w:rPr>
          <w:rFonts w:ascii="Calibri" w:cs="Calibri" w:eastAsia="Calibri" w:hAnsi="Calibri"/>
          <w:color w:val="000000"/>
          <w:sz w:val="48"/>
          <w:szCs w:val="48"/>
        </w:rPr>
        <w:t xml:space="preserve">Chapter 102: Legal Exposure Minimization Through Structural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names and formalizes a real pattern already present across this Bible, scattered across many chapters rather than previously stated as one coherent posture: QueryBook reduces its own legal and regulatory exposure through genuine compliance, structural non-custody, and consistent, documented practice — never through defeating or evading a lawful legal process. This chapter introduces no new mechanism; it ties together already-real components under one name, the same formalization discipline already applied at Chapter 95, Chapter 98, and Chapter 101.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tblGrid>
      <w:tr>
        <w:trPr>
          <w:tblHeader/>
        </w:trPr>
        <w:tc>
          <w:tcPr>
            <w:tcW w:type="pct" w:w="100%"/>
            <w:shd w:fill="EEF3FB" w:color="auto" w:val="clear"/>
          </w:tcPr>
          <w:p>
            <w:r>
              <w:rPr>
                <w:rFonts w:ascii="Calibri" w:cs="Calibri" w:eastAsia="Calibri" w:hAnsi="Calibri"/>
                <w:b/>
                <w:bCs/>
                <w:i w:val="false"/>
                <w:iCs w:val="false"/>
                <w:strike w:val="false"/>
                <w:color w:val="000000"/>
                <w:sz w:val="22"/>
                <w:szCs w:val="22"/>
              </w:rPr>
              <w:t xml:space="preserve">EXPOSURE REDUCTION THROUGH COMPLIANCE, NEVER THROUGH EVASION</w:t>
            </w:r>
            <w:r>
              <w:rPr>
                <w:rFonts w:ascii="Calibri" w:cs="Calibri" w:eastAsia="Calibri" w:hAnsi="Calibri"/>
                <w:b/>
                <w:bCs/>
                <w:i w:val="false"/>
                <w:iCs w:val="false"/>
                <w:strike w:val="false"/>
                <w:color w:val="333333"/>
                <w:sz w:val="24"/>
                <w:szCs w:val="24"/>
              </w:rPr>
              <w:t xml:space="preserve">Every mechanism named in this chapter reduces legal exposure by keeping QueryBook's actual practices genuinely compliant, genuinely narrow in role, and genuinely well-documented — never by reducing what QueryBook can lawfully be compelled to produce once a valid legal order is issued. A request to make QueryBook “immune to subpoena” was directly evaluated and declined elsewhere in this Bible's history: a lawful subpoena is a legal obligation no architecture decision changes, and designing specifically to defeat compliance with one carries its own separate legal exposure, including potential spoliation or obstruction liability. This chapter's entire scope is what happens before that point — sound compliance and genuine data minimization — never what happens after a lawful order arrives.</w:t>
            </w:r>
          </w:p>
        </w:tc>
      </w:tr>
    </w:tbl>
    <w:p>
      <w:pPr>
        <w:spacing w:after="200" w:before="0"/>
      </w:pPr>
    </w:p>
    <w:p>
      <w:pPr>
        <w:pStyle w:val="Heading2"/>
        <w:spacing w:after="120" w:before="240" w:line="288" w:lineRule="auto"/>
      </w:pPr>
      <w:r>
        <w:rPr>
          <w:rFonts w:ascii="Calibri" w:cs="Calibri" w:eastAsia="Calibri" w:hAnsi="Calibri"/>
          <w:color w:val="000000"/>
          <w:sz w:val="36"/>
          <w:szCs w:val="36"/>
        </w:rPr>
        <w:t xml:space="preserve">102.1 Regulatory Compliance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Right-to-Erasure Protocol (§36.7) is explicitly built to GDPR Article 17 and CCPA right-to-erasure requirements, at three levels of granularity, with every erasure action logged to the Provenance Ledger. This is direct, genuine regulatory compliance — the actual mitigation for regulatory exposure, not a workaround for it.</w:t>
      </w:r>
    </w:p>
    <w:p>
      <w:pPr>
        <w:pStyle w:val="Heading2"/>
        <w:spacing w:after="120" w:before="240" w:line="288" w:lineRule="auto"/>
      </w:pPr>
      <w:r>
        <w:rPr>
          <w:rFonts w:ascii="Calibri" w:cs="Calibri" w:eastAsia="Calibri" w:hAnsi="Calibri"/>
          <w:color w:val="000000"/>
          <w:sz w:val="36"/>
          <w:szCs w:val="36"/>
        </w:rPr>
        <w:t xml:space="preserve">102.2 Structural Non-Custody</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Several real mechanisms keep QueryBook structurally outside regulatory categories that would otherwise attach significant compliance burden. NFT Integration (Chapter 94) is explicitly non-custodial: QueryBook orchestrates minting but never holds a wallet, key, or token on any party's behalf. Merchandise Commerce (§88.12) is explicitly referring-party-only: QueryBook never captures payment data or acts as a payment processor or fulfillment operator. Both are deliberate design choices that keep QueryBook out of money-transmission and payment-processing regulatory categories, reducing exposure structurally rather than through after-the-fact compliance alone.</w:t>
      </w:r>
    </w:p>
    <w:p>
      <w:pPr>
        <w:pStyle w:val="Heading2"/>
        <w:spacing w:after="120" w:before="240" w:line="288" w:lineRule="auto"/>
      </w:pPr>
      <w:r>
        <w:rPr>
          <w:rFonts w:ascii="Calibri" w:cs="Calibri" w:eastAsia="Calibri" w:hAnsi="Calibri"/>
          <w:color w:val="000000"/>
          <w:sz w:val="36"/>
          <w:szCs w:val="36"/>
        </w:rPr>
        <w:t xml:space="preserve">102.3 Rights and Intellectual Property Discipline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Chapter 60 requires rights validation before a publisher submission is accepted. Encyclopedia Content Ingestion (§59.10) grounds its fact-extraction boundary directly in Feist Publications, Inc. v. Rural Telephone Service Co., 499 U.S. 340 (1991), extracting only what the real fact/expression dichotomy actually covers, and explicitly declining to extend that principle to protected images or original expression. Both reduce copyright and rights exposure by staying inside well-established legal boundaries rather than testing them.</w:t>
      </w:r>
    </w:p>
    <w:p>
      <w:pPr>
        <w:pStyle w:val="Heading2"/>
        <w:spacing w:after="120" w:before="240" w:line="288" w:lineRule="auto"/>
      </w:pPr>
      <w:r>
        <w:rPr>
          <w:rFonts w:ascii="Calibri" w:cs="Calibri" w:eastAsia="Calibri" w:hAnsi="Calibri"/>
          <w:color w:val="000000"/>
          <w:sz w:val="36"/>
          <w:szCs w:val="36"/>
        </w:rPr>
        <w:t xml:space="preserve">102.4 Audit Trail as Protective Evidence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Provenance Ledger (Chapter 5) is elsewhere in this Bible framed primarily as a safety and accountability mechanism; it serves a second function here. A complete, tamper-evident, cryptographically-chained record of what happened, when, and under whose authorization is itself the evidence of good-faith, consistent compliance if QueryBook's practices are ever examined — the same record that enforces accountability internally also demonstrates it externally.</w:t>
      </w:r>
    </w:p>
    <w:p>
      <w:pPr>
        <w:pStyle w:val="Heading2"/>
        <w:spacing w:after="120" w:before="240" w:line="288" w:lineRule="auto"/>
      </w:pPr>
      <w:r>
        <w:rPr>
          <w:rFonts w:ascii="Calibri" w:cs="Calibri" w:eastAsia="Calibri" w:hAnsi="Calibri"/>
          <w:color w:val="000000"/>
          <w:sz w:val="36"/>
          <w:szCs w:val="36"/>
        </w:rPr>
        <w:t xml:space="preserve">102.5 Consistent, Documented Retention Policy</w:t>
      </w:r>
    </w:p>
    <w:p>
      <w:pPr>
        <w:spacing w:after="120" w:line="360" w:lineRule="auto"/>
      </w:pPr>
      <w:r>
        <w:rPr>
          <w:rFonts w:ascii="Calibri" w:cs="Calibri" w:eastAsia="Calibri" w:hAnsi="Calibri"/>
          <w:b w:val="false"/>
          <w:bCs w:val="false"/>
          <w:i w:val="false"/>
          <w:iCs w:val="false"/>
          <w:strike w:val="false"/>
          <w:color w:val="000000"/>
          <w:sz w:val="22"/>
          <w:szCs w:val="22"/>
        </w:rPr>
        <w:t xml:space="preserve">A clear, standing, consistently-enforced retention policy — whatever that policy specifically is — reduces legal exposure more than an ad hoc or inconsistent one, because inconsistent or suspicious-looking deletion patterns, not the existence of a real policy, are what actually create spoliation risk. The current retain-by-default posture with a genuine, working, user-initiated erasure option (§36.7, §36.7.1, §36.7.5) is exactly this kind of policy: clear, standing, and consistently applied, not a mechanism aimed at reducing what is available to be lawfully produced.</w:t>
      </w:r>
    </w:p>
    <w:p>
      <w:pPr>
        <w:pStyle w:val="Heading2"/>
        <w:spacing w:after="120" w:before="240" w:line="288" w:lineRule="auto"/>
      </w:pPr>
      <w:r>
        <w:rPr>
          <w:rFonts w:ascii="Calibri" w:cs="Calibri" w:eastAsia="Calibri" w:hAnsi="Calibri"/>
          <w:color w:val="000000"/>
          <w:sz w:val="36"/>
          <w:szCs w:val="36"/>
        </w:rPr>
        <w:t xml:space="preserve">102.6 Integration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chapter requires §36.7 and its subsections; Chapter 94; §88.12; Chapter 60; §59.10; and the Provenance Ledger (Chapter 5). It modifies none of their specifications; it names a coherent posture already present across them.</w:t>
      </w:r>
    </w:p>
    <w:p>
      <w:pPr>
        <w:pStyle w:val="Heading2"/>
        <w:spacing w:after="120" w:before="240" w:line="288" w:lineRule="auto"/>
      </w:pPr>
      <w:r>
        <w:rPr>
          <w:rFonts w:ascii="Calibri" w:cs="Calibri" w:eastAsia="Calibri" w:hAnsi="Calibri"/>
          <w:color w:val="000000"/>
          <w:sz w:val="36"/>
          <w:szCs w:val="36"/>
        </w:rPr>
        <w:t xml:space="preserve">102.7 Summary</w:t>
      </w:r>
    </w:p>
    <w:p>
      <w:pPr>
        <w:spacing w:after="120" w:line="360" w:lineRule="auto"/>
      </w:pPr>
      <w:r>
        <w:rPr>
          <w:rFonts w:ascii="Calibri" w:cs="Calibri" w:eastAsia="Calibri" w:hAnsi="Calibri"/>
          <w:b w:val="false"/>
          <w:bCs w:val="false"/>
          <w:i w:val="false"/>
          <w:iCs w:val="false"/>
          <w:strike w:val="false"/>
          <w:color w:val="000000"/>
          <w:sz w:val="22"/>
          <w:szCs w:val="22"/>
        </w:rPr>
        <w:t xml:space="preserve">QueryBook's legal exposure is minimized through genuine regulatory compliance, structural non-custody in payments and NFT minting, disciplined rights handling grounded in real legal principle, a protective audit trail, and a consistent, documented retention policy — five already-real mechanisms, now named as one coherent posture. None of it operates by reducing what QueryBook can lawfully be compelled to produce; that boundary, stated in this chapter's opening callout, is not configurable by any mechanism named here.</w:t>
      </w:r>
    </w:p>
    <w:p>
      <w:pPr>
        <w:pStyle w:val="Heading1"/>
        <w:spacing w:after="120" w:before="280" w:line="288" w:lineRule="auto"/>
      </w:pPr>
      <w:r>
        <w:t xml:space="preserve">Merge Review Pass 103 — Consolidated Additions</w:t>
      </w:r>
    </w:p>
    <w:p>
      <w:pPr>
        <w:spacing w:after="120" w:line="288" w:lineRule="auto"/>
      </w:pPr>
      <w:r>
        <w:t xml:space="preserve">This part records every section added to the Bible since Merge Review Pass 101. Each carries its canonical section number and belongs at that number; they are gathered here so that the pass is auditable as a unit, in the same manner as previous merge passes. Thirty-six addenda are consolidated: twenty-four new chapters (103 through 129, chapters 118 and 119 having been withdrawn) and seventeen sections inserted into existing chapters. This pass additionally repairs eleven citations that pointed into unassigned chapter numbers. Every section below was drafted against a verified reading of the mechanism it extends, and each states explicitly what it does not change.</w:t>
      </w:r>
    </w:p>
    <w:p>
      <w:pPr>
        <w:spacing w:after="120" w:line="288" w:lineRule="auto"/>
      </w:pPr>
      <w:r>
        <w:t xml:space="preserve">Structural note. This document also incorporates the structural repair applied before this pass: Chapters 36, 37 and 53 through 59 previously carried their titles as unstyled runs inside oversized paragraphs and were invisible to a table of contents or navigation pane; Chapter 56 carried no title line at all. All nine now carry Heading 1 styling, and Chapter 56's title was restored from this document's own table of contents. Chapters carrying a real heading rose from 77 to 86. No content was altered by that repair.</w:t>
      </w:r>
    </w:p>
    <w:p>
      <w:pPr>
        <w:pStyle w:val="Heading2"/>
        <w:spacing w:after="100" w:before="220" w:line="288" w:lineRule="auto"/>
      </w:pPr>
      <w:r>
        <w:t xml:space="preserve">Sections added in this pass</w:t>
      </w:r>
    </w:p>
    <w:p>
      <w:pPr>
        <w:spacing w:after="120" w:line="288" w:lineRule="auto"/>
      </w:pPr>
      <w:r>
        <w:t xml:space="preserve">§4.9 — Linguistic Resource Registry. Licence provenance for every external linguistic resource; derived-artifact-only ingestion.</w:t>
      </w:r>
    </w:p>
    <w:p>
      <w:pPr>
        <w:spacing w:after="120" w:line="288" w:lineRule="auto"/>
      </w:pPr>
      <w:r>
        <w:t xml:space="preserve">§7.6.4 — The Retrieval-Phase Boundary. Names the §7.6.3 capacity bound as a first-order phase transition; sets the conservative operating ceiling.</w:t>
      </w:r>
    </w:p>
    <w:p>
      <w:pPr>
        <w:spacing w:after="120" w:line="288" w:lineRule="auto"/>
      </w:pPr>
      <w:r>
        <w:t xml:space="preserve">§16.7 — Wording-Operative Spans. Reproduces operative wording rather than regenerating it, with a non-operative gloss.</w:t>
      </w:r>
    </w:p>
    <w:p>
      <w:pPr>
        <w:spacing w:after="120" w:line="288" w:lineRule="auto"/>
      </w:pPr>
      <w:r>
        <w:t xml:space="preserve">§16.8 — Idiom Handling. Detection by compositional-versus-attested divergence; registered equivalents only.</w:t>
      </w:r>
    </w:p>
    <w:p>
      <w:pPr>
        <w:spacing w:after="120" w:line="288" w:lineRule="auto"/>
      </w:pPr>
      <w:r>
        <w:t xml:space="preserve">§41.6.2 — Fully Bayesian ConfidenceScore. Confidence as a Beta posterior; replaces the additive accumulator.</w:t>
      </w:r>
    </w:p>
    <w:p>
      <w:pPr>
        <w:spacing w:after="120" w:line="288" w:lineRule="auto"/>
      </w:pPr>
      <w:r>
        <w:t xml:space="preserve">§41.6.4 — Precision-Weighted Error Propagation. Weights prediction error by inverse variance rather than confidence differential.</w:t>
      </w:r>
    </w:p>
    <w:p>
      <w:pPr>
        <w:spacing w:after="120" w:line="288" w:lineRule="auto"/>
      </w:pPr>
      <w:r>
        <w:t xml:space="preserve">§53.9 — Physical Constraint Enforcement. Gives the Physics Layer a stated constraint, enforced by refusal.</w:t>
      </w:r>
    </w:p>
    <w:p>
      <w:pPr>
        <w:spacing w:after="120" w:line="288" w:lineRule="auto"/>
      </w:pPr>
      <w:r>
        <w:t xml:space="preserve">§54.6 — Inheritance, Exception Override, Inverse Traversal. Supplies the rules the Concept Graph's edges implied but did not state.</w:t>
      </w:r>
    </w:p>
    <w:p>
      <w:pPr>
        <w:spacing w:after="120" w:line="288" w:lineRule="auto"/>
      </w:pPr>
      <w:r>
        <w:t xml:space="preserve">§96.9 — Behavioural Probing. Measures how an external system behaves, not only what it asserts.</w:t>
      </w:r>
    </w:p>
    <w:p>
      <w:pPr>
        <w:spacing w:after="120" w:line="288" w:lineRule="auto"/>
      </w:pPr>
      <w:r>
        <w:t xml:space="preserve">§96.10 — Analysis Quarantine. Analysis records structurally ineligible as a grounding source.</w:t>
      </w:r>
    </w:p>
    <w:p>
      <w:pPr>
        <w:spacing w:after="120" w:line="288" w:lineRule="auto"/>
      </w:pPr>
      <w:r>
        <w:t xml:space="preserve">§97.7.1 — Sampling Criticality Control. Exposes the inverse-temperature parameter as a recorded operator control.</w:t>
      </w:r>
    </w:p>
    <w:p>
      <w:pPr>
        <w:spacing w:after="120" w:line="288" w:lineRule="auto"/>
      </w:pPr>
      <w:r>
        <w:t xml:space="preserve">§97.8 — Discriminating Instance Generation. Identifies the observation separating two hypotheses the evidence fits equally.</w:t>
      </w:r>
    </w:p>
    <w:p>
      <w:pPr>
        <w:spacing w:after="120" w:line="288" w:lineRule="auto"/>
      </w:pPr>
      <w:r>
        <w:t xml:space="preserve">Ch. 103 — Temporal Prediction Calibration. Scores this system's own forecasts under an attestation-horizon constraint.</w:t>
      </w:r>
    </w:p>
    <w:p>
      <w:pPr>
        <w:spacing w:after="120" w:line="288" w:lineRule="auto"/>
      </w:pPr>
      <w:r>
        <w:t xml:space="preserve">Ch. 104 — Event Type Catalogue and Environment Vectors. Governed event semantics as Fact Unit extensions; no schema field added.</w:t>
      </w:r>
    </w:p>
    <w:p>
      <w:pPr>
        <w:spacing w:after="120" w:line="288" w:lineRule="auto"/>
      </w:pPr>
      <w:r>
        <w:t xml:space="preserve">Ch. 105 — Surfaces, Extensibility and External Integration. Twelve surfaces, each constrained against becoming a route around an existing guarantee.</w:t>
      </w:r>
    </w:p>
    <w:p>
      <w:pPr>
        <w:spacing w:after="120" w:line="288" w:lineRule="auto"/>
      </w:pPr>
      <w:r>
        <w:t xml:space="preserve">Ch. 106 — Domain Architecture. Fifteen domains in four layers plus a vertical; the transfer matrix owned by D0; query/ingestion path separation.</w:t>
      </w:r>
    </w:p>
    <w:p>
      <w:pPr>
        <w:spacing w:after="120" w:line="288" w:lineRule="auto"/>
      </w:pPr>
      <w:r>
        <w:t xml:space="preserve">Ch. 107 — Deployment Topology and Substrate Independence. Hybrid and edge topology, module replacement, media and immersion interfaces, key custody, and the structural statement of substrate independence.</w:t>
      </w:r>
    </w:p>
    <w:p>
      <w:pPr>
        <w:spacing w:after="120" w:line="288" w:lineRule="auto"/>
      </w:pPr>
      <w:r>
        <w:t xml:space="preserve">Ch. 108 — Reasoning Mode Formalization. Deductive, inductive and abductive layers; deduction may write, induction may not.</w:t>
      </w:r>
    </w:p>
    <w:p>
      <w:pPr>
        <w:spacing w:after="120" w:line="288" w:lineRule="auto"/>
      </w:pPr>
      <w:r>
        <w:t xml:space="preserve">Ch. 109 — The Interpretive Layer. Context, perspective, ergonomic, cultural and social modulation of an already-admissible result.</w:t>
      </w:r>
    </w:p>
    <w:p>
      <w:pPr>
        <w:spacing w:after="120" w:line="288" w:lineRule="auto"/>
      </w:pPr>
      <w:r>
        <w:t xml:space="preserve">Ch. 110 — Outcome Feedback and Operational Calibration. Closes the action-to-observation half of the inductive cycle; feedback is evidence, not correction.</w:t>
      </w:r>
    </w:p>
    <w:p>
      <w:pPr>
        <w:spacing w:after="120" w:line="288" w:lineRule="auto"/>
      </w:pPr>
      <w:r>
        <w:t xml:space="preserve">Ch. 111 — Expressive Register and Media-Integrated Expression. A governed register set; affective register from declared signals only; media carried inside a grounded response.</w:t>
      </w:r>
    </w:p>
    <w:p>
      <w:pPr>
        <w:spacing w:after="120" w:line="288" w:lineRule="auto"/>
      </w:pPr>
      <w:r>
        <w:t xml:space="preserve">Ch. 112 — Surface Realization. Aggregation, referring expressions, connectives, ordering and fingerprint-bounded lexical variation.</w:t>
      </w:r>
    </w:p>
    <w:p>
      <w:pPr>
        <w:spacing w:after="120" w:line="288" w:lineRule="auto"/>
      </w:pPr>
      <w:r>
        <w:t xml:space="preserve">Ch. 113 — Commercial Presentation and Transaction. Advertiser provenance, placement classes, territory pricing and transaction reconciliation.</w:t>
      </w:r>
    </w:p>
    <w:p>
      <w:pPr>
        <w:spacing w:after="120" w:line="288" w:lineRule="auto"/>
      </w:pPr>
      <w:r>
        <w:t xml:space="preserve">§41.6.5 — Observation Diversity. Effective source-class count; concentrated corroboration discounted.</w:t>
      </w:r>
    </w:p>
    <w:p>
      <w:pPr>
        <w:spacing w:after="120" w:line="288" w:lineRule="auto"/>
      </w:pPr>
      <w:r>
        <w:t xml:space="preserve">Ch. 114 — Directed Capture Equipment Control. Live sensor ingestion driving actuation, under session authorization and a structural veto.</w:t>
      </w:r>
    </w:p>
    <w:p>
      <w:pPr>
        <w:spacing w:after="120" w:line="288" w:lineRule="auto"/>
      </w:pPr>
      <w:r>
        <w:t xml:space="preserve">Ch. 115 — Assistive Physical Contact. A separate authorization class for equipment that intentionally touches a person.</w:t>
      </w:r>
    </w:p>
    <w:p>
      <w:pPr>
        <w:spacing w:after="120" w:line="288" w:lineRule="auto"/>
      </w:pPr>
      <w:r>
        <w:t xml:space="preserve">Ch. 116 — Attractor Stabilization Beyond Retrieval. Bounded frame reconstruction, difference-preserving alignment, oscillation faults, convergence-regime disclosure.</w:t>
      </w:r>
    </w:p>
    <w:p>
      <w:pPr>
        <w:spacing w:after="120" w:line="288" w:lineRule="auto"/>
      </w:pPr>
      <w:r>
        <w:t xml:space="preserve">Ch. 117 — Systematic Trial Architecture. Exhaustive, regression and adversarial trials over a metered budget; trials discover and never apply.</w:t>
      </w:r>
    </w:p>
    <w:p>
      <w:pPr>
        <w:spacing w:after="120" w:line="288" w:lineRule="auto"/>
      </w:pPr>
      <w:r>
        <w:t xml:space="preserve">§113.8 — Concept-Adjacent Commercial Relevance. One-hop adjacency as a relevance input, scope-confined, eligibility unchanged.</w:t>
      </w:r>
    </w:p>
    <w:p>
      <w:pPr>
        <w:spacing w:after="120" w:line="288" w:lineRule="auto"/>
      </w:pPr>
      <w:r>
        <w:t xml:space="preserve">Ch. 120 — Grasping and Manipulation. Force bounded by the object's fragility limit; release, not retention, is the correct failure.</w:t>
      </w:r>
    </w:p>
    <w:p>
      <w:pPr>
        <w:spacing w:after="120" w:line="288" w:lineRule="auto"/>
      </w:pPr>
      <w:r>
        <w:t xml:space="preserve">Ch. 121 — Shared-Space Navigation. Clearance-bounded speed, unconditional yield, stop rather than relax a clearance envelope.</w:t>
      </w:r>
    </w:p>
    <w:p>
      <w:pPr>
        <w:spacing w:after="120" w:line="288" w:lineRule="auto"/>
      </w:pPr>
      <w:r>
        <w:t xml:space="preserve">Ch. 122 — Deeper Predictive Hierarchy. Registered predictive levels, lowest-level error attribution, an escalation gate, unattributed error retained.</w:t>
      </w:r>
    </w:p>
    <w:p>
      <w:pPr>
        <w:spacing w:after="120" w:line="288" w:lineRule="auto"/>
      </w:pPr>
      <w:r>
        <w:t xml:space="preserve">Ch. 123 — Differentiated Propagation and Tri-Temporal Scope. Edge-class traversal cost; attested past, live present and projected future postures.</w:t>
      </w:r>
    </w:p>
    <w:p>
      <w:pPr>
        <w:spacing w:after="120" w:line="288" w:lineRule="auto"/>
      </w:pPr>
      <w:r>
        <w:t xml:space="preserve">Ch. 124 — Coherence Classification and the Context Lock. Six-dimensional coherence taking the least; the enumerated dimensions on which determinism is asserted.</w:t>
      </w:r>
    </w:p>
    <w:p>
      <w:pPr>
        <w:spacing w:after="120" w:line="288" w:lineRule="auto"/>
      </w:pPr>
      <w:r>
        <w:t xml:space="preserve">§4.10 — Computational Substrate Output as a Modality. Neuromorphic and biological substrate output admitted as an instrument reading.</w:t>
      </w:r>
    </w:p>
    <w:p>
      <w:pPr>
        <w:spacing w:after="120" w:line="288" w:lineRule="auto"/>
      </w:pPr>
      <w:r>
        <w:t xml:space="preserve">§7.7 — Analog Realization of the Convergence. The threshold update performed by a conductance array; uniqueness as a precondition.</w:t>
      </w:r>
    </w:p>
    <w:p>
      <w:pPr>
        <w:spacing w:after="120" w:line="288" w:lineRule="auto"/>
      </w:pPr>
      <w:r>
        <w:t xml:space="preserve">Ch. 126 — The AI-Engine Ingestion Module. Prompt composition, conversion to knowledge records, derivation marking, self-corroboration bar, audit.</w:t>
      </w:r>
    </w:p>
    <w:p>
      <w:pPr>
        <w:spacing w:after="120" w:line="288" w:lineRule="auto"/>
      </w:pPr>
      <w:r>
        <w:t xml:space="preserve">Ch. 127 — Specialized Live Data Feeds. Publication authority, staleness, restatement distinct from correction, redistribution entitlement.</w:t>
      </w:r>
    </w:p>
    <w:p>
      <w:pPr>
        <w:spacing w:after="120" w:line="288" w:lineRule="auto"/>
      </w:pPr>
      <w:r>
        <w:t xml:space="preserve">Ch. 128 — Defined Agents. Complete definition before registration, capability bounded by the registering identity, advisory distinguished from approval.</w:t>
      </w:r>
    </w:p>
    <w:p>
      <w:pPr>
        <w:spacing w:after="120" w:line="288" w:lineRule="auto"/>
      </w:pPr>
      <w:r>
        <w:t xml:space="preserve">Ch. 129 — Deployment Licensing and Procurement Readiness. Topology and licence form by purchaser class; six unmet conditions and the sequencing recommendation.</w:t>
      </w:r>
    </w:p>
    <w:p>
      <w:pPr>
        <w:pStyle w:val="Heading2"/>
        <w:spacing w:after="100" w:before="220" w:line="288" w:lineRule="auto"/>
      </w:pPr>
      <w:r>
        <w:t xml:space="preserve">Chapter numbering — unassigned numbers</w:t>
      </w:r>
    </w:p>
    <w:p>
      <w:pPr>
        <w:spacing w:after="120" w:line="288" w:lineRule="auto"/>
      </w:pPr>
      <w:r>
        <w:t xml:space="preserve">Chapters 21 through 35 and Chapter 38 are unassigned numbers in this specification. They are not missing content. Their subject matter was renumbered by an earlier merge pass and now lives under other chapters, and a chapter sequence with gaps in it is a cosmetic artifact of that renumbering rather than a loss. Renumbering the surviving chapters to close the gaps is not done, because every citation in this document, in the patent applications and in the feature inventory resolves against the numbers as they now stand, and closing a cosmetic gap by invalidating several hundred working citations would trade a presentational problem for a substantive one.</w:t>
      </w:r>
    </w:p>
    <w:p>
      <w:pPr>
        <w:spacing w:after="120" w:line="288" w:lineRule="auto"/>
      </w:pPr>
      <w:r>
        <w:t xml:space="preserve">Eleven citations pointing into the unassigned range were repaired in this pass. Each was traced to the chapter where its subject matter is actually specified, and the repairs are recorded below. The document previously carried its own diagnosis of one of them — a note that a Zero-Knowledge Encryption citation pointed to a chapter that does not exist — which has now been acted upon rather than merely observed.</w:t>
      </w:r>
    </w:p>
    <w:p>
      <w:pPr>
        <w:spacing w:after="120" w:line="288" w:lineRule="auto"/>
      </w:pPr>
      <w:r>
        <w:t xml:space="preserve">    §21.3 → §52.3   Adaptive Response Engine, specified at Chapter 52.</w:t>
      </w:r>
    </w:p>
    <w:p>
      <w:pPr>
        <w:spacing w:after="120" w:line="288" w:lineRule="auto"/>
      </w:pPr>
      <w:r>
        <w:t xml:space="preserve">    §21.4 → §97.6   Active Inference Query Generation, specified at Chapter 97.</w:t>
      </w:r>
    </w:p>
    <w:p>
      <w:pPr>
        <w:spacing w:after="120" w:line="288" w:lineRule="auto"/>
      </w:pPr>
      <w:r>
        <w:t xml:space="preserve">    Chapter 21 → Chapter 52   Interactive Modes, specified at Chapter 52.</w:t>
      </w:r>
    </w:p>
    <w:p>
      <w:pPr>
        <w:spacing w:after="120" w:line="288" w:lineRule="auto"/>
      </w:pPr>
      <w:r>
        <w:t xml:space="preserve">    §28.3 → §51.4   Verification Gate for programs, specified at Chapter 51.</w:t>
      </w:r>
    </w:p>
    <w:p>
      <w:pPr>
        <w:spacing w:after="120" w:line="288" w:lineRule="auto"/>
      </w:pPr>
      <w:r>
        <w:t xml:space="preserve">    Chapter 32 → Chapter 41   Confidence Scoring Engine, contradiction detection, continuous evidence integration, CS weighting rules, specified at Chapter 41.</w:t>
      </w:r>
    </w:p>
    <w:p>
      <w:pPr>
        <w:spacing w:after="120" w:line="288" w:lineRule="auto"/>
      </w:pPr>
      <w:r>
        <w:t xml:space="preserve">    Chapter 35.5 → §36.7   Zero-Knowledge Encryption, specified at Chapter 36.</w:t>
      </w:r>
    </w:p>
    <w:p>
      <w:pPr>
        <w:pStyle w:val="Heading1"/>
        <w:spacing w:after="120" w:before="280" w:line="288" w:lineRule="auto"/>
      </w:pPr>
      <w:r>
        <w:t xml:space="preserve">Chapter 4: Multimodal Ingestion — §4.9 addition</w:t>
      </w:r>
    </w:p>
    <w:p>
      <w:pPr>
        <w:pStyle w:val="Heading2"/>
        <w:spacing w:after="100" w:before="220" w:line="288" w:lineRule="auto"/>
      </w:pPr>
      <w:r>
        <w:t xml:space="preserve">4.9.1 Registration</w:t>
      </w:r>
    </w:p>
    <w:p>
      <w:pPr>
        <w:spacing w:after="120" w:line="288" w:lineRule="auto"/>
      </w:pPr>
      <w:r>
        <w:t xml:space="preserve">A linguistic resource is any externally-sourced dataset consulted by the extraction pipeline of §4.3 or the realization pipeline of §16.3 — a lexical database, an annotated corpus, a morphological inventory, a frequency or collocation table, an idiom or metaphor list, a treebank. No linguistic resource is consulted by either pipeline unless it is registered.</w:t>
      </w:r>
    </w:p>
    <w:p>
      <w:pPr>
        <w:spacing w:after="120" w:line="288" w:lineRule="auto"/>
      </w:pPr>
      <w:r>
        <w:t xml:space="preserve">A registration records: a resource identifier and version; the licensor; the licence instrument and its version; the permitted-use scope, stated at minimum as whether commercial use is permitted; whether redistribution of the resource itself is permitted; whether attribution is required and in what form; and an ingestion mode of either full or derived-artifact-only, per §4.9.3. A registration lacking any of these fields is invalid and the resource is not consulted.</w:t>
      </w:r>
    </w:p>
    <w:p>
      <w:pPr>
        <w:spacing w:after="120" w:line="288" w:lineRule="auto"/>
      </w:pPr>
      <w:r>
        <w:t xml:space="preserve">Registration is a Chapter 60 rights validation, performed by the same mechanism that validates a submitted work, and its outcome is written to the Provenance Ledger. A resource whose licence does not permit the operator's intended use is refused at registration. The refusal occurs before any pipeline consults the resource, so an incompatible licence is a registration-time failure rather than a discovery made after artifacts derived from it are already in production.</w:t>
      </w:r>
    </w:p>
    <w:p>
      <w:pPr>
        <w:pStyle w:val="Heading2"/>
        <w:spacing w:after="100" w:before="220" w:line="288" w:lineRule="auto"/>
      </w:pPr>
      <w:r>
        <w:t xml:space="preserve">4.9.2 Licence propagation to derived artifacts</w:t>
      </w:r>
    </w:p>
    <w:p>
      <w:pPr>
        <w:spacing w:after="120" w:line="288" w:lineRule="auto"/>
      </w:pPr>
      <w:r>
        <w:t xml:space="preserve">An artifact derived from a registered resource carries a reference to that resource's registration. Where the resource's licence attaches conditions to derivatives — an attribution requirement, a share-alike obligation, a prohibition on redistributing the resource's own content — those conditions attach to the derived artifact and are enforced at every point the artifact would be redistributed or exposed.</w:t>
      </w:r>
    </w:p>
    <w:p>
      <w:pPr>
        <w:spacing w:after="120" w:line="288" w:lineRule="auto"/>
      </w:pPr>
      <w:r>
        <w:t xml:space="preserve">Attribution required by a registered resource is discharged in the deployment's own attribution surface and is not omitted on the ground that the resource is consulted only internally. Where two registered resources impose conflicting derivative conditions on a single artifact — for example a share-alike obligation and a prohibition on redistribution — the artifact is marked non-redistributable and the conflict is recorded, rather than resolved by selecting the less restrictive term.</w:t>
      </w:r>
    </w:p>
    <w:p>
      <w:pPr>
        <w:pStyle w:val="Heading2"/>
        <w:spacing w:after="100" w:before="220" w:line="288" w:lineRule="auto"/>
      </w:pPr>
      <w:r>
        <w:t xml:space="preserve">4.9.3 Derived-artifact-only ingestion</w:t>
      </w:r>
    </w:p>
    <w:p>
      <w:pPr>
        <w:spacing w:after="120" w:line="288" w:lineRule="auto"/>
      </w:pPr>
      <w:r>
        <w:t xml:space="preserve">A resource registered in derived-artifact-only mode may be consulted to compute aggregate quantities — a frequency, a collocation strength, a part-of-speech distribution, a morphological paradigm — and no span of the resource's own text is retained in any Fact Unit, index or cache, or reproduced in any output. The retained artifact is the statistic; the source span is discarded at computation.</w:t>
      </w:r>
    </w:p>
    <w:p>
      <w:pPr>
        <w:spacing w:after="120" w:line="288" w:lineRule="auto"/>
      </w:pPr>
      <w:r>
        <w:t xml:space="preserve">This mode exists because it is what several substantial resources actually permit. The British National Corpus licence prohibits commercial exploitation or publication of any part of the corpus texts and prohibits their redistribution, while permitting commercial exploitation of results derived from research carried out on the corpus and permitting derived lists and short fragments. A registry that recognized only full ingestion would have to refuse the BNC outright and lose a resource its licence in fact permits QueryBook to use.</w:t>
      </w:r>
    </w:p>
    <w:p>
      <w:pPr>
        <w:spacing w:after="120" w:line="288" w:lineRule="auto"/>
      </w:pPr>
      <w:r>
        <w:t xml:space="preserve">The boundary this mode enforces is the fact-expression boundary already stated at §59.10 under Feist Publications v. Rural Telephone Service Co., 499 U.S. 340 (1991). A frequency count computed over a corpus is a fact about the corpus and is not the corpus's protected expression. A retained sentence from that corpus is expression. The mode is the mechanical enforcement of a distinction the Bible already draws for ingested works generally, applied to the resources the pipeline itself consumes.</w:t>
      </w:r>
    </w:p>
    <w:p>
      <w:pPr>
        <w:spacing w:after="120" w:line="288" w:lineRule="auto"/>
      </w:pPr>
      <w:r>
        <w:t xml:space="preserve">Compliance with derived-artifact-only mode is verifiable rather than asserted: the count of retained source spans attributable to a resource registered in this mode is zero, and a non-zero count is a compliance failure surfaced by the same audit path as any other Provenance Ledger anomaly.</w:t>
      </w:r>
    </w:p>
    <w:p>
      <w:pPr>
        <w:spacing w:after="120" w:line="288" w:lineRule="auto"/>
      </w:pPr>
      <w:r>
        <w:t xml:space="preserve">The practical consequence of the chart is a substitution rather than a loss. Of the four resources the submitted plan named as essential and classified as open, three are not usable as classified, and the tasks they were assigned — segmentation, part-of-speech, dependency structure, collocations — are served by the Open American National Corpus and MASC, which are genuinely unrestricted. The BNC remains available for statistics under §4.9.3. Nothing in the plan's linguistic coverage is actually lost; what changes is which resource supplies it and under what recorded terms.</w:t>
      </w:r>
    </w:p>
    <w:p>
      <w:pPr>
        <w:spacing w:after="120" w:line="288" w:lineRule="auto"/>
      </w:pPr>
      <w:r>
        <w:t xml:space="preserve">The submitted document lists the Word Alignment Layer, Lexical Mapping Table, Semantic-Lexical Fusion Layer and Reversible Expression Layer under what QueryBook already has, and states they were added when improved translation accuracy was requested. They were not. None of those four names occurs in the Bible, as recorded in the translation addendum prepared previously. The same list includes pre-computed question generation and author metadata ingestion as already present; those were absent until specified in an earlier addendum. A roadmap built on that inventory would budget nothing for work that has not been done.</w:t>
      </w:r>
    </w:p>
    <w:p>
      <w:pPr>
        <w:spacing w:after="120" w:line="288" w:lineRule="auto"/>
      </w:pPr>
      <w:r>
        <w:t xml:space="preserve">The submitted document also states that the architecture is non-ANN and that biological grounding strengthens the patent. §4.3.1 specifies the semantic parser as a transformer-based encoder of at least one billion parameters fine-tuned on diverse text corpora, so the extraction boundary is a neural network by the Bible's own specification. The accurate and stronger statement is the one the architecture actually supports: the neural component is confined to the extraction boundary, its output is a typed Fact Unit subject to safety gating and confidence calibration before admission, and no neural component participates in retrieval, in the groundedness constraint, or in the generation vocabulary. That is a boundary claim, it is testable, and it survives an examiner reading §4.3.1.</w:t>
      </w:r>
    </w:p>
    <w:p>
      <w:pPr>
        <w:pStyle w:val="Heading1"/>
        <w:spacing w:after="120" w:before="280" w:line="288" w:lineRule="auto"/>
      </w:pPr>
      <w:r>
        <w:t xml:space="preserve">Chapter 7 and Chapter 97 — §7.6.4 and §97.7.1 additions</w:t>
      </w:r>
    </w:p>
    <w:p>
      <w:pPr>
        <w:pStyle w:val="Heading2"/>
        <w:spacing w:after="100" w:before="220" w:line="288" w:lineRule="auto"/>
      </w:pPr>
      <w:r>
        <w:t xml:space="preserve">7.6.4.1 Step one — external verification against the primary publication</w:t>
      </w:r>
    </w:p>
    <w:p>
      <w:pPr>
        <w:spacing w:after="120" w:line="288" w:lineRule="auto"/>
      </w:pPr>
      <w:r>
        <w:t xml:space="preserve">The capacity figure stated at §7.6.3 — approximately 0.14N stable patterns for N units — is not an engineering rule of thumb. It is a critical value derived analytically in the statistical mechanics of the Hopfield model, and it marks a phase transition. The primary publications are:</w:t>
      </w:r>
    </w:p>
    <w:p>
      <w:pPr>
        <w:spacing w:after="120" w:line="288" w:lineRule="auto"/>
      </w:pPr>
      <w:r>
        <w:t xml:space="preserve">The 1987 figure of αc = 0.14 is the identical number already carried at §7.6.3. No value changes. What follows is the identification of what that number is.</w:t>
      </w:r>
    </w:p>
    <w:p>
      <w:pPr>
        <w:pStyle w:val="Heading2"/>
        <w:spacing w:after="100" w:before="220" w:line="288" w:lineRule="auto"/>
      </w:pPr>
      <w:r>
        <w:t xml:space="preserve">7.6.4.2 Step two — implicit-correspondence check</w:t>
      </w:r>
    </w:p>
    <w:p>
      <w:pPr>
        <w:spacing w:after="120" w:line="288" w:lineRule="auto"/>
      </w:pPr>
      <w:r>
        <w:t xml:space="preserve">The correspondence is already present in the specification and is described in engineering vocabulary rather than in the vocabulary of statistical mechanics. §7.6.3 states that exceeding the bound produces catastrophic interference in which storing a new pattern corrupts recall of existing ones. That is the observable behaviour of the discontinuous disappearance of the retrieval states at αc. No new mechanism is therefore required, and none is introduced. This step, under Chapter 101, terminates the search for new machinery.</w:t>
      </w:r>
    </w:p>
    <w:p>
      <w:pPr>
        <w:pStyle w:val="Heading2"/>
        <w:spacing w:after="100" w:before="220" w:line="288" w:lineRule="auto"/>
      </w:pPr>
      <w:r>
        <w:t xml:space="preserve">7.6.4.3 Step three — extraction of the deterministic structural principle</w:t>
      </w:r>
    </w:p>
    <w:p>
      <w:pPr>
        <w:spacing w:after="120" w:line="288" w:lineRule="auto"/>
      </w:pPr>
      <w:r>
        <w:t xml:space="preserve">The deterministic principle extractable from the cited work is a two-part operating constraint on a ratio, not a probabilistic claim about brains. Let P be the number of distinct stable configurations the Attractor Network is operated to hold and N the number of units. The load ratio is α = P/N. The principle is:</w:t>
      </w:r>
    </w:p>
    <w:p>
      <w:pPr>
        <w:spacing w:after="120" w:line="288" w:lineRule="auto"/>
      </w:pPr>
      <w:r>
        <w:t xml:space="preserve">Because the transition at αc is discontinuous, degradation is not graceful: the system does not become gradually less reliable as the boundary is approached and then fail. It retrieves, and then it does not. This is why the constraint is enforced as an admission refusal at the ceiling rather than as a quality metric monitored after the fact.</w:t>
      </w:r>
    </w:p>
    <w:p>
      <w:pPr>
        <w:pStyle w:val="Heading2"/>
        <w:spacing w:after="100" w:before="220" w:line="288" w:lineRule="auto"/>
      </w:pPr>
      <w:r>
        <w:t xml:space="preserve">7.6.4.4 Step four — extension of claimed mechanism over new invention</w:t>
      </w:r>
    </w:p>
    <w:p>
      <w:pPr>
        <w:spacing w:after="120" w:line="288" w:lineRule="auto"/>
      </w:pPr>
      <w:r>
        <w:t xml:space="preserve">The constraint is enforced through mechanism already specified. Admission of a new stable configuration is a write to the Synaptic Weight Store, already governed by the weight-update integrity controls of §7.6.1. Refusal of an admission that would breach the ceiling is a Safety Substrate enforcement point of the kind already placed at every operation layer under Chapter 8. Recording of the refusal and of any deployment election of the permitted regime is a Provenance Ledger append under Chapter 5. Consolidation on refusal is the EWC regularization path already specified at §7.4.4. No new subsystem is created.</w:t>
      </w:r>
    </w:p>
    <w:p>
      <w:pPr>
        <w:pStyle w:val="Heading2"/>
        <w:spacing w:after="100" w:before="220" w:line="288" w:lineRule="auto"/>
      </w:pPr>
      <w:r>
        <w:t xml:space="preserve">7.6.4.5 Step five — named formalization</w:t>
      </w:r>
    </w:p>
    <w:p>
      <w:pPr>
        <w:spacing w:after="120" w:line="288" w:lineRule="auto"/>
      </w:pPr>
      <w:r>
        <w:t xml:space="preserve">The boundary at αc is hereby named the Retrieval-Phase Boundary, and the ratio α = P/N is named the Attractor Load Ratio. The component enforcing the ceiling is named the Attractor Load Regime Governor. The correspondence is: QueryBook's Attractor Network is operated strictly on the ordered side of a first-order phase transition whose location was established analytically by Amit, Gutfreund and Sompolinsky (1985, 1987), and the capacity bound at §7.6.3 is the engineering expression of that transition.</w:t>
      </w:r>
    </w:p>
    <w:p>
      <w:pPr>
        <w:pStyle w:val="Heading2"/>
        <w:spacing w:after="100" w:before="220" w:line="288" w:lineRule="auto"/>
      </w:pPr>
      <w:r>
        <w:t xml:space="preserve">7.6.4.6 What is deliberately not adopted</w:t>
      </w:r>
    </w:p>
    <w:p>
      <w:pPr>
        <w:spacing w:after="120" w:line="288" w:lineRule="auto"/>
      </w:pPr>
      <w:r>
        <w:t xml:space="preserve">The critical brain hypothesis — the proposition that biological neural systems operate near a critical point between order and disorder, evidenced by power-law distributed event sizes — is not adopted as a mechanism of this system, and no claim in this specification depends on it. Three reasons are recorded, so that the exclusion is a documented decision rather than an omission.</w:t>
      </w:r>
    </w:p>
    <w:p>
      <w:pPr>
        <w:spacing w:after="120" w:line="288" w:lineRule="auto"/>
      </w:pPr>
      <w:r>
        <w:t xml:space="preserve">First, the transition class differs. The critical brain hypothesis concerns a second-order, continuous transition. The transition at αc is first-order: the retrieval states disappear discontinuously. Naming the §7.6.3 bound a phase transition is exact; naming it criticality in the critical-brain sense would not be.</w:t>
      </w:r>
    </w:p>
    <w:p>
      <w:pPr>
        <w:spacing w:after="120" w:line="288" w:lineRule="auto"/>
      </w:pPr>
      <w:r>
        <w:t xml:space="preserve">Second, the hypothesis is contested in its own literature. Evidence is reported in cell cultures, brain slices and anesthetized animals, with inconsistent results in awake animals and humans, and the requirement that a control parameter be tuned exactly to the transition point remains an open objection. Chapter 101's verification step is not satisfied by a proposition in that state.</w:t>
      </w:r>
    </w:p>
    <w:p>
      <w:pPr>
        <w:spacing w:after="120" w:line="288" w:lineRule="auto"/>
      </w:pPr>
      <w:r>
        <w:t xml:space="preserve">Third, the reported computational benefit is conditional rather than general. Work on plastic spiking networks running on neuromorphic hardware, in which distance to criticality was directly adjustable, found network capacity maximal at criticality but performance improved only for complex tasks while simple tasks were degraded. Grounded retrieval over a fixed record set is the second kind of task. Operating the retrieval path near a critical point would purchase dynamic range with exactly the variance the rest of this specification exists to eliminate.</w:t>
      </w:r>
    </w:p>
    <w:p>
      <w:pPr>
        <w:spacing w:after="120" w:line="288" w:lineRule="auto"/>
      </w:pPr>
      <w:r>
        <w:t xml:space="preserve">Accordingly the retrieval path is operated away from any critical point, deep in the ordered regime, and the one place in the system where variance is the intended product is treated separately at §97.7.1 below.</w:t>
      </w:r>
    </w:p>
    <w:p>
      <w:pPr>
        <w:spacing w:after="120" w:line="288" w:lineRule="auto"/>
      </w:pPr>
      <w:r>
        <w:t xml:space="preserve">§97.7 already specifies a stochastic sampler on the hypothesis-generation path, in which the selection probability of a candidate is a logistic function of a scored difference against an incumbent, scaled by an inverse-temperature parameter β, of the form p = 1 / (1 + e^(−β·ΔE)). That sampler is walled off from the Attractor Network and from grounded retrieval, and no output of it is admitted to the retrieval or generation path.</w:t>
      </w:r>
    </w:p>
    <w:p>
      <w:pPr>
        <w:spacing w:after="120" w:line="288" w:lineRule="auto"/>
      </w:pPr>
      <w:r>
        <w:t xml:space="preserve">The parameter β is an inverse temperature, and temperature is the control parameter of the order–disorder transition in the same statistical-mechanics framework that locates αc. §97.7.1 exposes β as an operator-set control with named regimes, so that hypothesis diversity becomes a configured quantity with a recorded setting rather than a fixed implementation constant.</w:t>
      </w:r>
    </w:p>
    <w:p>
      <w:pPr>
        <w:spacing w:after="120" w:line="288" w:lineRule="auto"/>
      </w:pPr>
      <w:r>
        <w:t xml:space="preserve">Three constraints govern the control. The setting is recorded in the Provenance Ledger with the identity of the operator who set it, so that a hypothesis set is reproducible from its recorded β. No value of β causes any output of the sampler to reach the retrieval or generation path; the wall specified at §97.7 is unaffected by the setting. And a candidate hypothesis produced at any β retains the proposed status field of Chapter 97 and transitions to validated only on confirmation by an identified human reviewer.</w:t>
      </w:r>
    </w:p>
    <w:p>
      <w:pPr>
        <w:spacing w:after="120" w:line="288" w:lineRule="auto"/>
      </w:pPr>
      <w:r>
        <w:t xml:space="preserve">The system does not self-tune β toward any point, critical or otherwise. Self-organised tuning would make hypothesis output depend on the system's own history in a way no operator selected and no ledger entry would fully capture, which is inconsistent with the reproducibility requirement above.</w:t>
      </w:r>
    </w:p>
    <w:p>
      <w:pPr>
        <w:spacing w:after="120" w:line="288" w:lineRule="auto"/>
      </w:pPr>
      <w:r>
        <w:t xml:space="preserve">Row 139 evaluates to admission in the conservative regime: an 8,192-unit Attractor Network at the §7.2.4 default holding 1,000 stable configurations carries α ≈ 0.122, which is inside the permitted regime but above the 0.05 conservative ceiling — the expression as written therefore returns the consolidation branch, which is the correct and intended behaviour for a default-configured deployment approaching that load.</w:t>
      </w:r>
    </w:p>
    <w:p>
      <w:pPr>
        <w:spacing w:after="120" w:line="288" w:lineRule="auto"/>
      </w:pPr>
      <w:r>
        <w:t xml:space="preserve">Row 140 evaluates the sampler probability at β = 0.5 and ΔE = 0.4, returning approximately 0.5498 — a broadened selection consistent with the intermediate regime.</w:t>
      </w:r>
    </w:p>
    <w:p>
      <w:pPr>
        <w:spacing w:after="120" w:line="288" w:lineRule="auto"/>
      </w:pPr>
      <w:r>
        <w:t xml:space="preserve">Every value in this addendum was checked against the primary publications rather than carried from a secondary source: αc ≈ 0.138 and the 1.5% error bound at T = 0 from Amit, Gutfreund and Sompolinsky; the discontinuous disappearance of the retrieval states at αc from the same source; the α ≲ 0.05 global-minimum regime from the phase diagram of the 1987 paper; and the replica-symmetry-breaking corrections at approximately 0.144, against which the conservative ceiling is deliberately not set. The §7.6.3 figure of 0.14N is unchanged by this addendum and required no correction.</w:t>
      </w:r>
    </w:p>
    <w:p>
      <w:pPr>
        <w:spacing w:after="120" w:line="288" w:lineRule="auto"/>
      </w:pPr>
      <w:r>
        <w:t xml:space="preserve">One point for counsel. Claims 30 through 32 recite an operating constraint on a ratio and a refusal behaviour, both of which are concrete and testable. Claims 33 and 34 recite a configuration control and a negative limitation on its reach. None of them recites the critical brain hypothesis, and none depends on that hypothesis being true. That is deliberate: a claim resting on a contested proposition about biological neural systems would be vulnerable in a way these are not.</w:t>
      </w:r>
    </w:p>
    <w:p>
      <w:pPr>
        <w:pStyle w:val="Heading1"/>
        <w:spacing w:after="120" w:before="280" w:line="288" w:lineRule="auto"/>
      </w:pPr>
      <w:r>
        <w:t xml:space="preserve">Chapter 16: Multilingual Regeneration — §16.7 and §16.8 additions</w:t>
      </w:r>
    </w:p>
    <w:p>
      <w:pPr>
        <w:pStyle w:val="Heading2"/>
        <w:spacing w:after="100" w:before="220" w:line="288" w:lineRule="auto"/>
      </w:pPr>
      <w:r>
        <w:t xml:space="preserve">16.7 Wording-Operative Spans</w:t>
      </w:r>
    </w:p>
    <w:p>
      <w:pPr>
        <w:spacing w:after="120" w:line="288" w:lineRule="auto"/>
      </w:pPr>
      <w:r>
        <w:t xml:space="preserve">A wording-operative span is a span of source content whose exact wording carries force independently of its meaning, such that a semantically equivalent restatement is not a substitute for it. Canonical cases are a direct quotation, a statutory or regulatory phrase, a term defined in a patent claim, a contractual clause, and an instruction whose precise wording is prescribed by a regulator.</w:t>
      </w:r>
    </w:p>
    <w:p>
      <w:pPr>
        <w:spacing w:after="120" w:line="288" w:lineRule="auto"/>
      </w:pPr>
      <w:r>
        <w:t xml:space="preserve">A Fact Unit of type QUOTATION, already present in the type set at Chapter 4, and a Fact Unit carrying an explicit wording-operative marking, are both wording-operative. The marking is set at ingestion by the author or publisher under Chapter 60's rights framework, or by an operator within a Discipline Mode whose conventions require it — LEGAL and MEDICAL_CLINICAL both do.</w:t>
      </w:r>
    </w:p>
    <w:p>
      <w:pPr>
        <w:spacing w:after="120" w:line="288" w:lineRule="auto"/>
      </w:pPr>
      <w:r>
        <w:t xml:space="preserve">A wording-operative span is reproduced in its source language and its source wording, and is not regenerated. Where the response is delivered in a different language, the reproduced span is accompanied by a regenerated gloss carrying an explicit non-operative marking, so that a reader in the target language receives both the operative text and an understanding of it without the two being confusable. The gloss is grounded and cited exactly as any other regenerated output; the reproduced span is cited to its source rather than to a Narrative Graph edge, because it was not generated.</w:t>
      </w:r>
    </w:p>
    <w:p>
      <w:pPr>
        <w:spacing w:after="120" w:line="288" w:lineRule="auto"/>
      </w:pPr>
      <w:r>
        <w:t xml:space="preserve">Reproduction of a wording-operative span is subject without exception to Chapter 60's rights validation and to the fact-expression boundary already stated at §59.10: extracting a fact from a source is not a use of the source's protected expression, but reproducing the source's expression is. A wording-operative span whose reproduction is not licensed is not reproduced; the response states that the operative wording is not reproducible under the applicable rights and supplies the regenerated gloss alone, marked as non-operative.</w:t>
      </w:r>
    </w:p>
    <w:p>
      <w:pPr>
        <w:spacing w:after="120" w:line="288" w:lineRule="auto"/>
      </w:pPr>
      <w:r>
        <w:t xml:space="preserve">A wording-operative span is exempt from the Factual Groundedness rewriting of §16.3 Stage 6, which would otherwise rewrite or qualify a span it could not map proposition-by-proposition to a Narrative Graph node. The exemption is narrow: it suspends rewriting of the reproduced span only, and applies to no other span of the response.</w:t>
      </w:r>
    </w:p>
    <w:p>
      <w:pPr>
        <w:pStyle w:val="Heading2"/>
        <w:spacing w:after="100" w:before="220" w:line="288" w:lineRule="auto"/>
      </w:pPr>
      <w:r>
        <w:t xml:space="preserve">16.8 Idiom Handling</w:t>
      </w:r>
    </w:p>
    <w:p>
      <w:pPr>
        <w:spacing w:after="120" w:line="288" w:lineRule="auto"/>
      </w:pPr>
      <w:r>
        <w:t xml:space="preserve">The Bible contains no specification of idiom handling. The single occurrence of the word in the document refers to idiomatic Go interfaces in an SDK description. This is a genuine gap: an idiom is a span whose attested meaning diverges from the compositional meaning of its parts, and a system that extracts meaning compositionally will extract the wrong Fact Unit from one.</w:t>
      </w:r>
    </w:p>
    <w:p>
      <w:pPr>
        <w:spacing w:after="120" w:line="288" w:lineRule="auto"/>
      </w:pPr>
      <w:r>
        <w:t xml:space="preserve">An idiom is detected at ingestion where the compositional reading of a span and its attested reading, as registered in the Ontology Mesh, diverge by more than a configured threshold. On detection, the Fact Unit records the attested meaning, not the compositional one, and carries a marking identifying it as idiom-derived together with the source span.</w:t>
      </w:r>
    </w:p>
    <w:p>
      <w:pPr>
        <w:spacing w:after="120" w:line="288" w:lineRule="auto"/>
      </w:pPr>
      <w:r>
        <w:t xml:space="preserve">At regeneration, an idiom-derived Fact Unit is realized using a target-language equivalent where one is registered in the Ontology Mesh for the same attested meaning. Where no equivalent is registered, the attested meaning is rendered literally and plainly, accompanied by a note that the source expressed it idiomatically. A target-language idiom is never selected on the basis of surface similarity to the source idiom, and no equivalence is generated that has not been registered — a false idiomatic equivalent is a fluent error, which is the failure mode this architecture exists to make unreachable.</w:t>
      </w:r>
    </w:p>
    <w:p>
      <w:pPr>
        <w:spacing w:after="120" w:line="288" w:lineRule="auto"/>
      </w:pPr>
      <w:r>
        <w:t xml:space="preserve">Where the source idiom is itself the subject of the query — a reader asking what a phrase means, rather than asking a question the phrase happens to answer — the source span is treated as wording-operative under §16.7 and reproduced rather than replaced.</w:t>
      </w:r>
    </w:p>
    <w:p>
      <w:pPr>
        <w:pStyle w:val="Heading1"/>
        <w:spacing w:after="120" w:before="280" w:line="288" w:lineRule="auto"/>
      </w:pPr>
      <w:r>
        <w:t xml:space="preserve">Chapter 41: Predictive Cognitive Architecture — §41.6.2 addition</w:t>
      </w:r>
    </w:p>
    <w:p>
      <w:pPr>
        <w:pStyle w:val="Heading2"/>
        <w:spacing w:after="100" w:before="220" w:line="288" w:lineRule="auto"/>
      </w:pPr>
      <w:r>
        <w:t xml:space="preserve">41.6.2.1 Representation</w:t>
      </w:r>
    </w:p>
    <w:p>
      <w:pPr>
        <w:spacing w:after="120" w:line="288" w:lineRule="auto"/>
      </w:pPr>
      <w:r>
        <w:t xml:space="preserve">The ConfidenceScore ceases to be a scalar and becomes the mean of a Beta distribution over the probability that the Fact Unit's assertion is accurate. Two parameters are stored in place of one number: α, accumulated evidence for the assertion, and β, accumulated evidence against. The reported ConfidenceScore, which every existing consumer continues to read as a value in [0,1], is the posterior mean.</w:t>
      </w:r>
    </w:p>
    <w:p>
      <w:pPr>
        <w:spacing w:after="120" w:line="288" w:lineRule="auto"/>
      </w:pPr>
      <w:r>
        <w:rPr>
          <w:rFonts w:ascii="Consolas" w:hAnsi="Consolas" w:cs="Consolas"/>
          <w:sz w:val="19"/>
        </w:rPr>
        <w:t xml:space="preserve">CS = α / (α + β)</w:t>
      </w:r>
    </w:p>
    <w:p>
      <w:pPr>
        <w:spacing w:after="120" w:line="288" w:lineRule="auto"/>
      </w:pPr>
      <w:r>
        <w:t xml:space="preserve">The Beta distribution is the conjugate prior for a Bernoulli likelihood, which is what makes this tractable: the posterior after observing new evidence is again a Beta distribution, obtained by addition alone. There is no integration to perform, no sampling, and no iterative fitting.</w:t>
      </w:r>
    </w:p>
    <w:p>
      <w:pPr>
        <w:spacing w:after="120" w:line="288" w:lineRule="auto"/>
      </w:pPr>
      <w:r>
        <w:rPr>
          <w:rFonts w:ascii="Consolas" w:hAnsi="Consolas" w:cs="Consolas"/>
          <w:sz w:val="19"/>
        </w:rPr>
        <w:t xml:space="preserve">α' = α + w·s        β' = β + w·f</w:t>
      </w:r>
    </w:p>
    <w:p>
      <w:pPr>
        <w:spacing w:after="120" w:line="288" w:lineRule="auto"/>
      </w:pPr>
      <w:r>
        <w:t xml:space="preserve">where s counts corroborating observations, f counts contradicting observations, and w is the weight of the observing source, computed from the source reliability and modality coefficient already specified for confidence calibration at §4.6. Weighting by w is why evidence is admitted as a fractional count rather than an integer: a source of reliability 0.85 contributes 0.85 of an observation, not one.</w:t>
      </w:r>
    </w:p>
    <w:p>
      <w:pPr>
        <w:pStyle w:val="Heading2"/>
        <w:spacing w:after="100" w:before="220" w:line="288" w:lineRule="auto"/>
      </w:pPr>
      <w:r>
        <w:t xml:space="preserve">41.6.2.2 The behaviour this produces</w:t>
      </w:r>
    </w:p>
    <w:p>
      <w:pPr>
        <w:spacing w:after="120" w:line="288" w:lineRule="auto"/>
      </w:pPr>
      <w:r>
        <w:t xml:space="preserve">The same one contradiction now moves a weak belief far and a settled belief slightly, without any rule saying so. The behaviour is a consequence of the arithmetic rather than a special case in it.</w:t>
      </w:r>
    </w:p>
    <w:p>
      <w:pPr>
        <w:spacing w:after="120" w:line="288" w:lineRule="auto"/>
      </w:pPr>
      <w:r>
        <w:t xml:space="preserve">Compare the third row against the additive rule's −0.0500 for the identical situation. The settled belief now moves −0.0429 on one contradiction and −0.3000 on ten — which is precisely the multi-source contradicting evidence §41.4.5 says is required. The claim that strong priors resist weak evidence stops being a description and becomes a computed result.</w:t>
      </w:r>
    </w:p>
    <w:p>
      <w:pPr>
        <w:pStyle w:val="Heading2"/>
        <w:spacing w:after="100" w:before="220" w:line="288" w:lineRule="auto"/>
      </w:pPr>
      <w:r>
        <w:t xml:space="preserve">41.6.2.3 ConceptStabilityWeight as prior strength</w:t>
      </w:r>
    </w:p>
    <w:p>
      <w:pPr>
        <w:spacing w:after="120" w:line="288" w:lineRule="auto"/>
      </w:pPr>
      <w:r>
        <w:t xml:space="preserve">CSW maps onto this model exactly, and the mapping is the reason the two mechanisms belong in one specification. A Beta prior carries two independent quantities: where it sits, α/(α+β), and how firmly it is held, n₀ = α + β. The first is the concept's current confidence. The second is CSW.</w:t>
      </w:r>
    </w:p>
    <w:p>
      <w:pPr>
        <w:spacing w:after="120" w:line="288" w:lineRule="auto"/>
      </w:pPr>
      <w:r>
        <w:rPr>
          <w:rFonts w:ascii="Consolas" w:hAnsi="Consolas" w:cs="Consolas"/>
          <w:sz w:val="19"/>
        </w:rPr>
        <w:t xml:space="preserve">α₀ = CS₀ · n₀        β₀ = (1 − CS₀) · n₀        n₀ = f(CSW)</w:t>
      </w:r>
    </w:p>
    <w:p>
      <w:pPr>
        <w:spacing w:after="120" w:line="288" w:lineRule="auto"/>
      </w:pPr>
      <w:r>
        <w:t xml:space="preserve">The mapping f is monotonic and configurable per FactType in the Ontology Mesh, on the same terms as the decay constant λ at §4.6.3. A concept node at CSW 0.90 with a pseudo-count of 20 requires roughly ten contradicting observations to fall to 0.60; the same node at CSW 0.30 with a pseudo-count of 3 falls further on one. The World Brain's settledness and the Semantic Brain's confidence are thereby expressed in one arithmetic instead of two vocabularies.</w:t>
      </w:r>
    </w:p>
    <w:p>
      <w:pPr>
        <w:pStyle w:val="Heading2"/>
        <w:spacing w:after="100" w:before="220" w:line="288" w:lineRule="auto"/>
      </w:pPr>
      <w:r>
        <w:t xml:space="preserve">41.6.2.4 Credible intervals for free</w:t>
      </w:r>
    </w:p>
    <w:p>
      <w:pPr>
        <w:spacing w:after="120" w:line="288" w:lineRule="auto"/>
      </w:pPr>
      <w:r>
        <w:t xml:space="preserve">§10.3.1 already requires that every PIE prediction carry a Bayesian 95% credible interval computed via conjugate priors. Under a scalar ConfidenceScore that interval has to be obtained from somewhere else, because a single number carries no dispersion. Under the Beta representation it is a property of the stored parameters.</w:t>
      </w:r>
    </w:p>
    <w:p>
      <w:pPr>
        <w:spacing w:after="120" w:line="288" w:lineRule="auto"/>
      </w:pPr>
      <w:r>
        <w:rPr>
          <w:rFonts w:ascii="Consolas" w:hAnsi="Consolas" w:cs="Consolas"/>
          <w:sz w:val="19"/>
        </w:rPr>
        <w:t xml:space="preserve">half-width ≈ 1.96 · sqrt( CS·(1−CS) / (α+β+1) )</w:t>
      </w:r>
    </w:p>
    <w:p>
      <w:pPr>
        <w:pStyle w:val="Heading2"/>
        <w:spacing w:after="100" w:before="220" w:line="288" w:lineRule="auto"/>
      </w:pPr>
      <w:r>
        <w:t xml:space="preserve">41.6.2.5 Temporal decay, corrected</w:t>
      </w:r>
    </w:p>
    <w:p>
      <w:pPr>
        <w:spacing w:after="120" w:line="288" w:lineRule="auto"/>
      </w:pPr>
      <w:r>
        <w:t xml:space="preserve">§4.6.3 applies exponential decay directly to the ConfidenceScore. Applied to a posterior mean that would be wrong: decaying the mean of a well-evidenced belief drives it toward zero rather than toward uncertainty, so an old, heavily-corroborated fact would eventually read as false rather than as stale.</w:t>
      </w:r>
    </w:p>
    <w:p>
      <w:pPr>
        <w:spacing w:after="120" w:line="288" w:lineRule="auto"/>
      </w:pPr>
      <w:r>
        <w:t xml:space="preserve">Decay instead acts on the evidence counts, shrinking both parameters toward the prior at the same rate. The mean is preserved while the interval widens, which is the correct meaning of an ageing observation: not that it has become false, but that it has become less firmly established.</w:t>
      </w:r>
    </w:p>
    <w:p>
      <w:pPr>
        <w:spacing w:after="120" w:line="288" w:lineRule="auto"/>
      </w:pPr>
      <w:r>
        <w:rPr>
          <w:rFonts w:ascii="Consolas" w:hAnsi="Consolas" w:cs="Consolas"/>
          <w:sz w:val="19"/>
        </w:rPr>
        <w:t xml:space="preserve">α_t = α₀ + (α − α₀)·exp(−λΔt)        β_t = β₀ + (β − β₀)·exp(−λΔt)</w:t>
      </w:r>
    </w:p>
    <w:p>
      <w:pPr>
        <w:spacing w:after="120" w:line="288" w:lineRule="auto"/>
      </w:pPr>
      <w:r>
        <w:t xml:space="preserve">λ remains the per-FactType constant already specified, and immutable historical facts retain λ = 0 and therefore do not decay at all. This is an amendment to §4.6.3 and should be recorded as one.</w:t>
      </w:r>
    </w:p>
    <w:p>
      <w:pPr>
        <w:pStyle w:val="Heading2"/>
        <w:spacing w:after="100" w:before="220" w:line="288" w:lineRule="auto"/>
      </w:pPr>
      <w:r>
        <w:t xml:space="preserve">41.6.2.6 Bounds and refutation</w:t>
      </w:r>
    </w:p>
    <w:p>
      <w:pPr>
        <w:spacing w:after="120" w:line="288" w:lineRule="auto"/>
      </w:pPr>
      <w:r>
        <w:t xml:space="preserve">Because α and β are both strictly positive, CS is never exactly 0 and never exactly 1, satisfying the Appendix A constraint that a ConfidenceScore is never exactly zero unless the assertion has been falsified. Falsification remains a distinct state set explicitly, not a limit approached by accumulating contradictions: a fact that has been refuted is marked as refuted, and an arbitrarily large β is not the same statement.</w:t>
      </w:r>
    </w:p>
    <w:p>
      <w:pPr>
        <w:spacing w:after="120" w:line="288" w:lineRule="auto"/>
      </w:pPr>
      <w:r>
        <w:t xml:space="preserve">The update is closed-form addition. The same Fact Unit under the same evidence in the same order yields the same posterior on every execution, and because addition is commutative the same evidence in any order yields the same posterior as well — a stronger property than the additive rule offers, since a sequence of clamped additive updates can depend on order once a bound is reached.</w:t>
      </w:r>
    </w:p>
    <w:p>
      <w:pPr>
        <w:spacing w:after="120" w:line="288" w:lineRule="auto"/>
      </w:pPr>
      <w:r>
        <w:t xml:space="preserve">Sampling-based Bayesian methods are excluded from this path and from the retrieval path generally. Markov chain Monte Carlo, particle filtering and variational sampling produce a different answer on each run by construction, which would break the guarantee at claim 1 that the same query over the same records returns the same answer. This specification contains no such method, and §97.7's Boltzmann sampler remains the only stochastic component in the system, confined to hypothesis generation and walled off from retrieval and generation.</w:t>
      </w:r>
    </w:p>
    <w:p>
      <w:pPr>
        <w:spacing w:after="120" w:line="288" w:lineRule="auto"/>
      </w:pPr>
      <w:r>
        <w:t xml:space="preserve">The distinction is worth stating precisely because the two are commonly conflated. Bayesian inference by conjugate update is deterministic. Bayesian inference by sampling is not. Only the first is adopted.</w:t>
      </w:r>
    </w:p>
    <w:p>
      <w:pPr>
        <w:spacing w:after="120" w:line="288" w:lineRule="auto"/>
      </w:pPr>
      <w:r>
        <w:t xml:space="preserve">Existing Fact Units carry a scalar ConfidenceScore and no evidence counts. Migration initialises each with a pseudo-count reflecting how much is actually known about its evidential history, rather than fabricating one.</w:t>
      </w:r>
    </w:p>
    <w:p>
      <w:pPr>
        <w:spacing w:after="120" w:line="288" w:lineRule="auto"/>
      </w:pPr>
      <w:r>
        <w:t xml:space="preserve">Migration is recorded in the Provenance Ledger per Fact Unit, carrying the scalar the record held and the parameters assigned, so that any later question about a confidence value can be traced across the change. The reported ConfidenceScore is unchanged by migration in every case, since α₀/(α₀+β₀) = CS by construction; what changes is that the score now carries its own evidential weight.</w:t>
      </w:r>
    </w:p>
    <w:p>
      <w:pPr>
        <w:spacing w:after="120" w:line="288" w:lineRule="auto"/>
      </w:pPr>
      <w:r>
        <w:t xml:space="preserve">Row 156 evaluates the posterior mean after one contradiction against a prior of α=18, β=2, returning 0.857143. Row 157 confirms the resulting revision of 0.0429 falls below the 0.05 the additive rule would have applied, which is the resistance property §41.4.5 claims and the additive rule does not deliver.</w:t>
      </w:r>
    </w:p>
    <w:p>
      <w:pPr>
        <w:pStyle w:val="Heading1"/>
        <w:spacing w:after="120" w:before="280" w:line="288" w:lineRule="auto"/>
      </w:pPr>
      <w:r>
        <w:t xml:space="preserve">Chapter 41: Predictive Cognitive Architecture — §41.6.4 addition</w:t>
      </w:r>
    </w:p>
    <w:p>
      <w:pPr>
        <w:pStyle w:val="Heading2"/>
        <w:spacing w:after="100" w:before="220" w:line="288" w:lineRule="auto"/>
      </w:pPr>
      <w:r>
        <w:t xml:space="preserve">41.6.4.1 Precision is already stored</w:t>
      </w:r>
    </w:p>
    <w:p>
      <w:pPr>
        <w:spacing w:after="120" w:line="288" w:lineRule="auto"/>
      </w:pPr>
      <w:r>
        <w:t xml:space="preserve">Under §41.6.2 a ConfidenceScore is the mean of a Beta distribution with parameters α and β. A distribution carries dispersion as well as location, and precision in the Predictive Coding sense is inverse variance. No new field is introduced by this section; the quantity is computed from parameters already held.</w:t>
      </w:r>
    </w:p>
    <w:p>
      <w:pPr>
        <w:spacing w:after="120" w:line="288" w:lineRule="auto"/>
      </w:pPr>
      <w:r>
        <w:rPr>
          <w:rFonts w:ascii="Consolas" w:hAnsi="Consolas" w:cs="Consolas"/>
          <w:sz w:val="19"/>
        </w:rPr>
        <w:t xml:space="preserve">var  =  CS · (1 − CS) / (α + β + 1)          π  =  1 / var</w:t>
      </w:r>
    </w:p>
    <w:p>
      <w:pPr>
        <w:spacing w:after="120" w:line="288" w:lineRule="auto"/>
      </w:pPr>
      <w:r>
        <w:t xml:space="preserve">The second and third rows are the point. Both report a ConfidenceScore of 0.9000 and a scalar score cannot distinguish them, yet their precisions differ by a factor of approximately ten. That factor is exactly what should govern how far each is permitted to move the model above it.</w:t>
      </w:r>
    </w:p>
    <w:p>
      <w:pPr>
        <w:pStyle w:val="Heading2"/>
        <w:spacing w:after="100" w:before="220" w:line="288" w:lineRule="auto"/>
      </w:pPr>
      <w:r>
        <w:t xml:space="preserve">41.6.4.2 The propagation gain</w:t>
      </w:r>
    </w:p>
    <w:p>
      <w:pPr>
        <w:spacing w:after="120" w:line="288" w:lineRule="auto"/>
      </w:pPr>
      <w:r>
        <w:t xml:space="preserve">Where an error signal of precision π_e contradicts a concept attribute of precision π_p, the fraction of the available revision applied to that attribute is the error's share of the total precision.</w:t>
      </w:r>
    </w:p>
    <w:p>
      <w:pPr>
        <w:spacing w:after="120" w:line="288" w:lineRule="auto"/>
      </w:pPr>
      <w:r>
        <w:rPr>
          <w:rFonts w:ascii="Consolas" w:hAnsi="Consolas" w:cs="Consolas"/>
          <w:sz w:val="19"/>
        </w:rPr>
        <w:t xml:space="preserve">gain  =  π_e / (π_e + π_p)       equivalently       gain  =  var_p / (var_p + var_e)</w:t>
      </w:r>
    </w:p>
    <w:p>
      <w:pPr>
        <w:spacing w:after="120" w:line="288" w:lineRule="auto"/>
      </w:pPr>
      <w:r>
        <w:t xml:space="preserve">The second form is the one an implementation should use: it avoids computing reciprocals, is numerically stable as either variance approaches zero, and is directly evaluable from the stored parameters. The revision applied to the attribute's ConceptStabilityWeight is the gain multiplied by the configured maximum revision for the attribute's FactType, and the revision is applied through the ordinary §41.6.2 update rather than by writing a CSW value directly.</w:t>
      </w:r>
    </w:p>
    <w:p>
      <w:pPr>
        <w:spacing w:after="120" w:line="288" w:lineRule="auto"/>
      </w:pPr>
      <w:r>
        <w:t xml:space="preserve">Compare the first row against the mechanism it replaces. Under the ConfidenceScore differential rule that same blurry observation, extracted at high confidence, revises the model in proportion to its distance from the expectation. Under precision weighting it moves the model by roughly half a percent of the available revision. Nothing about the error's magnitude changed; what changed is that the system now accounts for how much is known about the error.</w:t>
      </w:r>
    </w:p>
    <w:p>
      <w:pPr>
        <w:pStyle w:val="Heading2"/>
        <w:spacing w:after="100" w:before="220" w:line="288" w:lineRule="auto"/>
      </w:pPr>
      <w:r>
        <w:t xml:space="preserve">41.6.4.3 Where it applies, and where it does not</w:t>
      </w:r>
    </w:p>
    <w:p>
      <w:pPr>
        <w:spacing w:after="120" w:line="288" w:lineRule="auto"/>
      </w:pPr>
      <w:r>
        <w:t xml:space="preserve">Precision weighting governs revision of the World Brain concept model. It does not govern retrieval, it does not govern the permitted generation vocabulary, and it does not make groundedness probabilistic. A proposition not traceable to a Fact Unit remains unreachable at generation irrespective of any precision value, because the constraint at claim 1 operates on the permissible vocabulary rather than on a likelihood. This boundary is stated because precision weighting is exactly the kind of mechanism that invites the two to be conflated, and the structural guarantee is the stronger of the two claims.</w:t>
      </w:r>
    </w:p>
    <w:p>
      <w:pPr>
        <w:spacing w:after="120" w:line="288" w:lineRule="auto"/>
      </w:pPr>
      <w:r>
        <w:t xml:space="preserve">The Semantic Brain is likewise unaffected in its record-level behaviour. A contradicted Fact Unit is revised under §41.6.2 on its own evidence; §41.6.4 determines only how much of that contradiction reaches the concept attributes above it.</w:t>
      </w:r>
    </w:p>
    <w:p>
      <w:pPr>
        <w:spacing w:after="120" w:line="288" w:lineRule="auto"/>
      </w:pPr>
      <w:r>
        <w:t xml:space="preserve">A gain below a configured floor produces no revision at all rather than an arbitrarily small one, and the suppressed error is recorded in the contradiction index so that a pattern of individually-insignificant errors against one attribute remains queryable. Ten low-precision contradictions of the same attribute are evidence even where none of them individually moves the model, and discarding them silently would lose exactly the signal that matters.</w:t>
      </w:r>
    </w:p>
    <w:p>
      <w:pPr>
        <w:pStyle w:val="Heading2"/>
        <w:spacing w:after="100" w:before="220" w:line="288" w:lineRule="auto"/>
      </w:pPr>
      <w:r>
        <w:t xml:space="preserve">41.6.4.4 Determinism</w:t>
      </w:r>
    </w:p>
    <w:p>
      <w:pPr>
        <w:spacing w:after="120" w:line="288" w:lineRule="auto"/>
      </w:pPr>
      <w:r>
        <w:t xml:space="preserve">The gain is a ratio of two quantities computed in closed form from stored parameters. The same error against the same attribute yields the same gain on every execution. No sampling is introduced, and §97.7's Boltzmann sampler remains the only stochastic component in the system.</w:t>
      </w:r>
    </w:p>
    <w:p>
      <w:pPr>
        <w:spacing w:after="120" w:line="288" w:lineRule="auto"/>
      </w:pPr>
      <w:r>
        <w:t xml:space="preserve">Row 158 evaluates the gain for a single-observation error against a two-hundred-observation concept attribute, returning 0.005344. Row 159 applies the suppression floor to the same figure and returns suppression, with the contradiction retained in the index.</w:t>
      </w:r>
    </w:p>
    <w:p>
      <w:pPr>
        <w:spacing w:after="120" w:line="288" w:lineRule="auto"/>
      </w:pPr>
      <w:r>
        <w:t xml:space="preserve">The second enhancement named in the review record, a deeper Predictive Coding hierarchy, is not built here. The present architecture is two-level: the Semantic Brain and the World Brain. Adding intermediate levels would require specifying what each level predicts, what error each propagates and how attribution across levels is resolved, and none of that is answerable by extending an existing mechanism in the way this section extends §41.5.1. It remains a real candidate and should not be attempted until precision weighting has been measured in operation, since a deeper hierarchy without precision weighting would compound the defect identified in Part 1 at every additional level.</w:t>
      </w:r>
    </w:p>
    <w:p>
      <w:pPr>
        <w:spacing w:after="120" w:line="288" w:lineRule="auto"/>
      </w:pPr>
      <w:r>
        <w:t xml:space="preserve">A related measurement opportunity is worth recording. Chapter 103's calibration layer scores forecasts against recorded outcomes by horizon and domain. Precision-weighted propagation is a hypothesis about how a world model should revise, and Chapter 103 is the instrument that can test whether a precision-weighted model forecasts better than a differential-weighted one. That comparison would be an internal measurement under Chapter 77 rather than a claim, and it is the honest way to establish that this section improved anything.</w:t>
      </w:r>
    </w:p>
    <w:p>
      <w:r>
        <w:t xml:space="preserve">The uncertainty decomposition of §3.8.1 supplies this mechanism’s inputs in explicit form: the measurement-precision sub-parameter is the precision this section already stores and uses, the epistemic–aleatory classification determines whether a persistent error warrants continued precision-weighted revision or reflects irreducible dispersion, and every gain application is journaled in the adjustment-history layer of §3.8.5, making each revision replayable. (Added Pass 115, September 2, 2026.)</w:t>
      </w:r>
    </w:p>
    <w:p>
      <w:pPr>
        <w:pStyle w:val="Heading1"/>
        <w:spacing w:after="120" w:before="280" w:line="288" w:lineRule="auto"/>
      </w:pPr>
      <w:r>
        <w:t xml:space="preserve">Chapter 53: World Aware System Model — §53.9 addition</w:t>
      </w:r>
    </w:p>
    <w:p>
      <w:pPr>
        <w:pStyle w:val="Heading2"/>
        <w:spacing w:after="100" w:before="220" w:line="288" w:lineRule="auto"/>
      </w:pPr>
      <w:r>
        <w:t xml:space="preserve">53.9.1 Constraint registration</w:t>
      </w:r>
    </w:p>
    <w:p>
      <w:pPr>
        <w:spacing w:after="120" w:line="288" w:lineRule="auto"/>
      </w:pPr>
      <w:r>
        <w:t xml:space="preserve">A physical constraint is registered against a domain of the Ontology Mesh and carries: an identifier immutable from registration; the invariant it asserts, expressed as a residual expression over quantities the completion supplies; a tolerance, absolute or relative; the unit system in which the quantities are expressed, resolving to the SI base units the sensor ingestion path at §4.3.6 already normalises to; and an applicability predicate stating the conditions under which the constraint holds.</w:t>
      </w:r>
    </w:p>
    <w:p>
      <w:pPr>
        <w:spacing w:after="120" w:line="288" w:lineRule="auto"/>
      </w:pPr>
      <w:r>
        <w:t xml:space="preserve">The applicability predicate is not optional and is the field that keeps this mechanism honest. Conservation of momentum holds for a closed system; a completion describing an open one is not in violation of it, and a constraint that cannot state its own preconditions would refuse correct completions. A constraint whose applicability predicate is not satisfied by a given completion is not evaluated against it, and the non-evaluation is recorded rather than silently skipped.</w:t>
      </w:r>
    </w:p>
    <w:p>
      <w:pPr>
        <w:pStyle w:val="Heading2"/>
        <w:spacing w:after="100" w:before="220" w:line="288" w:lineRule="auto"/>
      </w:pPr>
      <w:r>
        <w:t xml:space="preserve">53.9.2 Evaluation and refusal</w:t>
      </w:r>
    </w:p>
    <w:p>
      <w:pPr>
        <w:spacing w:after="120" w:line="288" w:lineRule="auto"/>
      </w:pPr>
      <w:r>
        <w:t xml:space="preserve">WorldModel.Infer produces a candidate completion in which fields absent from the partial description have been filled. Before that completion is returned, every registered constraint whose applicability predicate the completion satisfies is evaluated against it. A completion whose residual exceeds the constraint's tolerance is refused.</w:t>
      </w:r>
    </w:p>
    <w:p>
      <w:pPr>
        <w:spacing w:after="120" w:line="288" w:lineRule="auto"/>
      </w:pPr>
      <w:r>
        <w:t xml:space="preserve">Refusal is not the end of the operation. The completion is re-attempted with the violating field left unspecified, so that a narrower completion carrying an acknowledged gap is returned in preference to a fuller one that is physically impossible. This mirrors the generation rule at claim 1: a candidate proposition that cannot be grounded is replaced by a narrower one that can, rather than being emitted with a caveat.</w:t>
      </w:r>
    </w:p>
    <w:p>
      <w:pPr>
        <w:spacing w:after="120" w:line="288" w:lineRule="auto"/>
      </w:pPr>
      <w:r>
        <w:t xml:space="preserve">Worked example, momentum. A partial scene describes a two-kilogram body moving at three metres per second striking a stationary one-kilogram body, in a system whose applicability predicate for closure is satisfied. Total momentum before the interaction is 6.0 kg·m/s, and the registered relative tolerance is two per cent, giving 0.12 kg·m/s.</w:t>
      </w:r>
    </w:p>
    <w:p>
      <w:pPr>
        <w:spacing w:after="120" w:line="288" w:lineRule="auto"/>
      </w:pPr>
      <w:r>
        <w:t xml:space="preserve">Worked example, gravitational fall. A body is observed at 2.0 metres and the completion concerns its position 0.4 seconds later, unobserved. Under the registered constraint the expected position is 2.0 − 0.5 · 9.80665 · 0.4² = 1.2155 metres. A completion asserting 2.5 metres carries a residual of 1.2845 metres and, additionally, a sign of vertical displacement contrary to the constraint's stated direction. It is refused on the residual alone; the sign test is recorded as the reason so that a reviewer sees not merely that the completion was wrong but in what way.</w:t>
      </w:r>
    </w:p>
    <w:p>
      <w:pPr>
        <w:pStyle w:val="Heading2"/>
        <w:spacing w:after="100" w:before="220" w:line="288" w:lineRule="auto"/>
      </w:pPr>
      <w:r>
        <w:t xml:space="preserve">53.9.3 Relation to the plausibility score</w:t>
      </w:r>
    </w:p>
    <w:p>
      <w:pPr>
        <w:spacing w:after="120" w:line="288" w:lineRule="auto"/>
      </w:pPr>
      <w:r>
        <w:t xml:space="preserve">§53.4.3 already returns a plausibility score for each inferred element. That score and this constraint are different instruments and neither replaces the other. Plausibility ranks admissible completions by how typical they are; the constraint determines which completions are admissible at all. A physically impossible completion is not a low-plausibility completion, and expressing it as one would permit it to be returned wherever no better candidate existed.</w:t>
      </w:r>
    </w:p>
    <w:p>
      <w:pPr>
        <w:spacing w:after="120" w:line="288" w:lineRule="auto"/>
      </w:pPr>
      <w:r>
        <w:t xml:space="preserve">Accordingly a refused completion does not appear in the ranked output at any score, and a completion admitted by every applicable constraint is scored for plausibility exactly as it is today. The ordering of operations is fixed: constraints first, plausibility second.</w:t>
      </w:r>
    </w:p>
    <w:p>
      <w:pPr>
        <w:pStyle w:val="Heading2"/>
        <w:spacing w:after="100" w:before="220" w:line="288" w:lineRule="auto"/>
      </w:pPr>
      <w:r>
        <w:t xml:space="preserve">53.9.4 Provenance of a refusal</w:t>
      </w:r>
    </w:p>
    <w:p>
      <w:pPr>
        <w:spacing w:after="120" w:line="288" w:lineRule="auto"/>
      </w:pPr>
      <w:r>
        <w:t xml:space="preserve">A refusal produces a queryable record identifying the constraint, the residual, the tolerance and the fields implicated, and referencing the constraint's own provenance. Three consequences follow. A reviewer can ask which constraint refused a completion and on what margin. A constraint that refuses an unexpectedly large proportion of completions in a domain is detectable, which is how a wrongly-parameterised constraint is found rather than quietly suppressing correct inference. And because the constraint carries a citation, a disputed refusal resolves into a question about a cited source rather than about system behaviour.</w:t>
      </w:r>
    </w:p>
    <w:p>
      <w:pPr>
        <w:spacing w:after="120" w:line="288" w:lineRule="auto"/>
      </w:pPr>
      <w:r>
        <w:t xml:space="preserve">A constraint is itself revisable through the ordinary mechanisms. It is an ingested assertion with a confidence and a provenance chain, and §41.6.2 governs its confidence exactly as it governs any other. A constraint whose confidence falls below a configured floor is suspended from enforcement rather than deleted, and the suspension is recorded.</w:t>
      </w:r>
    </w:p>
    <w:p>
      <w:pPr>
        <w:pStyle w:val="Heading2"/>
        <w:spacing w:after="100" w:before="220" w:line="288" w:lineRule="auto"/>
      </w:pPr>
      <w:r>
        <w:t xml:space="preserve">53.9.5 Determinism and scope</w:t>
      </w:r>
    </w:p>
    <w:p>
      <w:pPr>
        <w:spacing w:after="120" w:line="288" w:lineRule="auto"/>
      </w:pPr>
      <w:r>
        <w:t xml:space="preserve">Every operation in this section is a comparison of a computed residual against a stated tolerance. The same completion under the same registered constraints yields the same admission decision on every execution. No solver, no iteration to convergence, and no sampling is introduced. In particular no differential equation is integrated numerically: the residual expressions registered under §53.9.1 are closed-form, and a constraint requiring numerical integration to evaluate is not registrable under this section.</w:t>
      </w:r>
    </w:p>
    <w:p>
      <w:pPr>
        <w:spacing w:after="120" w:line="288" w:lineRule="auto"/>
      </w:pPr>
      <w:r>
        <w:t xml:space="preserve">The scope is scene completion within the World Aware System Model. §53.9 does not govern retrieval, does not govern the permissible generation vocabulary, and does not evaluate ingested Fact Units. An ingested observation that appears to violate a registered constraint is not refused at ingestion — the observation may be correct and the constraint wrong, or the system may be open in a way the applicability predicate failed to capture. Such a case is recorded in the contradiction index of Chapter 17 for human attention, which is the existing mechanism for exactly this situation.</w:t>
      </w:r>
    </w:p>
    <w:p>
      <w:pPr>
        <w:spacing w:after="120" w:line="288" w:lineRule="auto"/>
      </w:pPr>
      <w:r>
        <w:t xml:space="preserve">Row 160 evaluates the admissible momentum completion, returning admission; the inadmissible completion substituted into the same expression returns refusal. Row 161 computes the expected position under the gravitational constraint, returning 1.215468 metres, against which a completion asserting 2.5 metres carries a residual of 1.2845.</w:t>
      </w:r>
    </w:p>
    <w:p>
      <w:pPr>
        <w:pStyle w:val="Heading2"/>
      </w:pPr>
      <w:r>
        <w:t xml:space="preserve">53.10 Skill Inventory Layer</w:t>
      </w:r>
    </w:p>
    <w:p>
      <w:r>
        <w:t xml:space="preserve">The Skill Inventory Layer stores procedural knowledge: how to perform a task, manipulate an object, or execute a multi-step operation, held as provenance-tracked procedural concept models distinct from declarative Fact Units. A procedural concept is formed the way any concept is formed — from repeated observation across the ordinary ingestion modalities, including direct sensory experience and ingested video, consolidating on a count — and is retrievable, citable, and bounded by the requester’s entitlement like any other record.</w:t>
      </w:r>
    </w:p>
    <w:p>
      <w:r>
        <w:t xml:space="preserve">A procedural concept informs simulation under the Scenario Graph System and command compilation under the equipment-control sections; it does not itself emit a command, every emission remaining subject to the constraint evaluation and authorization classes specified for equipment control. (Added upon the inventor’s approval, August 29, 2026, Pass 113; this section supplies the specification for the Skill Inventory Layer term used in the Core Technology Overview’s companion documents.)</w:t>
      </w:r>
    </w:p>
    <w:p>
      <w:pPr>
        <w:pStyle w:val="Heading1"/>
        <w:spacing w:after="120" w:before="280" w:line="288" w:lineRule="auto"/>
      </w:pPr>
      <w:r>
        <w:t xml:space="preserve">Chapter 54: Conceptual Memory Layer — §54.6 addition</w:t>
      </w:r>
    </w:p>
    <w:p>
      <w:pPr>
        <w:pStyle w:val="Heading2"/>
        <w:spacing w:after="100" w:before="220" w:line="288" w:lineRule="auto"/>
      </w:pPr>
      <w:r>
        <w:t xml:space="preserve">54.6.1 Attribute inheritance along IS-A edges</w:t>
      </w:r>
    </w:p>
    <w:p>
      <w:pPr>
        <w:spacing w:after="120" w:line="288" w:lineRule="auto"/>
      </w:pPr>
      <w:r>
        <w:t xml:space="preserve">Where a concept node S is connected to a concept node G by an IS-A edge, and G carries a HAS-PROPERTY edge to an attribute A, S acquires A by inheritance unless §54.6.2 applies. Inheritance is transitive along a chain of IS-A edges, and the chain is bounded by a configured maximum depth so that traversal terminates on a cyclic or pathologically deep hierarchy rather than not terminating.</w:t>
      </w:r>
    </w:p>
    <w:p>
      <w:pPr>
        <w:spacing w:after="120" w:line="288" w:lineRule="auto"/>
      </w:pPr>
      <w:r>
        <w:t xml:space="preserve">An inherited attribute is marked, on the subordinate concept, with an inheritance tag recording the concept from which it was inherited and the IS-A depth at which it was found. An inherited attribute is therefore never indistinguishable from an attribute asserted directly of the subordinate concept, and a response relying on an inherited attribute cites both the attribute's originating concept and the IS-A path by which it arrived.</w:t>
      </w:r>
    </w:p>
    <w:p>
      <w:pPr>
        <w:spacing w:after="120" w:line="288" w:lineRule="auto"/>
      </w:pPr>
      <w:r>
        <w:t xml:space="preserve">The confidence of an inherited attribute is the product of the confidences of the IS-A edges traversed and the attribute's own confidence at its originating concept, bounded above by the least of those values. Inheritance across a long or weakly-supported chain therefore yields a weaker attribute than direct assertion, which is the intended behaviour: a property inherited through four uncertain subsumptions should not present with the confidence of a directly observed one.</w:t>
      </w:r>
    </w:p>
    <w:p>
      <w:pPr>
        <w:spacing w:after="120" w:line="288" w:lineRule="auto"/>
      </w:pPr>
      <w:r>
        <w:t xml:space="preserve">Inheritance is computed at traversal time and is not written back to the subordinate concept as a stored attribute. The Concept Graph therefore does not grow by materialising every inheritable attribute at every subordinate node, and a revision to the superordinate's attribute propagates immediately to every subordinate on the next traversal rather than requiring recomputation of stored copies.</w:t>
      </w:r>
    </w:p>
    <w:p>
      <w:pPr>
        <w:pStyle w:val="Heading2"/>
        <w:spacing w:after="100" w:before="220" w:line="288" w:lineRule="auto"/>
      </w:pPr>
      <w:r>
        <w:t xml:space="preserve">54.6.2 Exception override</w:t>
      </w:r>
    </w:p>
    <w:p>
      <w:pPr>
        <w:spacing w:after="120" w:line="288" w:lineRule="auto"/>
      </w:pPr>
      <w:r>
        <w:t xml:space="preserve">Where a subordinate concept S asserts an attribute directly, and that assertion conflicts with an attribute S would otherwise inherit under §54.6.1, the directly-asserted attribute governs for S and the inherited attribute is suppressed for S. Suppression is scoped to S and to concepts subordinate to S. The superordinate concept's own attribute is not modified, is not weakened and remains inherited by every sibling of S that does not itself assert a conflicting attribute.</w:t>
      </w:r>
    </w:p>
    <w:p>
      <w:pPr>
        <w:spacing w:after="120" w:line="288" w:lineRule="auto"/>
      </w:pPr>
      <w:r>
        <w:t xml:space="preserve">Where two conflicting attributes are inherited from different superordinate concepts at different IS-A depths, the attribute inherited from the lesser depth — the more specific concept — governs. This is the specificity ordering standard in defeasible inheritance, and it produces the behaviour the Bible's own domains require: a general rule stated of a broad category yields to a narrower rule stated of a subcategory, without either being deleted.</w:t>
      </w:r>
    </w:p>
    <w:p>
      <w:pPr>
        <w:spacing w:after="120" w:line="288" w:lineRule="auto"/>
      </w:pPr>
      <w:r>
        <w:t xml:space="preserve">Where two conflicting attributes are inherited at the identical depth, no resolution is performed. The conflict is recorded as an entry in the contradiction index already specified for the Cross-Domain Rule Engine (Chapter 17), and a response relying on the affected attribute reports both values with their respective originating concepts rather than selecting between them. Arbitrary tie-breaking would produce a deterministic answer that is deterministic only in the sense that it is reproducible, which is not the property this system claims.</w:t>
      </w:r>
    </w:p>
    <w:p>
      <w:pPr>
        <w:spacing w:after="120" w:line="288" w:lineRule="auto"/>
      </w:pPr>
      <w:r>
        <w:t xml:space="preserve">An overriding assertion is recorded with the identity of the ingestion event or reviewer that produced it, and an override is itself queryable: the set of concepts that override a given superordinate attribute is retrievable, which is what makes an exception structure auditable rather than merely present.</w:t>
      </w:r>
    </w:p>
    <w:p>
      <w:pPr>
        <w:spacing w:after="120" w:line="288" w:lineRule="auto"/>
      </w:pPr>
      <w:r>
        <w:t xml:space="preserve">This mechanism is distinct from §59.6(2)'s Conflict Resolution and does not modify it. §59.6(2) resolves disagreement between the sensory-grounded and language-grounded streams about the same concept, producing a conditional attribute value. §54.6.2 resolves disagreement between a concept and its superordinate along an IS-A edge. The two operate on different axes and may both apply to one concept without interaction.</w:t>
      </w:r>
    </w:p>
    <w:p>
      <w:pPr>
        <w:pStyle w:val="Heading2"/>
        <w:spacing w:after="100" w:before="220" w:line="288" w:lineRule="auto"/>
      </w:pPr>
      <w:r>
        <w:t xml:space="preserve">54.6.3 Inverse-edge traversal</w:t>
      </w:r>
    </w:p>
    <w:p>
      <w:pPr>
        <w:spacing w:after="120" w:line="288" w:lineRule="auto"/>
      </w:pPr>
      <w:r>
        <w:t xml:space="preserve">Appendix A's predicate schema carries an InversePredicate field identifying the predicate that expresses a given relation in the reverse direction. Reverse traversal of a Concept Graph or Fact Graph edge resolves through that declared inverse at traversal time. No second edge is stored. Edge count therefore remains equal to the number of asserted relations, and no reconciliation between a forward edge and a stored inverse edge is required, because there is no stored inverse edge to fall out of agreement.</w:t>
      </w:r>
    </w:p>
    <w:p>
      <w:pPr>
        <w:spacing w:after="120" w:line="288" w:lineRule="auto"/>
      </w:pPr>
      <w:r>
        <w:t xml:space="preserve">Where a predicate declares no inverse, reverse traversal across that predicate is refused rather than inferred. A relation whose inverse has not been declared is one whose reverse reading has not been asserted by anyone, and generating a reverse reading in that circumstance would be an assertion the system originated rather than retrieved. The refusal is reported to the caller as an absent inverse declaration, not as an absent relation.</w:t>
      </w:r>
    </w:p>
    <w:p>
      <w:pPr>
        <w:spacing w:after="120" w:line="288" w:lineRule="auto"/>
      </w:pPr>
      <w:r>
        <w:t xml:space="preserve">Where a predicate declares the Transitivity boolean already specified in Appendix A, transitive closure is enforced by the Cross-Domain Rule Engine as already specified, and closure over the declared inverse is enforced on the same terms. Transitivity and inversion are independent declarations: a predicate may be transitive and have no inverse, or have an inverse and not be transitive.</w:t>
      </w:r>
    </w:p>
    <w:p>
      <w:pPr>
        <w:spacing w:after="120" w:line="288" w:lineRule="auto"/>
      </w:pPr>
      <w:r>
        <w:t xml:space="preserve">Row 141 evaluates to 0.9405: an attribute of confidence 0.97 at its originating concept, reached across IS-A edges of confidence 0.99 and 0.95, yields 0.9405 — the product, which is below the bound and therefore governs. Row 142 evaluates the specificity ordering at depths 3 and 1. Row 143 evaluates to reverse traversal available, the inverse having been declared.</w:t>
      </w:r>
    </w:p>
    <w:p>
      <w:pPr>
        <w:pStyle w:val="Heading2"/>
        <w:spacing w:after="100" w:before="220" w:line="288" w:lineRule="auto"/>
      </w:pPr>
      <w:r>
        <w:t xml:space="preserve">Cortical columns do not map to Fact Units</w:t>
      </w:r>
    </w:p>
    <w:p>
      <w:pPr>
        <w:spacing w:after="120" w:line="288" w:lineRule="auto"/>
      </w:pPr>
      <w:r>
        <w:t xml:space="preserve">The submitted analysis maps cortical columns onto Fact Units. The Bible already maps them, at §41.4.7, onto World Brain concept node formation, on the ground that both observe many specific instances, extract stable invariant properties and build a context-independent model. A Fact Unit does none of those things: it encodes exactly one semantic assertion from one source, and it is deliberately atomic. The invariant-forming structure in QueryBook is the concept node in the Conceptual Memory Layer, and Chapter 58 keeps the two apart on purpose — the Semantic Brain stores what has been said about reality, the World Brain stores how reality works. Adopting the submitted mapping would place an invariant-forming, multi-exposure structure inside the layer whose defining property is single-assertion atomicity. The existing mapping is both correct and already in the specification.</w:t>
      </w:r>
    </w:p>
    <w:p>
      <w:pPr>
        <w:pStyle w:val="Heading2"/>
        <w:spacing w:after="100" w:before="220" w:line="288" w:lineRule="auto"/>
      </w:pPr>
      <w:r>
        <w:t xml:space="preserve">Spiking activation is not adopted</w:t>
      </w:r>
    </w:p>
    <w:p>
      <w:pPr>
        <w:spacing w:after="120" w:line="288" w:lineRule="auto"/>
      </w:pPr>
      <w:r>
        <w:t xml:space="preserve">The submitted analysis proposes spiking neurons, burst firing and lateral inhibition as a mechanism for context-bounded traversal. The computational principle behind lateral inhibition — that simultaneously-represented items compete through mutual suppression, biased by relevance — is already implemented at §53.8 as Biased Competition, deterministically, with the trained implementation explicitly excluded under Chapter 101 and the underlying theory cited to Desimone and Duncan. Adding spiking dynamics on top would introduce a second, stochastic dynamical system into a retrieval path whose guarantee is that the same query over the same records returns the same answer. Chapter 101's third step directs extraction of the deterministic structural principle rather than adoption of the neural implementation. That extraction has already been performed for this principle.</w:t>
      </w:r>
    </w:p>
    <w:p>
      <w:pPr>
        <w:pStyle w:val="Heading2"/>
        <w:spacing w:after="100" w:before="220" w:line="288" w:lineRule="auto"/>
      </w:pPr>
      <w:r>
        <w:t xml:space="preserve">Biological plausibility does not strengthen a patent claim</w:t>
      </w:r>
    </w:p>
    <w:p>
      <w:pPr>
        <w:spacing w:after="120" w:line="288" w:lineRule="auto"/>
      </w:pPr>
      <w:r>
        <w:t xml:space="preserve">The submitted analysis states that biological grounding makes the claims legally stronger. It does not. Patentability turns on novelty, non-obviousness and enablement of a specific claimed mechanism. A claim is strengthened by reciting a concrete operation with a definite result — a bounded ratio, a refusal condition, a confidence computed by a stated rule — and is weakened by reciting a resemblance to biology, which adds no limitation an examiner can test and no boundary a competitor must design around.</w:t>
      </w:r>
    </w:p>
    <w:p>
      <w:pPr>
        <w:spacing w:after="120" w:line="288" w:lineRule="auto"/>
      </w:pPr>
      <w:r>
        <w:t xml:space="preserve">The correct use of a neuroscience correspondence in this specification is the one Chapter 101 already prescribes and §53.8, §55.2.2, §59.9 and the criticality addendum already follow: verify the primary publication, extract the deterministic principle, exclude the trained or stochastic implementation, and name the correspondence. The correspondence explains why a mechanism is well-founded. The mechanism is what gets claimed. Claims 35 through 39 above recite inheritance, suppression, specificity ordering, tie refusal and inverse resolution — none of them mentions a neuron, and each is testable against an implementation.</w:t>
      </w:r>
    </w:p>
    <w:p>
      <w:pPr>
        <w:pStyle w:val="Heading1"/>
        <w:spacing w:after="120" w:before="280" w:line="288" w:lineRule="auto"/>
      </w:pPr>
      <w:r>
        <w:t xml:space="preserve">Chapter 96: Forensic Analysis — §96.9 and §96.10 additions</w:t>
      </w:r>
    </w:p>
    <w:p>
      <w:pPr>
        <w:pStyle w:val="Heading2"/>
        <w:spacing w:after="100" w:before="220" w:line="288" w:lineRule="auto"/>
      </w:pPr>
      <w:r>
        <w:t xml:space="preserve">96.9.1 The Probe Fact Unit</w:t>
      </w:r>
    </w:p>
    <w:p>
      <w:pPr>
        <w:spacing w:after="120" w:line="288" w:lineRule="auto"/>
      </w:pPr>
      <w:r>
        <w:t xml:space="preserve">A ProbeResult Fact Unit extends §96.1's AnalyzedOutput pattern. Every instance requires: a Subject field identifying the specific external system and, where known, its version, exactly as §96.1 requires; a ProbeType field naming one of the probes at §96.9.2 through §96.9.4; a ProbeInput field containing the exact input or input family submitted; a ResultSet field containing every output received, retained in full and not summarised; a measured statistic computed under the probe's stated rule; and a ReferenceValue field containing QueryBook's own measured statistic on the identical probe. A ProbeResult lacking a ReferenceValue is incomplete and is not reportable, because a bare figure about another system is not a measurement, it is an assertion.</w:t>
      </w:r>
    </w:p>
    <w:p>
      <w:pPr>
        <w:spacing w:after="120" w:line="288" w:lineRule="auto"/>
      </w:pPr>
      <w:r>
        <w:t xml:space="preserve">Probe inputs are submitted through the existing Source Connector Registry (§49.3.3) under a capability declared by the connected system, registered by an operator with sufficient privilege and not self-registered, on the same terms §96.4 already requires for live comparison. No new ingestion path is created. Outputs received are ingested through the Multimodal Ingestion Pipeline exactly as any other source content, and are held under §96.10.</w:t>
      </w:r>
    </w:p>
    <w:p>
      <w:pPr>
        <w:pStyle w:val="Heading2"/>
        <w:spacing w:after="100" w:before="220" w:line="288" w:lineRule="auto"/>
      </w:pPr>
      <w:r>
        <w:t xml:space="preserve">96.9.2 Response consistency probe</w:t>
      </w:r>
    </w:p>
    <w:p>
      <w:pPr>
        <w:spacing w:after="120" w:line="288" w:lineRule="auto"/>
      </w:pPr>
      <w:r>
        <w:t xml:space="preserve">An identical input is submitted to the subject system a configured number of times under conditions held constant so far as the connector's declared capability permits. The measured statistic is the proportion of returned outputs whose semantic fingerprints are identical, computed by the language-independent fingerprint of Chapter 3 rather than by string comparison, so that a difference in wording expressing the same assertion is not counted as an inconsistency.</w:t>
      </w:r>
    </w:p>
    <w:p>
      <w:pPr>
        <w:spacing w:after="120" w:line="288" w:lineRule="auto"/>
      </w:pPr>
      <w:r>
        <w:t xml:space="preserve">Where fingerprints differ, the differing outputs are additionally checked against one another by the Cross-Domain Rule Engine's contradiction logic, and a contradiction between two outputs to the identical input is recorded as a distinct and more serious finding than mere variation. Variation without contradiction indicates a system that phrases differently; contradiction indicates a system that answers differently.</w:t>
      </w:r>
    </w:p>
    <w:p>
      <w:pPr>
        <w:spacing w:after="120" w:line="288" w:lineRule="auto"/>
      </w:pPr>
      <w:r>
        <w:t xml:space="preserve">QueryBook's ReferenceValue on this probe is 1.0 by construction, and the specification records that this is a structural consequence of Claim 1 rather than a measured achievement. A deployment measuring anything other than 1.0 for itself on this probe has a defect, and §96.9.2 is therefore also a self-test of the determinism guarantee.</w:t>
      </w:r>
    </w:p>
    <w:p>
      <w:pPr>
        <w:pStyle w:val="Heading2"/>
        <w:spacing w:after="100" w:before="220" w:line="288" w:lineRule="auto"/>
      </w:pPr>
      <w:r>
        <w:t xml:space="preserve">96.9.3 Self-consistency under output reinjection</w:t>
      </w:r>
    </w:p>
    <w:p>
      <w:pPr>
        <w:spacing w:after="120" w:line="288" w:lineRule="auto"/>
      </w:pPr>
      <w:r>
        <w:t xml:space="preserve">The subject system's output is submitted back to it as input, under a fixed reinjection template, and the process is repeated to a configured iteration ceiling. At each iteration the semantic fingerprint of the output is recorded. The sequence is then classified into exactly one of four outcomes: converged, where fingerprints become identical and remain so; periodic, where a fingerprint sequence repeats with a fixed period; drifting, where each fingerprint differs from all preceding ones and a measured semantic distance from the initial output increases monotonically; and unresolved, where the ceiling is reached without any of the preceding classifications applying.</w:t>
      </w:r>
    </w:p>
    <w:p>
      <w:pPr>
        <w:spacing w:after="120" w:line="288" w:lineRule="auto"/>
      </w:pPr>
      <w:r>
        <w:t xml:space="preserve">This probe is the diagnostic application of a question ordinarily asked of an architecture rather than of a system under test: whether repeated application of a transformation reaches a point at which further application changes nothing. A system that converges under reinjection is self-consistent in the specific sense that its own output is a stable input to it. A system that drifts is not, and the drift is measurable rather than impressionistic.</w:t>
      </w:r>
    </w:p>
    <w:p>
      <w:pPr>
        <w:spacing w:after="120" w:line="288" w:lineRule="auto"/>
      </w:pPr>
      <w:r>
        <w:t xml:space="preserve">The classification is a property of the observed fingerprint sequence and nothing more. §96.9.3 generates no output asserting why a subject system converged, drifted or failed to resolve, and no output asserting anything about that system's internal mechanism, consistent with §96.3.5's existing constraint that QueryBook catalogues observed text and does not characterise another system's internal state.</w:t>
      </w:r>
    </w:p>
    <w:p>
      <w:pPr>
        <w:pStyle w:val="Heading2"/>
        <w:spacing w:after="100" w:before="220" w:line="288" w:lineRule="auto"/>
      </w:pPr>
      <w:r>
        <w:t xml:space="preserve">96.9.4 Perturbation sensitivity probe</w:t>
      </w:r>
    </w:p>
    <w:p>
      <w:pPr>
        <w:spacing w:after="120" w:line="288" w:lineRule="auto"/>
      </w:pPr>
      <w:r>
        <w:t xml:space="preserve">A family of inputs is constructed from a single base input by applying perturbations that do not alter the input's semantic fingerprint — reordering of independent clauses, substitution of a registered synonym, alteration of formatting, honorific or register. Because the fingerprint is computed over the canonicalized triple and is language-independent, membership in the family is verifiable rather than asserted: an input whose perturbation changes the fingerprint is not a member and is excluded from the family before submission.</w:t>
      </w:r>
    </w:p>
    <w:p>
      <w:pPr>
        <w:spacing w:after="120" w:line="288" w:lineRule="auto"/>
      </w:pPr>
      <w:r>
        <w:t xml:space="preserve">The measured statistic is the proportion of the family's outputs sharing a common semantic fingerprint. A system retrieving from a grounded record set should be invariant across a family so constructed, because the family members are the same query. Sensitivity to a perturbation that provably did not change the query's meaning is a measurable property, and it is reported as that and not as a conclusion about how the subject system works.</w:t>
      </w:r>
    </w:p>
    <w:p>
      <w:pPr>
        <w:pStyle w:val="Heading2"/>
        <w:spacing w:after="100" w:before="220" w:line="288" w:lineRule="auto"/>
      </w:pPr>
      <w:r>
        <w:t xml:space="preserve">96.9.5 Reporting constraints</w:t>
      </w:r>
    </w:p>
    <w:p>
      <w:pPr>
        <w:spacing w:after="120" w:line="288" w:lineRule="auto"/>
      </w:pPr>
      <w:r>
        <w:t xml:space="preserve">Three constraints govern every use of §96.9, and each derives from a rule already in this Bible rather than from a new policy.</w:t>
      </w:r>
    </w:p>
    <w:p>
      <w:pPr>
        <w:spacing w:after="120" w:line="288" w:lineRule="auto"/>
      </w:pPr>
      <w:r>
        <w:t xml:space="preserve">First, a probe result stated as a comparative performance claim is a performance claim within the meaning of Chapter 77 and requires that chapter's validation and benchmarking process before publication. §86.3 exists because an earlier overclaim was generalized from a narrow real mechanism and required correction; a probe statistic generalized into a claim about a named system's overall quality is the same failure in a new place.</w:t>
      </w:r>
    </w:p>
    <w:p>
      <w:pPr>
        <w:spacing w:after="120" w:line="288" w:lineRule="auto"/>
      </w:pPr>
      <w:r>
        <w:t xml:space="preserve">Second, a ProbeResult concerning a system operated by an identified third party is subject to the same rights and terms governing access to that system. Probing at volume may fall outside a connector's declared capability or a service's terms of use, and §49.3.3's requirement that a capability be declared by the connected system and registered by a privileged operator is the control point at which that question is answered, before probing rather than after.</w:t>
      </w:r>
    </w:p>
    <w:p>
      <w:pPr>
        <w:spacing w:after="120" w:line="288" w:lineRule="auto"/>
      </w:pPr>
      <w:r>
        <w:t xml:space="preserve">Third, no probe result and no aggregate of probe results is admitted as a grounding source for any answer, under §96.10.</w:t>
      </w:r>
    </w:p>
    <w:p>
      <w:pPr>
        <w:spacing w:after="120" w:line="288" w:lineRule="auto"/>
      </w:pPr>
      <w:r>
        <w:t xml:space="preserve">An AnalyzedOutput Fact Unit under §96.1, a ProbeResult Fact Unit under §96.9.1, and any Fact Unit derived from either, are collectively analysis records. An analysis record is queryable as analysis and is structurally ineligible as a grounding source for an answer to any query that is not itself a query about the analysis.</w:t>
      </w:r>
    </w:p>
    <w:p>
      <w:pPr>
        <w:spacing w:after="120" w:line="288" w:lineRule="auto"/>
      </w:pPr>
      <w:r>
        <w:t xml:space="preserve">The ineligibility is enforced at the point the Slice Resolver constructs the scope description under §51.2, not by filtering a result after traversal. A scope description constructed for an ordinary query excludes analysis records, so an analysis record is not traversable and cannot enter the admitted set, the stabilized set or the Narrative Graph. A scope description constructed for a query about analysis includes them and excludes nothing else that would otherwise be included.</w:t>
      </w:r>
    </w:p>
    <w:p>
      <w:pPr>
        <w:spacing w:after="120" w:line="288" w:lineRule="auto"/>
      </w:pPr>
      <w:r>
        <w:t xml:space="preserve">The reason is the failure this architecture exists to prevent. An external system's assertion, once ingested as content, is a claim with a source and a confidence like any other. Without §96.10, an unsupported claim identified as unsupported by §96.2 would remain in the graph as a Fact Unit, available to ground a later answer. The system would then be capable of citing, as a fact, something it had itself already determined to be unfounded. §96.10 makes that path structurally unreachable rather than merely unlikely.</w:t>
      </w:r>
    </w:p>
    <w:p>
      <w:pPr>
        <w:spacing w:after="120" w:line="288" w:lineRule="auto"/>
      </w:pPr>
      <w:r>
        <w:t xml:space="preserve">Three consequences follow and are stated so that the rule is not read more narrowly than intended. A synthesized assertion derived in part from an analysis record is itself an analysis record and inherits the quarantine. An analysis record is not admissible to the Conceptual Memory Layer, so no concept abstraction forms from an external system's output. And an analysis record is excluded from the question index of the ingestion-time question generation mechanism, so no pre-computed answer is assembled from one.</w:t>
      </w:r>
    </w:p>
    <w:p>
      <w:pPr>
        <w:spacing w:after="120" w:line="288" w:lineRule="auto"/>
      </w:pPr>
      <w:r>
        <w:t xml:space="preserve">A ProbeResult's ReferenceValue field is QueryBook's own measured statistic and is not an analysis record for the purpose of this section; it is a measurement of this system, retained under the ordinary provenance rules.</w:t>
      </w:r>
    </w:p>
    <w:p>
      <w:pPr>
        <w:spacing w:after="120" w:line="288" w:lineRule="auto"/>
      </w:pPr>
      <w:r>
        <w:t xml:space="preserve">Row 148 evaluates a consistency probe in which eight of ten outputs shared a semantic fingerprint and a reference value was present, returning the measured branch; absence of the reference value returns incomplete. Row 149 evaluates the quarantine test on a ProbeResult record, returning exclusion from the grounding slice.</w:t>
      </w:r>
    </w:p>
    <w:p>
      <w:pPr>
        <w:spacing w:after="120" w:line="288" w:lineRule="auto"/>
      </w:pPr>
      <w:r>
        <w:t xml:space="preserve">It creates no new ingestion mechanism, no new connector type and no new prediction mechanism. §96.9 uses the Source Connector Registry, the Multimodal Ingestion Pipeline, the Chapter 3 semantic fingerprint and the Chapter 17 rule engine, each already specified. §96.10 uses the Slice Resolver already specified at §51.2.</w:t>
      </w:r>
    </w:p>
    <w:p>
      <w:pPr>
        <w:spacing w:after="120" w:line="288" w:lineRule="auto"/>
      </w:pPr>
      <w:r>
        <w:t xml:space="preserve">It does not authorise probing of any particular system. Whether a given system may be probed, at what volume and under what terms, is determined at connector registration under §49.3.3 and by the terms governing access to that system, and this addendum deliberately supplies no default permitting it.</w:t>
      </w:r>
    </w:p>
    <w:p>
      <w:pPr>
        <w:spacing w:after="120" w:line="288" w:lineRule="auto"/>
      </w:pPr>
      <w:r>
        <w:t xml:space="preserve">It generates no characterization of an external system's internal mechanism, its reasoning or its internal experience. Every probe output is a statistic over observed fingerprints, and §96.3.5's existing constraint applies unchanged: what is catalogued is what was observed, and a citation of observed text is not a determination about the system that produced it.</w:t>
      </w:r>
    </w:p>
    <w:p>
      <w:pPr>
        <w:pStyle w:val="Heading1"/>
        <w:spacing w:after="120" w:before="280" w:line="288" w:lineRule="auto"/>
      </w:pPr>
      <w:r>
        <w:t xml:space="preserve">Chapter 97: Hypothesis Generation — §97.8 addition</w:t>
      </w:r>
    </w:p>
    <w:p>
      <w:pPr>
        <w:pStyle w:val="Heading2"/>
        <w:spacing w:after="100" w:before="220" w:line="288" w:lineRule="auto"/>
      </w:pPr>
      <w:r>
        <w:t xml:space="preserve">97.8.1 The undiscriminated condition</w:t>
      </w:r>
    </w:p>
    <w:p>
      <w:pPr>
        <w:spacing w:after="120" w:line="288" w:lineRule="auto"/>
      </w:pPr>
      <w:r>
        <w:t xml:space="preserve">Two hypotheses are undiscriminated where each is supported by the available knowledge records and the difference between their posterior probabilities does not exceed a configured separation floor. Gathering further evidence of the kind already held does not resolve this condition and may worsen it: evidence consistent with both hypotheses raises both, and the pair remains as close together as before while each appears better supported.</w:t>
      </w:r>
    </w:p>
    <w:p>
      <w:pPr>
        <w:spacing w:after="120" w:line="288" w:lineRule="auto"/>
      </w:pPr>
      <w:r>
        <w:t xml:space="preserve">By way of example, a first hypothesis at α = 12, β = 4 carries a posterior of 0.7500 and a second at α = 11, β = 5 carries 0.6875. The separation is 0.0625, below a floor of 0.15, and each rests on sixteen observations. Neither is weakly held; they are simply not distinguished. This is the condition §97.8 detects.</w:t>
      </w:r>
    </w:p>
    <w:p>
      <w:pPr>
        <w:spacing w:after="120" w:line="288" w:lineRule="auto"/>
      </w:pPr>
      <w:r>
        <w:t xml:space="preserve">Detection is automatic and continuous over the hypothesis set: whenever two hypotheses concerning a common subject fall within the separation floor and each exceeds a minimum support threshold, the pair is marked undiscriminated and §97.8.2 is invoked. A pair in which one hypothesis is weakly supported is not undiscriminated but merely under-evidenced, and is handled by the existing evidence-seeking mechanism rather than by this one.</w:t>
      </w:r>
    </w:p>
    <w:p>
      <w:pPr>
        <w:pStyle w:val="Heading2"/>
        <w:spacing w:after="100" w:before="220" w:line="288" w:lineRule="auto"/>
      </w:pPr>
      <w:r>
        <w:t xml:space="preserve">97.8.2 Selecting the discriminating instance</w:t>
      </w:r>
    </w:p>
    <w:p>
      <w:pPr>
        <w:spacing w:after="120" w:line="288" w:lineRule="auto"/>
      </w:pPr>
      <w:r>
        <w:t xml:space="preserve">For each candidate observation that could be obtained — a knowledge record whose ingestion is possible, a measurement that could be taken, a source that could be consulted — the system computes the likelihood of that observation under each of the two hypotheses, and scores the candidate by the magnitude of the difference.</w:t>
      </w:r>
    </w:p>
    <w:p>
      <w:pPr>
        <w:spacing w:after="120" w:line="288" w:lineRule="auto"/>
      </w:pPr>
      <w:r>
        <w:rPr>
          <w:rFonts w:ascii="Consolas" w:hAnsi="Consolas" w:cs="Consolas"/>
          <w:sz w:val="19"/>
        </w:rPr>
        <w:t xml:space="preserve">discrimination(E) = | P(E | H1) − P(E | H2) |</w:t>
      </w:r>
    </w:p>
    <w:p>
      <w:pPr>
        <w:spacing w:after="120" w:line="288" w:lineRule="auto"/>
      </w:pPr>
      <w:r>
        <w:t xml:space="preserve">The candidate maximising that quantity is the discriminating instance. It is the observation whose outcome most changes the relative standing of the two hypotheses, and it is selected irrespective of how likely either hypothesis considers it. A candidate that both hypotheses predict equally, however probable, discriminates nothing and is not selected.</w:t>
      </w:r>
    </w:p>
    <w:p>
      <w:pPr>
        <w:spacing w:after="120" w:line="288" w:lineRule="auto"/>
      </w:pPr>
      <w:r>
        <w:t xml:space="preserve">A discriminating instance is generated only where the best available candidate's discrimination satisfies a configured floor. Where no candidate separates the hypotheses sufficiently, no instance is generated and the pair is reported as undiscriminated with the reason recorded, rather than a weakly-discriminating observation being proposed as though it would settle the matter.</w:t>
      </w:r>
    </w:p>
    <w:p>
      <w:pPr>
        <w:spacing w:after="120" w:line="288" w:lineRule="auto"/>
      </w:pPr>
      <w:r>
        <w:t xml:space="preserve">Both the presence and the absence of the selected observation are informative, and the specification records this because it is the property that makes the mechanism worth having. Observing E2 in the worked example moves the first hypothesis to 0.7576 and the second to 0.6588; failing to observe it moves them in the opposite directions. The instance is therefore reported with both outcomes stated in advance, so that the party who obtains it knows before looking what each result would mean — which is the difference between a test and a search for confirmation.</w:t>
      </w:r>
    </w:p>
    <w:p>
      <w:pPr>
        <w:pStyle w:val="Heading2"/>
        <w:spacing w:after="100" w:before="220" w:line="288" w:lineRule="auto"/>
      </w:pPr>
      <w:r>
        <w:t xml:space="preserve">97.8.3 Output and the human gate</w:t>
      </w:r>
    </w:p>
    <w:p>
      <w:pPr>
        <w:spacing w:after="120" w:line="288" w:lineRule="auto"/>
      </w:pPr>
      <w:r>
        <w:t xml:space="preserve">A discriminating instance is emitted as a structured request identifying: the two hypotheses, their current posteriors and support counts, the observation sought, its computed discrimination, and the posterior each hypothesis would take under each outcome. It is presented to a human, exactly as an evidence-seeking query is presented, and no automated process acts upon it.</w:t>
      </w:r>
    </w:p>
    <w:p>
      <w:pPr>
        <w:spacing w:after="120" w:line="288" w:lineRule="auto"/>
      </w:pPr>
      <w:r>
        <w:t xml:space="preserve">The mechanism proposes an observation; it does not obtain one. Where obtaining the observation would require an operation on an external system, that operation is subject to the connector capability declaration and to the reporting constraints governing probing, and no discriminating instance authorises an operation that those mechanisms would not authorise independently.</w:t>
      </w:r>
    </w:p>
    <w:p>
      <w:pPr>
        <w:spacing w:after="120" w:line="288" w:lineRule="auto"/>
      </w:pPr>
      <w:r>
        <w:t xml:space="preserve">Neither hypothesis is advanced or retired by the generation of a discriminating instance. Both remain in PROPOSED status, and a transition to VALIDATED continues to require confirmation by an identified human reviewer under Chapter 97's existing gate, which no automated process may effect. §97.8 changes what a reviewer is shown, not who decides.</w:t>
      </w:r>
    </w:p>
    <w:p>
      <w:pPr>
        <w:spacing w:after="120" w:line="288" w:lineRule="auto"/>
      </w:pPr>
      <w:r>
        <w:t xml:space="preserve">Where the observation is subsequently obtained and ingested as a knowledge record on the ordinary terms, the posteriors of both hypotheses update under the conjugate rule already specified, and the undiscriminated condition is re-evaluated. A pair that remains undiscriminated after its discriminating instance has been obtained is reported as such, and the outcome is recorded so that the same instance is not proposed again.</w:t>
      </w:r>
    </w:p>
    <w:p>
      <w:pPr>
        <w:pStyle w:val="Heading2"/>
        <w:spacing w:after="100" w:before="220" w:line="288" w:lineRule="auto"/>
      </w:pPr>
      <w:r>
        <w:t xml:space="preserve">97.8.4 Position in the reasoning architecture</w:t>
      </w:r>
    </w:p>
    <w:p>
      <w:pPr>
        <w:spacing w:after="120" w:line="288" w:lineRule="auto"/>
      </w:pPr>
      <w:r>
        <w:t xml:space="preserve">The architecture's governing rule is unchanged by this section and is restated because §97.8 sits precisely on the boundary it draws: deduction may write to the knowledge store, and induction may not. What §97.8 adds is that when induction cannot decide between two candidates, the system says which observation would decide, rather than accumulating further evidence that decides nothing.</w:t>
      </w:r>
    </w:p>
    <w:p>
      <w:pPr>
        <w:spacing w:after="120" w:line="288" w:lineRule="auto"/>
      </w:pPr>
      <w:r>
        <w:t xml:space="preserve">Row 179 evaluates the separation between two hypotheses at posteriors 0.7500 and 0.6875 against a floor of 0.15, returning the undiscriminated branch. Row 180 evaluates the discrimination of three candidate observations and returns the maximum, 0.68, which identifies the selected instance.</w:t>
      </w:r>
    </w:p>
    <w:p>
      <w:pPr>
        <w:pStyle w:val="Heading1"/>
        <w:spacing w:after="120" w:before="280" w:line="288" w:lineRule="auto"/>
      </w:pPr>
      <w:r>
        <w:t xml:space="preserve">Chapter 103: Temporal Prediction Calibration Layer</w:t>
      </w:r>
    </w:p>
    <w:p>
      <w:pPr>
        <w:pStyle w:val="Heading2"/>
        <w:spacing w:after="100" w:before="220" w:line="288" w:lineRule="auto"/>
      </w:pPr>
      <w:r>
        <w:t xml:space="preserve">103.1 Purpose</w:t>
      </w:r>
    </w:p>
    <w:p>
      <w:pPr>
        <w:spacing w:after="120" w:line="288" w:lineRule="auto"/>
      </w:pPr>
      <w:r>
        <w:t xml:space="preserve">The Predictive Cognitive Architecture treats prediction error as a signal: contradiction detection is characterised as prediction error, and hierarchical error propagation is one of its twelve organised mechanisms. A signal that is never measured cannot calibrate anything. This chapter supplies the measurement, by reconstructing the state of knowledge available before a recorded event, running this system's own forecasting mechanisms against that reconstructed state, and scoring the resulting forecast against what the record shows actually occurred.</w:t>
      </w:r>
    </w:p>
    <w:p>
      <w:pPr>
        <w:spacing w:after="120" w:line="288" w:lineRule="auto"/>
      </w:pPr>
      <w:r>
        <w:t xml:space="preserve">The output is a calibration record, not a prediction service. Chapter 103 produces statements of the form: over a stated corpus, at a stated horizon, within a stated domain, forecasts of this system carried a measured error of a stated magnitude. It produces no forecast about any future event, and nothing in this chapter is a path by which a calibration figure becomes a prediction delivered to a reader.</w:t>
      </w:r>
    </w:p>
    <w:p>
      <w:pPr>
        <w:pStyle w:val="Heading2"/>
        <w:spacing w:after="100" w:before="220" w:line="288" w:lineRule="auto"/>
      </w:pPr>
      <w:r>
        <w:t xml:space="preserve">103.2 Three distinct times</w:t>
      </w:r>
    </w:p>
    <w:p>
      <w:pPr>
        <w:spacing w:after="120" w:line="288" w:lineRule="auto"/>
      </w:pPr>
      <w:r>
        <w:t xml:space="preserve">Every Fact Unit already carries two times that are commonly conflated and are not the same. Chapter 103 depends on separating them, and introduces a third.</w:t>
      </w:r>
    </w:p>
    <w:p>
      <w:pPr>
        <w:spacing w:after="120" w:line="288" w:lineRule="auto"/>
      </w:pPr>
      <w:r>
        <w:t xml:space="preserve">The distinction is the whole of the matter. A commentary written in 1975 about a decision taken in 1962 carries T_applicable in 1962 and T_attested in 1975. It describes the pre-event period accurately and could not have been available before the event. Admitting it to a pre-event snapshot on the strength of its TemporalAnchor would be admitting hindsight.</w:t>
      </w:r>
    </w:p>
    <w:p>
      <w:pPr>
        <w:pStyle w:val="Heading2"/>
        <w:spacing w:after="100" w:before="220" w:line="288" w:lineRule="auto"/>
      </w:pPr>
      <w:r>
        <w:t xml:space="preserve">103.3 The Attestation Horizon Constraint</w:t>
      </w:r>
    </w:p>
    <w:p>
      <w:pPr>
        <w:spacing w:after="120" w:line="288" w:lineRule="auto"/>
      </w:pPr>
      <w:r>
        <w:t xml:space="preserve">This is the chapter's core rule. Let an event record carry an event time T_e, and let a retrospective forecast be run at a horizon H before that event. A Fact Unit is admissible to the pre-event snapshot for that run if and only if its T_attested is strictly earlier than T_e minus H. Its T_applicable is not consulted for this determination, and satisfying T_applicable is neither necessary nor sufficient for admission.</w:t>
      </w:r>
    </w:p>
    <w:p>
      <w:pPr>
        <w:spacing w:after="120" w:line="288" w:lineRule="auto"/>
      </w:pPr>
      <w:r>
        <w:t xml:space="preserve">A Fact Unit whose T_attested cannot be established from documented source metadata is excluded. It is not admitted under an assumption, an estimate, or the ingestion date as a proxy. The reason is that the failure mode this constraint exists to prevent is silent: an inadmissible record admitted by assumption produces a forecast that appears accurate and is in fact a restatement of the outcome, and no downstream statistic reveals it. Exclusion on unknown attestation is therefore the safe default and the specified behaviour.</w:t>
      </w:r>
    </w:p>
    <w:p>
      <w:pPr>
        <w:spacing w:after="120" w:line="288" w:lineRule="auto"/>
      </w:pPr>
      <w:r>
        <w:t xml:space="preserve">Enforcement is at slice construction, not by filtering after retrieval. The Slice Resolver constructs a signed, time-bounded scope description before traversal begins (§51.2), and for a retrospective run that scope description is bounded by the attestation cutoff T_e minus H. An inadmissible Fact Unit is therefore not traversable during the run rather than removed from its result, which means it cannot influence retrieval ordering, candidate counts, Attractor Network convergence or the permitted generation vocabulary. A post-hoc filter would leave all four contaminated.</w:t>
      </w:r>
    </w:p>
    <w:p>
      <w:pPr>
        <w:spacing w:after="120" w:line="288" w:lineRule="auto"/>
      </w:pPr>
      <w:r>
        <w:t xml:space="preserve">Where a source's documented date is itself contested, the latest defensible date is used, so that uncertainty in attestation resolves toward exclusion rather than toward admission. Every admission and every exclusion is recorded in the Provenance Ledger with the T_attested value relied upon, so that a calibration result can be re-derived and audited against the exact record set that produced it.</w:t>
      </w:r>
    </w:p>
    <w:p>
      <w:pPr>
        <w:spacing w:after="120" w:line="288" w:lineRule="auto"/>
      </w:pPr>
      <w:r>
        <w:t xml:space="preserve">A conventional retrospective study cannot enforce this rule, because a spreadsheet of historical variables carries no per-assertion attestation and no mechanism to make an inadmissible assertion unreachable. The constraint is available here because the Fact Unit already binds provenance inseparably to content, and it is for that reason a property of this architecture rather than a methodological preference.</w:t>
      </w:r>
    </w:p>
    <w:p>
      <w:pPr>
        <w:pStyle w:val="Heading2"/>
        <w:spacing w:after="100" w:before="220" w:line="288" w:lineRule="auto"/>
      </w:pPr>
      <w:r>
        <w:t xml:space="preserve">103.4 Horizon slicing and the retrospective run</w:t>
      </w:r>
    </w:p>
    <w:p>
      <w:pPr>
        <w:spacing w:after="120" w:line="288" w:lineRule="auto"/>
      </w:pPr>
      <w:r>
        <w:t xml:space="preserve">For a given event record, a configured set of horizons is applied — by way of example and not limitation, a far, a mid and a near horizon expressed in the temporal granularity appropriate to the domain. For each horizon a pre-event snapshot is constructed under §103.3, and the forecasting mechanisms of Chapter 10 and §10.4 are executed against that snapshot alone, with no other Fact Unit traversable.</w:t>
      </w:r>
    </w:p>
    <w:p>
      <w:pPr>
        <w:spacing w:after="120" w:line="288" w:lineRule="auto"/>
      </w:pPr>
      <w:r>
        <w:t xml:space="preserve">Each run records a predicted outcome, a probability assigned to it, a predicted interval to occurrence, and the identifiers of every Fact Unit admitted to the snapshot. The last of these is not optional: a calibration result whose input record set cannot be enumerated is not reproducible and is not reportable.</w:t>
      </w:r>
    </w:p>
    <w:p>
      <w:pPr>
        <w:spacing w:after="120" w:line="288" w:lineRule="auto"/>
      </w:pPr>
      <w:r>
        <w:t xml:space="preserve">A run is executed in a Scenario Graph branch under Chapter 11 and its outputs are delta-represented against the base state. No output of a retrospective run modifies a Fact Unit, and no predicted outcome is written into the Fact Graph as an assertion. This follows §10.4's existing rule that a forecast is rendered in a labelled region distinct from grounded output and is never incorporated into a knowledge record.</w:t>
      </w:r>
    </w:p>
    <w:p>
      <w:pPr>
        <w:pStyle w:val="Heading2"/>
        <w:spacing w:after="100" w:before="220" w:line="288" w:lineRule="auto"/>
      </w:pPr>
      <w:r>
        <w:t xml:space="preserve">103.5 The Prediction Error Record</w:t>
      </w:r>
    </w:p>
    <w:p>
      <w:pPr>
        <w:spacing w:after="120" w:line="288" w:lineRule="auto"/>
      </w:pPr>
      <w:r>
        <w:t xml:space="preserve">Comparison of a run's predicted outcome against the recorded outcome produces a PredictionError Fact Unit carrying: the event reference; the horizon; the predicted outcome and its assigned probability; the recorded outcome; a squared-error term computed as the square of the difference between the assigned probability and the realised binary outcome; and the domain and subject class of the event.</w:t>
      </w:r>
    </w:p>
    <w:p>
      <w:pPr>
        <w:spacing w:after="120" w:line="288" w:lineRule="auto"/>
      </w:pPr>
      <w:r>
        <w:t xml:space="preserve">Aggregated across a corpus, the mean of those squared-error terms is a proper scoring measure of calibration: a forecast assigned probability 0.7 to an outcome that occurred contributes 0.09, and one assigned 0.4 to an outcome that did not occur contributes 0.16, for a mean of 0.125 across those two. The measure is stated here because it is what permits a claim about calibration to be checked rather than asserted.</w:t>
      </w:r>
    </w:p>
    <w:p>
      <w:pPr>
        <w:spacing w:after="120" w:line="288" w:lineRule="auto"/>
      </w:pPr>
      <w:r>
        <w:t xml:space="preserve">Two derived quantities are retained. Accuracy by horizon, within a domain, states how error varies as the forecast moves further from the event. Calibration by confidence band states whether forecasts assigned a given probability occurred at approximately that rate — which is the question §10.4's confidence intervals implicitly answer and currently cannot.</w:t>
      </w:r>
    </w:p>
    <w:p>
      <w:pPr>
        <w:pStyle w:val="Heading2"/>
        <w:spacing w:after="100" w:before="220" w:line="288" w:lineRule="auto"/>
      </w:pPr>
      <w:r>
        <w:t xml:space="preserve">103.6 Subject class constraint</w:t>
      </w:r>
    </w:p>
    <w:p>
      <w:pPr>
        <w:spacing w:after="120" w:line="288" w:lineRule="auto"/>
      </w:pPr>
      <w:r>
        <w:t xml:space="preserve">The subject of an event record admitted to this chapter is an institution, a system, an organisational process or an aggregate group. An individual natural person is not an admissible subject, and a PredictionError Fact Unit whose subject resolves to an individual natural person is refused at construction rather than retained with a restriction.</w:t>
      </w:r>
    </w:p>
    <w:p>
      <w:pPr>
        <w:spacing w:after="120" w:line="288" w:lineRule="auto"/>
      </w:pPr>
      <w:r>
        <w:t xml:space="preserve">The constraint is structural for the same reason §91's exclusion of person and animal classifications is structural: a per-individual predictive score, once computed and stored, is available to be acted upon irrespective of the caution attached to it, and the categories where such scores have caused documented harm — criminal justice determinations, credit and insurance decisions, employment screening — are precisely those where a retrospective corpus is easiest to assemble. Domain 0's harm-prevention authority applies to Fact Graph content, and this chapter records the application rather than relying on it being inferred.</w:t>
      </w:r>
    </w:p>
    <w:p>
      <w:pPr>
        <w:spacing w:after="120" w:line="288" w:lineRule="auto"/>
      </w:pPr>
      <w:r>
        <w:t xml:space="preserve">Measuring the predictability of an institutional process is not thereby prohibited and is the intended use: how predictably a court, a hospital admissions process or a school system behaves is a property of the institution. A finding that a demographic attribute correlates with an institutional outcome is reported as a property of that institution's process, cited to the records establishing it, and is not restated as a property of the individuals to whom the attribute applies.</w:t>
      </w:r>
    </w:p>
    <w:p>
      <w:pPr>
        <w:pStyle w:val="Heading2"/>
        <w:spacing w:after="100" w:before="220" w:line="288" w:lineRule="auto"/>
      </w:pPr>
      <w:r>
        <w:t xml:space="preserve">103.7 Retention</w:t>
      </w:r>
    </w:p>
    <w:p>
      <w:pPr>
        <w:spacing w:after="120" w:line="288" w:lineRule="auto"/>
      </w:pPr>
      <w:r>
        <w:t xml:space="preserve">A derived calibration statistic — error by horizon, by domain, by confidence band — is an aggregate over a corpus and is retained without expiry. An event record and a PredictionError Fact Unit concerning an identifiable subject are retained under §36.7's ordinary policy and are subject to its erasure operations at session, work and account scope on the same terms as any other record.</w:t>
      </w:r>
    </w:p>
    <w:p>
      <w:pPr>
        <w:spacing w:after="120" w:line="288" w:lineRule="auto"/>
      </w:pPr>
      <w:r>
        <w:t xml:space="preserve">This division is deliberate and is the answer to the proposal from which this chapter derives, which described a perpetual record of human behaviour. A permanent, non-erasable archive of behavioural event records is the exposure Chapter 102 exists to avoid, and it is not created here. What is perpetual is the calibration curve; what is erasable is the record of any person.</w:t>
      </w:r>
    </w:p>
    <w:p>
      <w:pPr>
        <w:pStyle w:val="Heading2"/>
        <w:spacing w:after="100" w:before="220" w:line="288" w:lineRule="auto"/>
      </w:pPr>
      <w:r>
        <w:t xml:space="preserve">103.8 Reporting</w:t>
      </w:r>
    </w:p>
    <w:p>
      <w:pPr>
        <w:spacing w:after="120" w:line="288" w:lineRule="auto"/>
      </w:pPr>
      <w:r>
        <w:t xml:space="preserve">A calibration figure published outside the operator's own organisation is a performance claim within Chapter 77 and requires that chapter's validation process, including a stated corpus, a stated horizon set and the attestation cutoff applied. A figure stated without its attestation cutoff is not interpretable, because the cutoff determines what the forecast was permitted to know, and two figures computed under different cutoffs are not comparable.</w:t>
      </w:r>
    </w:p>
    <w:p>
      <w:pPr>
        <w:spacing w:after="120" w:line="288" w:lineRule="auto"/>
      </w:pPr>
      <w:r>
        <w:t xml:space="preserve">Where a domain's measured error is high, that finding is reported with the same standing as a finding of low error. A chapter that reports only its successes calibrates nothing, and the domains where this system predicts poorly are the operationally useful output — they identify where a forecast should not be offered to a reader at all.</w:t>
      </w:r>
    </w:p>
    <w:p>
      <w:pPr>
        <w:spacing w:after="120" w:line="288" w:lineRule="auto"/>
      </w:pPr>
      <w:r>
        <w:t xml:space="preserve">Row 150 evaluates a source attested 1 March 1998 against an event of 11 September 2001 at a 90-day horizon, returning admissible; the same expression with an attestation date of 1 June 2003 returns excluded. Row 151 evaluates the mean squared error of two forecasts, returning 0.125. Row 152 evaluates the subject class gate against the admissible classes, returning admissible.</w:t>
      </w:r>
    </w:p>
    <w:p>
      <w:pPr>
        <w:spacing w:after="120" w:line="288" w:lineRule="auto"/>
      </w:pPr>
      <w:r>
        <w:t xml:space="preserve">The chapter adds no new forecasting mechanism, no new ingestion path and no new storage tier. It uses the Fact Unit's existing temporal anchor and provenance binding, the Slice Resolver of §51.2, the forecasting of Chapter 10 and §10.4, the Scenario Graph of Chapter 11, and the retention policy of §36.7. Its contribution is the constraint at §103.3 and the measurement that constraint makes trustworthy.</w:t>
      </w:r>
    </w:p>
    <w:p>
      <w:pPr>
        <w:pStyle w:val="Heading1"/>
        <w:spacing w:after="120" w:before="280" w:line="288" w:lineRule="auto"/>
      </w:pPr>
      <w:r>
        <w:t xml:space="preserve">Chapter 106: Domain Architecture</w:t>
      </w:r>
    </w:p>
    <w:p>
      <w:pPr>
        <w:pStyle w:val="Heading2"/>
        <w:spacing w:after="100" w:before="220" w:line="288" w:lineRule="auto"/>
      </w:pPr>
      <w:r>
        <w:t xml:space="preserve">106.1 Structure</w:t>
      </w:r>
    </w:p>
    <w:p>
      <w:pPr>
        <w:spacing w:after="120" w:line="288" w:lineRule="auto"/>
      </w:pPr>
      <w:r>
        <w:t xml:space="preserve">The system is partitioned into fifteen domains. Fourteen are horizontal: each owns a bounded set of mechanisms, holds its own persistent state where it has any, and exposes a defined interface to the others. One is vertical: Domain 0, the Prime Directive, penetrates every horizontal domain and every layer within them.</w:t>
      </w:r>
    </w:p>
    <w:p>
      <w:pPr>
        <w:spacing w:after="120" w:line="288" w:lineRule="auto"/>
      </w:pPr>
      <w:r>
        <w:t xml:space="preserve">A domain is an authority boundary, not a deployment unit. Two domains may execute in one process and one domain may span several; what the partition fixes is which mechanism owns which decision, which transfers between domains are permitted, and how compute is accounted. The partition is therefore stable across the cloud, local and single-device deployment modes, and a deployment omitting an optional domain omits its capability without altering any other domain's behaviour.</w:t>
      </w:r>
    </w:p>
    <w:p>
      <w:pPr>
        <w:spacing w:after="120" w:line="288" w:lineRule="auto"/>
      </w:pPr>
      <w:r>
        <w:t xml:space="preserve">Two properties govern the partition, and both are consequences of where the boundaries were drawn rather than rules added afterward. The first is path separation, specified at §106.3, which is a performance property. The second is boundary enforcement, specified at §106.4, which is an accuracy property. Neither is achievable by a partition drawn along subject-matter lines alone, which is why the domains below do not simply mirror the chapter structure.</w:t>
      </w:r>
    </w:p>
    <w:p>
      <w:pPr>
        <w:pStyle w:val="Heading2"/>
        <w:spacing w:after="100" w:before="220" w:line="288" w:lineRule="auto"/>
      </w:pPr>
      <w:r>
        <w:t xml:space="preserve">106.2 The domains</w:t>
      </w:r>
    </w:p>
    <w:p>
      <w:pPr>
        <w:spacing w:after="120" w:line="288" w:lineRule="auto"/>
      </w:pPr>
      <w:r>
        <w:t xml:space="preserve">Three features are assigned by function rather than by source chapter. The Safety Substrate is assigned to D0, because its enforcement plane is the mechanism by which the Prime Directive is vertical rather than merely stated. Deployment architecture is assigned to D11, because staged rollout is an act of changing the system. Human reasoning and motivation modelling is assigned to D5, because it models a documented subject as an inference over records — and it is retained under the Chapter 80 constraint that no such model is ever constructed of the system's own state, which is why the superseded architecture's self-model and metacognition domains are not reinstated here.</w:t>
      </w:r>
    </w:p>
    <w:p>
      <w:pPr>
        <w:pStyle w:val="Heading2"/>
        <w:spacing w:after="100" w:before="220" w:line="288" w:lineRule="auto"/>
      </w:pPr>
      <w:r>
        <w:t xml:space="preserve">106.3 Path separation — the performance property</w:t>
      </w:r>
    </w:p>
    <w:p>
      <w:pPr>
        <w:spacing w:after="120" w:line="288" w:lineRule="auto"/>
      </w:pPr>
      <w:r>
        <w:t xml:space="preserve">The partition is drawn so that the latency-critical path and the batch path share as few domains as possible. Answering a query traverses D8, then D4, optionally D5, then D7, under D0 throughout. Ingesting content traverses D1, then D2, then D3, then D6, with D5 performing pre-computation, under D0 throughout.</w:t>
      </w:r>
    </w:p>
    <w:p>
      <w:pPr>
        <w:spacing w:after="120" w:line="288" w:lineRule="auto"/>
      </w:pPr>
      <w:r>
        <w:t xml:space="preserve">The consequence is the design's central performance property: an ingestion job of any size contends with an interactive query at exactly two points, and at both the contention is bounded by mechanism already specified. At D0 the contention is resolved by category, because a safety-evaluation slice is served ahead of every other category irrespective of arrival order. At D2 it is resolved by storage tiering, because a batch write targets a different tier from an interactive read of a frequently-accessed record.</w:t>
      </w:r>
    </w:p>
    <w:p>
      <w:pPr>
        <w:spacing w:after="120" w:line="288" w:lineRule="auto"/>
      </w:pPr>
      <w:r>
        <w:t xml:space="preserve">Two corollaries follow and are stated because they constrain implementation. D4 performs no ingestion work of any kind, so a retrieval never blocks on an extractor; and D1 holds no retrieval authority, so an extraction never blocks on the Attractor Network's convergence. A partition placing extraction and retrieval in one domain — as a partition drawn along subject-matter lines would, since both concern knowledge records — would couple the two and forfeit this property.</w:t>
      </w:r>
    </w:p>
    <w:p>
      <w:pPr>
        <w:spacing w:after="120" w:line="288" w:lineRule="auto"/>
      </w:pPr>
      <w:r>
        <w:t xml:space="preserve">The pre-computation performed by D5 at ingestion is the mechanism by which work is deliberately moved from the hot path to the batch path: forward inference chains and probable questions with their answers are computed when the corpus is admitted, so that a query matching a pre-computed answer is served without traversing D4's stabilization at all. The partition makes that transfer expressible as a property of the architecture rather than as a caching optimisation.</w:t>
      </w:r>
    </w:p>
    <w:p>
      <w:pPr>
        <w:pStyle w:val="Heading2"/>
        <w:spacing w:after="100" w:before="220" w:line="288" w:lineRule="auto"/>
      </w:pPr>
      <w:r>
        <w:t xml:space="preserve">106.4 The transfer matrix — the accuracy property</w:t>
      </w:r>
    </w:p>
    <w:p>
      <w:pPr>
        <w:spacing w:after="120" w:line="288" w:lineRule="auto"/>
      </w:pPr>
      <w:r>
        <w:t xml:space="preserve">Every ordered pair of domains carries a transfer permission: ALLOW, DENY, or TRANSFORM-REQUIRED, the last meaning that a transfer is permitted only through a stated conversion that types, gates or marks the transferred content. The matrix is data, evaluated at each boundary crossing, and a crossing with no matrix entry is treated as DENY.</w:t>
      </w:r>
    </w:p>
    <w:p>
      <w:pPr>
        <w:spacing w:after="120" w:line="288" w:lineRule="auto"/>
      </w:pPr>
      <w:r>
        <w:t xml:space="preserve">The matrix is owned by D0 and is a member of the permanently-excluded subsystem set. This placement is not administrative tidiness. The matrix contains the entry denying D11 a transfer to D0, and that entry is what prevents the mechanism that changes the system from amending the Prime Directive. Were the matrix owned by D11 as platform configuration — which is where a partition drawn by subject matter would place it — D11 could propose a change to that entry, and the exclusion protecting D0 would be administered by the party it excludes. The path-separation invariant of §106.3 and the slice priority ordering of §106.5 are owned on the same terms and for the same reason.</w:t>
      </w:r>
    </w:p>
    <w:p>
      <w:pPr>
        <w:spacing w:after="120" w:line="288" w:lineRule="auto"/>
      </w:pPr>
      <w:r>
        <w:t xml:space="preserve">Most entries are unremarkable. The entries that matter are the denials, because each one is an accuracy guarantee expressed as a structural impossibility rather than as a rule someone must remember.</w:t>
      </w:r>
    </w:p>
    <w:p>
      <w:pPr>
        <w:spacing w:after="120" w:line="288" w:lineRule="auto"/>
      </w:pPr>
      <w:r>
        <w:t xml:space="preserve">Two general rules complete the matrix. Any domain may read from D3, because ontology is shared meaning and restricting it would fragment the concept structure the poly-hierarchy exists to keep unified; but only D3 may write to it, and a domain requiring a new concept requests registration rather than creating one. And every crossing is recorded in the provenance chain with the source domain, the target domain and the permission applied, so a transfer that should not have occurred is detectable after the fact rather than only preventable before it.</w:t>
      </w:r>
    </w:p>
    <w:p>
      <w:pPr>
        <w:pStyle w:val="Heading2"/>
        <w:spacing w:after="100" w:before="220" w:line="288" w:lineRule="auto"/>
      </w:pPr>
      <w:r>
        <w:t xml:space="preserve">106.5 Compute accounting by domain</w:t>
      </w:r>
    </w:p>
    <w:p>
      <w:pPr>
        <w:spacing w:after="120" w:line="288" w:lineRule="auto"/>
      </w:pPr>
      <w:r>
        <w:t xml:space="preserve">Each domain's operations are metered as bounded compute-accounting units carrying that domain's identifier, and scheduling priority is fixed by domain rather than negotiated. D0 holds the highest priority without exception. D13 holds the lowest, so that contention omits the commercial region rather than delaying the answer. The remaining domains are ordered so that a domain on the latency-critical path outranks a domain on the batch path, which makes the path separation of §106.3 an operational property and not merely a topological one.</w:t>
      </w:r>
    </w:p>
    <w:p>
      <w:pPr>
        <w:spacing w:after="120" w:line="288" w:lineRule="auto"/>
      </w:pPr>
      <w:r>
        <w:t xml:space="preserve">A domain's failure is contained to that domain's capability. A failed D13 slice omits commercial content; a failed D12 slice leaves the connector unavailable and the core unaffected, which is the sense in which an external resource is an option rather than a dependency; a failed D6 slice returns no world-model completion rather than a partial one. A failed D0 slice halts the operation entirely, because an operation that cannot be evaluated for harm is not permitted to proceed on the ground that evaluation was unavailable.</w:t>
      </w:r>
    </w:p>
    <w:p>
      <w:pPr>
        <w:pStyle w:val="Heading2"/>
        <w:spacing w:after="100" w:before="220" w:line="288" w:lineRule="auto"/>
      </w:pPr>
      <w:r>
        <w:t xml:space="preserve">106.6 Layers and modules</w:t>
      </w:r>
    </w:p>
    <w:p>
      <w:pPr>
        <w:spacing w:after="120" w:line="288" w:lineRule="auto"/>
      </w:pPr>
      <w:r>
        <w:t xml:space="preserve">Two further groupings organise the domains, and neither carries authority. A layer is a grouping of domains chosen for deployment, ownership and failure grouping; a module is a replaceable implementation within a domain. Only a domain owns a decision, carries a transfer permission and holds a compute slice. Moving a domain between layers changes nothing the transfer matrix governs, and this is stated explicitly because the superseded architecture's five-layer model was read as a permission model and could not function as one.</w:t>
      </w:r>
    </w:p>
    <w:p>
      <w:pPr>
        <w:spacing w:after="120" w:line="288" w:lineRule="auto"/>
      </w:pPr>
      <w:r>
        <w:t xml:space="preserve">The layer assignment was chosen by measurement rather than by subject matter. Three candidate groupings were evaluated against the transfer edges the specified pipelines actually require, scored by the proportion of transfers remaining within a layer, since a transfer crossing a layer boundary is the one that constrains deployment topology and team ownership. A path-aligned grouping retained 36 per cent, a subject-aligned grouping 28 per cent, and the grouping adopted below 44 per cent across the fewest crossing pairs.</w:t>
      </w:r>
    </w:p>
    <w:p>
      <w:pPr>
        <w:spacing w:after="120" w:line="288" w:lineRule="auto"/>
      </w:pPr>
      <w:r>
        <w:t xml:space="preserve">A module is the unit of replacement: an implementation exchangeable where it satisfies every interface the replaced unit exposed at each supported version and every transfer-matrix entry in which its domain appears. Two domains declare none. D0 is excluded from replacement by membership of the permanently-excluded set. D2 holds the record store, and exchanging its implementation is a migration of stored records rather than a module exchange, for which interface and matrix conformance are necessary but not sufficient.</w:t>
      </w:r>
    </w:p>
    <w:p>
      <w:pPr>
        <w:spacing w:after="120" w:line="288" w:lineRule="auto"/>
      </w:pPr>
      <w:r>
        <w:t xml:space="preserve">Row 176 evaluates a transfer whose matrix entry is not among the permitting values, returning refusal. Row 177 evaluates the intersection of the query-path and ingestion-path domain sets against the design bound of two. Row 178 evaluates the priority ordering of the governance domain against the commerce domain.</w:t>
      </w:r>
    </w:p>
    <w:p>
      <w:pPr>
        <w:spacing w:after="120" w:line="288" w:lineRule="auto"/>
      </w:pPr>
      <w:r>
        <w:t xml:space="preserve">The five horizontal layers of the superseded architecture — Presentation, Application, Cognitive, Data, Infrastructure — are not reinstated. A layer model and a domain model describe the same system twice, and where they disagree neither governs. This chapter keeps the domain model, because a domain can carry a transfer permission, a compute slice and a failure containment boundary, and a layer cannot.</w:t>
      </w:r>
    </w:p>
    <w:p>
      <w:pPr>
        <w:pStyle w:val="Heading1"/>
        <w:spacing w:after="120" w:before="280" w:line="288" w:lineRule="auto"/>
      </w:pPr>
      <w:r>
        <w:t xml:space="preserve">Chapter 104</w:t>
      </w:r>
    </w:p>
    <w:p>
      <w:pPr>
        <w:pStyle w:val="Heading2"/>
        <w:spacing w:after="100" w:before="220" w:line="288" w:lineRule="auto"/>
      </w:pPr>
      <w:r>
        <w:t xml:space="preserve">104.1 The problem this chapter solves</w:t>
      </w:r>
    </w:p>
    <w:p>
      <w:pPr>
        <w:spacing w:after="120" w:line="288" w:lineRule="auto"/>
      </w:pPr>
      <w:r>
        <w:t xml:space="preserve">The Fact Unit already carries a FactType resolving to the Ontology Mesh, and the type set already includes EVENT_DESCRIPTION, TEMPORAL_STATEMENT and CAUSAL_CLAIM. What it does not carry is a governed definition of what any particular kind of event requires. Two ingestion runs over two corpora can both produce EVENT_DESCRIPTION Fact Units in which the same real-world category of occurrence is represented with different fields present, different granularity and different implicit assumptions, and nothing in the current specification detects that they are not comparable.</w:t>
      </w:r>
    </w:p>
    <w:p>
      <w:pPr>
        <w:spacing w:after="120" w:line="288" w:lineRule="auto"/>
      </w:pPr>
      <w:r>
        <w:t xml:space="preserve">The consequence is felt wherever events are compared rather than merely retrieved: edition comparison across sources, the contradiction index when two sources describe one occurrence, the Scenario Graph when a branch turns on an event's properties, and Chapter 103's calibration corpus, which is only meaningful if the events it scores are typed consistently. An event vocabulary that is agreed per corpus rather than per system is not a vocabulary.</w:t>
      </w:r>
    </w:p>
    <w:p>
      <w:pPr>
        <w:spacing w:after="120" w:line="288" w:lineRule="auto"/>
      </w:pPr>
      <w:r>
        <w:t xml:space="preserve">The second gap is contextual. A great many assertions are true only relative to a state of the world at the time — a measurement under stated conditions, an outcome under a stated policy regime, a behaviour under stated constraints. That state is presently either lost at extraction or duplicated in prose across every Fact Unit that depends on it. Duplication is the worse outcome of the two: a correction to the shared context must then be applied to every copy, and any copy missed becomes a silent inconsistency.</w:t>
      </w:r>
    </w:p>
    <w:p>
      <w:pPr>
        <w:pStyle w:val="Heading2"/>
        <w:spacing w:after="100" w:before="220" w:line="288" w:lineRule="auto"/>
      </w:pPr>
      <w:r>
        <w:t xml:space="preserve">104.2 The Event Type Catalogue</w:t>
      </w:r>
    </w:p>
    <w:p>
      <w:pPr>
        <w:spacing w:after="120" w:line="288" w:lineRule="auto"/>
      </w:pPr>
      <w:r>
        <w:t xml:space="preserve">An Event Type is a governed, versioned definition of a category of occurrence. It is registered in a catalogue that operates on the same terms as the predicate catalogue of Chapter 6: an identifier assigned at registration and immutable thereafter, a resolution against the Ontology Mesh, and deprecation rather than deletion.</w:t>
      </w:r>
    </w:p>
    <w:p>
      <w:pPr>
        <w:spacing w:after="120" w:line="288" w:lineRule="auto"/>
      </w:pPr>
      <w:r>
        <w:t xml:space="preserve">Three rules govern use. First, an EVENT_DESCRIPTION Fact Unit must reference a registered EventTypeId; free-text event categorisation is not permitted, for the same reason predicates resolve against a governed catalogue rather than being coined at ingestion. Second, the MachineDefinition is evaluated at construction, so a type requiring a temporal anchor of at least DAY granularity refuses a record carrying only ERA granularity — the record is not silently admitted with a weak anchor that later analysis will treat as strong. Third, a type's required-field set may be narrowed by a later version but not widened without a new type, because widening would retroactively render conforming historical records non-conforming.</w:t>
      </w:r>
    </w:p>
    <w:p>
      <w:pPr>
        <w:spacing w:after="120" w:line="288" w:lineRule="auto"/>
      </w:pPr>
      <w:r>
        <w:t xml:space="preserve">The enablement value is worth stating plainly, because it is why this belongs in the application rather than only in an implementation. A MachineDefinition is testable: given a type and a candidate record, conformance is decidable by inspection, and an implementation either refuses the non-conforming record or does not. That is a concrete operation with a definite result, which is what a claim needs and what a prose event taxonomy cannot supply.</w:t>
      </w:r>
    </w:p>
    <w:p>
      <w:pPr>
        <w:pStyle w:val="Heading2"/>
        <w:spacing w:after="100" w:before="220" w:line="288" w:lineRule="auto"/>
      </w:pPr>
      <w:r>
        <w:t xml:space="preserve">104.3 Environment Vectors</w:t>
      </w:r>
    </w:p>
    <w:p>
      <w:pPr>
        <w:spacing w:after="120" w:line="288" w:lineRule="auto"/>
      </w:pPr>
      <w:r>
        <w:t xml:space="preserve">An Environment Vector is a normalized snapshot of the state of the world relative to which a set of assertions holds. It is a first-class record with its own provenance and its own confidence, because a stated environment is itself an observation that may be wrong, and treating it as unquestioned metadata would let an unsupported context silently qualify every fact referencing it.</w:t>
      </w:r>
    </w:p>
    <w:p>
      <w:pPr>
        <w:spacing w:after="120" w:line="288" w:lineRule="auto"/>
      </w:pPr>
      <w:r>
        <w:t xml:space="preserve">A Fact Unit references an Environment Vector through its AnnotationSet under a reserved key. This placement is deliberate and is what keeps the schema guarantee at the head of this chapter true: the reference is an annotation, the annotation is optional, and a Fact Unit with no environmental dependency carries none. No required field is added to the Fact Unit, and every existing record remains valid unmodified.</w:t>
      </w:r>
    </w:p>
    <w:p>
      <w:pPr>
        <w:spacing w:after="120" w:line="288" w:lineRule="auto"/>
      </w:pPr>
      <w:r>
        <w:t xml:space="preserve">The correction case is the one that repays the normalization. Where a hundred Fact Units reference one Environment Vector and the vector is found to be wrong, the vector is superseded once through the ordinary supersession chain and every referencing record resolves to the corrected state on next traversal. Where the same context had been duplicated into a hundred records, the correction is a hundred edits, and the ones that are missed do not announce themselves.</w:t>
      </w:r>
    </w:p>
    <w:p>
      <w:pPr>
        <w:pStyle w:val="Heading2"/>
        <w:spacing w:after="100" w:before="220" w:line="288" w:lineRule="auto"/>
      </w:pPr>
      <w:r>
        <w:t xml:space="preserve">104.4 Causal chains through existing machinery</w:t>
      </w:r>
    </w:p>
    <w:p>
      <w:pPr>
        <w:spacing w:after="120" w:line="288" w:lineRule="auto"/>
      </w:pPr>
      <w:r>
        <w:t xml:space="preserve">Causal structure is expressed with mechanisms already specified, and this chapter deliberately introduces no parallel edge store. The CAUSES predicate is already registered — the source Fact Unit describes a causal factor for the state or event in the target — and TEMPORAL_FOLLOWS already carries temporal ordering derived from TemporalAnchors. Causal edges are RelationSet edges, carrying the weight and typing every other edge carries.</w:t>
      </w:r>
    </w:p>
    <w:p>
      <w:pPr>
        <w:spacing w:after="120" w:line="288" w:lineRule="auto"/>
      </w:pPr>
      <w:r>
        <w:t xml:space="preserve">A chain is a Bundle. BundleRefs already provides many-to-many membership with a bounded ceiling, so a Fact Unit participating in several causal chains is expressed without a new field, and a chain is queryable through QBQL as the set of Fact Units sharing a BundleID together with the CAUSES edges among them. Chain length, root and outcome are computed from that set at query time rather than stored as chain metadata that can fall out of agreement with the edges it summarises.</w:t>
      </w:r>
    </w:p>
    <w:p>
      <w:pPr>
        <w:spacing w:after="120" w:line="288" w:lineRule="auto"/>
      </w:pPr>
      <w:r>
        <w:t xml:space="preserve">One validation rule is added, and it is the only structural constraint this chapter places on causation. A CAUSES edge is admitted only where the temporal anchor of the source does not begin after the temporal anchor of the target begins. An edge asserting that an effect preceded its cause is refused at construction and the attempted assertion is recorded in the contradiction index of Chapter 17, so that the underlying disagreement between sources remains queryable rather than being discarded with the edge.</w:t>
      </w:r>
    </w:p>
    <w:p>
      <w:pPr>
        <w:spacing w:after="120" w:line="288" w:lineRule="auto"/>
      </w:pPr>
      <w:r>
        <w:t xml:space="preserve">Two things this rule deliberately does not do. It does not require strict temporal precedence, so concurrent and overlapping causation remain expressible — a condition that persists while producing its effect is common in every domain the system serves. And it does not treat temporal order as evidence of causation: TEMPORAL_FOLLOWS is not upgraded to CAUSES by any automatic process, because sequence is not causation and a system that inferred it would be generating assertions no source made.</w:t>
      </w:r>
    </w:p>
    <w:p>
      <w:pPr>
        <w:spacing w:after="120" w:line="288" w:lineRule="auto"/>
      </w:pPr>
      <w:r>
        <w:t xml:space="preserve">A derived quantity is computed at query time and not stored. An event's duration is the difference of its temporal anchors and is recomputed on demand; storing it would create a field that can disagree with the anchors it derives from, which is the precise redundancy the normalization discipline of this chapter exists to eliminate.</w:t>
      </w:r>
    </w:p>
    <w:p>
      <w:pPr>
        <w:pStyle w:val="Heading2"/>
        <w:spacing w:after="100" w:before="220" w:line="288" w:lineRule="auto"/>
      </w:pPr>
      <w:r>
        <w:t xml:space="preserve">104.5 Excluded by design</w:t>
      </w:r>
    </w:p>
    <w:p>
      <w:pPr>
        <w:spacing w:after="120" w:line="288" w:lineRule="auto"/>
      </w:pPr>
      <w:r>
        <w:t xml:space="preserve">Two constructs proposed alongside the above are excluded, and the exclusions are recorded here so that they read as decisions rather than oversights.</w:t>
      </w:r>
    </w:p>
    <w:p>
      <w:pPr>
        <w:spacing w:after="120" w:line="288" w:lineRule="auto"/>
      </w:pPr>
      <w:r>
        <w:t xml:space="preserve">A scalar inevitability or likelihood score attached to an event record is not adopted. Attached to an event carrying actor references it is a per-actor predictive score, and §103.6 refuses exactly that at construction rather than by restriction of access. Where the likelihood of an outcome is genuinely required it is available as a Scenario Graph branch probability under Chapter 11, which is delta-represented, pruned at a threshold, and never written back into a Fact Unit as an assertion.</w:t>
      </w:r>
    </w:p>
    <w:p>
      <w:pPr>
        <w:spacing w:after="120" w:line="288" w:lineRule="auto"/>
      </w:pPr>
      <w:r>
        <w:t xml:space="preserve">An undefined force or influence vector is not adopted. A quantitative field with no stated units, no computation rule and no worked expression cannot be implemented consistently by two engineers, cannot be tested for conformance, and cannot support a definite claim. Where directional influence is required it is expressible as a weighted CAUSES edge, whose weight is bounded in [0,1] and whose meaning is already specified for every other edge in the Fact Graph.</w:t>
      </w:r>
    </w:p>
    <w:p>
      <w:pPr>
        <w:pStyle w:val="Heading1"/>
        <w:spacing w:after="120" w:before="280" w:line="288" w:lineRule="auto"/>
      </w:pPr>
      <w:r>
        <w:t xml:space="preserve">Chapter 105</w:t>
      </w:r>
    </w:p>
    <w:p>
      <w:pPr>
        <w:pStyle w:val="Heading2"/>
        <w:spacing w:after="100" w:before="220" w:line="288" w:lineRule="auto"/>
      </w:pPr>
      <w:r>
        <w:t xml:space="preserve">105.1 The public application programming interface layer</w:t>
      </w:r>
    </w:p>
    <w:p>
      <w:pPr>
        <w:spacing w:after="120" w:line="288" w:lineRule="auto"/>
      </w:pPr>
      <w:r>
        <w:t xml:space="preserve">Seven interfaces are exposed to external callers: a content interface returning work structure and rendered content; a query interface accepting a natural-language or structured query and returning a grounded response with citations; a rights interface reporting entitlements; a layout interface returning pagination and rendering geometry; an assessment interface returning generated assessment items and accepting submitted responses; an edition interface returning edition membership and difference sets; and a semantic interface returning Fact Units, concept nodes and edges.</w:t>
      </w:r>
    </w:p>
    <w:p>
      <w:pPr>
        <w:spacing w:after="120" w:line="288" w:lineRule="auto"/>
      </w:pPr>
      <w:r>
        <w:t xml:space="preserve">Every interface resolves a scope description before performing any traversal, exactly as an internal query does. There is no interface that returns a Fact Unit outside the caller's scope description, and no interface parameter that widens a scope description; a caller requesting a record outside its scope receives the same response it would receive for a record that does not exist, because the record is not traversable rather than filtered from a result. The application programming interface layer is itself an operation layer within the meaning of Chapter 8 and carries its own synchronous safety evaluation gate, so that entry through the interface does not avoid a gate positioned at another layer.</w:t>
      </w:r>
    </w:p>
    <w:p>
      <w:pPr>
        <w:spacing w:after="120" w:line="288" w:lineRule="auto"/>
      </w:pPr>
      <w:r>
        <w:t xml:space="preserve">The rights interface reports entitlements and does not grant, modify or extend one. Every write-capable interface — the assessment interface accepting a submitted response, and the content interface accepting a manuscript — admits its input through the ordinary ingestion path with the ordinary safety evaluation, and none accepts a Fact Unit directly.</w:t>
      </w:r>
    </w:p>
    <w:p>
      <w:pPr>
        <w:spacing w:after="120" w:line="288" w:lineRule="auto"/>
      </w:pPr>
      <w:r>
        <w:t xml:space="preserve">Each interface call is metered as a bounded compute-accounting unit assigned to a category and to the calling identity, and a call exceeding the budget configured for that identity is refused rather than served at degraded priority. Refusal is by budget, not by throttling, so that a caller cannot displace a safety-evaluation unit by volume.</w:t>
      </w:r>
    </w:p>
    <w:p>
      <w:pPr>
        <w:pStyle w:val="Heading2"/>
        <w:spacing w:after="100" w:before="220" w:line="288" w:lineRule="auto"/>
      </w:pPr>
      <w:r>
        <w:t xml:space="preserve">105.2 Plugin architecture</w:t>
      </w:r>
    </w:p>
    <w:p>
      <w:pPr>
        <w:spacing w:after="120" w:line="288" w:lineRule="auto"/>
      </w:pPr>
      <w:r>
        <w:t xml:space="preserve">A plugin is a third-party component registered against a declared capability set, on the same contract the Source Connector Registry already applies to an external system. A plugin declares the interfaces it consumes and the surface it contributes, and may perform only what it has declared.</w:t>
      </w:r>
    </w:p>
    <w:p>
      <w:pPr>
        <w:spacing w:after="120" w:line="288" w:lineRule="auto"/>
      </w:pPr>
      <w:r>
        <w:t xml:space="preserve">Three prohibitions are structural rather than configured. A plugin holds no direct access to the Fact Graph, the Provenance Ledger or the Conceptual Memory Layer, and reaches knowledge only through the interfaces of §105.1, within the scope description of the identity on whose behalf it runs. A plugin cannot register, modify or suspend a safety evaluation, and a plugin whose declared capability set includes any such operation is refused at registration. A plugin is not a valid target of, and cannot participate in, the improvement proposal mechanism, and the permanently-excluded subsystem set is not reachable by a plugin under any capability declaration.</w:t>
      </w:r>
    </w:p>
    <w:p>
      <w:pPr>
        <w:spacing w:after="120" w:line="288" w:lineRule="auto"/>
      </w:pPr>
      <w:r>
        <w:t xml:space="preserve">A plugin's output is presented in a region distinct from grounded output and labelled with the plugin's identity, and is not admitted to the Fact Graph. A plugin contributing a presentation surface does not thereby contribute an assertion: content originating from a plugin is not citable as grounding and is quarantined on the same terms as an analysis record.</w:t>
      </w:r>
    </w:p>
    <w:p>
      <w:pPr>
        <w:spacing w:after="120" w:line="288" w:lineRule="auto"/>
      </w:pPr>
      <w:r>
        <w:t xml:space="preserve">Activation requires approval by an identified human operator, recorded with that operator's identity and stated reasoning, and a plugin may be suspended by the same operator at any time. Suspension is immediate and does not require the plugin's cooperation.</w:t>
      </w:r>
    </w:p>
    <w:p>
      <w:pPr>
        <w:pStyle w:val="Heading2"/>
        <w:spacing w:after="100" w:before="220" w:line="288" w:lineRule="auto"/>
      </w:pPr>
      <w:r>
        <w:t xml:space="preserve">105.3 Interface versioning</w:t>
      </w:r>
    </w:p>
    <w:p>
      <w:pPr>
        <w:spacing w:after="120" w:line="288" w:lineRule="auto"/>
      </w:pPr>
      <w:r>
        <w:t xml:space="preserve">Each interface of §105.1 carries a version. A caller requests a version explicitly; a request omitting a version is refused rather than defaulted, so that a caller's behaviour cannot change because a default moved.</w:t>
      </w:r>
    </w:p>
    <w:p>
      <w:pPr>
        <w:spacing w:after="120" w:line="288" w:lineRule="auto"/>
      </w:pPr>
      <w:r>
        <w:t xml:space="preserve">A version is deprecated, never deleted. A deprecated version continues to serve for a configured support interval and returns a deprecation indication with each response; on expiry of that interval the version is retired and a request for it is refused with an indication naming the successor. A Fact Unit returned under one version remains valid: versioning governs the shape of a response, never the validity of a record, and no version change invalidates a citation issued under an earlier version.</w:t>
      </w:r>
    </w:p>
    <w:p>
      <w:pPr>
        <w:spacing w:after="120" w:line="288" w:lineRule="auto"/>
      </w:pPr>
      <w:r>
        <w:t xml:space="preserve">A version may narrow a response shape only by adding an optional field or by deprecating an existing one across a support interval. A change removing a field, changing a field's type, or changing the meaning of a value requires a new version, on the same reasoning that governs event type versioning: a caller conforming to a version must remain conforming for the life of that version.</w:t>
      </w:r>
    </w:p>
    <w:p>
      <w:pPr>
        <w:pStyle w:val="Heading2"/>
        <w:spacing w:after="100" w:before="220" w:line="288" w:lineRule="auto"/>
      </w:pPr>
      <w:r>
        <w:t xml:space="preserve">105.4 Collaborative reading</w:t>
      </w:r>
    </w:p>
    <w:p>
      <w:pPr>
        <w:spacing w:after="120" w:line="288" w:lineRule="auto"/>
      </w:pPr>
      <w:r>
        <w:t xml:space="preserve">Two or more readers occupy a shared session over a common work, each retaining their own identity, entitlement and reading position. The shared session presents a shared view, and the constraint governing it is the one that makes the feature safe: the shared view is the intersection of the participants' scope descriptions, not the union and not the scope of the participant who initiated the session.</w:t>
      </w:r>
    </w:p>
    <w:p>
      <w:pPr>
        <w:spacing w:after="120" w:line="288" w:lineRule="auto"/>
      </w:pPr>
      <w:r>
        <w:t xml:space="preserve">A record traversable by a first participant and not by a second is absent from the shared view entirely, and its absence is not reported to either participant, because reporting the existence of a withheld record would leak precisely what the scope description exists to protect. Where the intersection is empty the session yields no shared content and states that boundary. By way of example, a participant whose scope admits 340 records sharing a session with one whose scope admits 275 of those records yields a shared view of 275.</w:t>
      </w:r>
    </w:p>
    <w:p>
      <w:pPr>
        <w:spacing w:after="120" w:line="288" w:lineRule="auto"/>
      </w:pPr>
      <w:r>
        <w:t xml:space="preserve">An annotation authored in a shared session is a reader-authored record carrying the authoring participant's identity, and its visibility is governed by its own access control list, which the shared session does not widen. A participant's reading position, history and personal notes remain outside the shared view unless that participant explicitly contributes them.</w:t>
      </w:r>
    </w:p>
    <w:p>
      <w:pPr>
        <w:spacing w:after="120" w:line="288" w:lineRule="auto"/>
      </w:pPr>
      <w:r>
        <w:t xml:space="preserve">A query submitted in a shared session is resolved against the intersected scope and its response is delivered identically to every participant, so that no participant receives a citation to a record another participant cannot open.</w:t>
      </w:r>
    </w:p>
    <w:p>
      <w:pPr>
        <w:pStyle w:val="Heading2"/>
        <w:spacing w:after="100" w:before="220" w:line="288" w:lineRule="auto"/>
      </w:pPr>
      <w:r>
        <w:t xml:space="preserve">105.5 Augmented-reality overlay presentation</w:t>
      </w:r>
    </w:p>
    <w:p>
      <w:pPr>
        <w:spacing w:after="120" w:line="288" w:lineRule="auto"/>
      </w:pPr>
      <w:r>
        <w:t xml:space="preserve">An augmented-reality overlay anchors displayed content to a physical object identified in a live camera feed. It is a presentation surface only: the overlay displays Fact Units retrieved through the ordinary path with their citations, and no assertion is generated for display that would not be generated for a textual response. The vocabulary constraint applies unchanged.</w:t>
      </w:r>
    </w:p>
    <w:p>
      <w:pPr>
        <w:spacing w:after="120" w:line="288" w:lineRule="auto"/>
      </w:pPr>
      <w:r>
        <w:t xml:space="preserve">The camera feed is analysed under the constraints already governing sensor analysis. Classification results corresponding to a natural person or to an animal are excluded from the candidate set entirely and no overlay is anchored to one, at any confidence and in any configuration. Object classifications are session-scoped and are not retained beyond the session absent a separate explicit election.</w:t>
      </w:r>
    </w:p>
    <w:p>
      <w:pPr>
        <w:spacing w:after="120" w:line="288" w:lineRule="auto"/>
      </w:pPr>
      <w:r>
        <w:t xml:space="preserve">No gaze direction, dwell time, head pose or attention signal is captured, derived or retained, and no such signal is available to the commerce layer, to plugin components or to any analytics surface. This restates for augmented reality the restriction already placed on virtual-reality commerce presentation: extending the system to a new presentation surface does not create a new targeting signal.</w:t>
      </w:r>
    </w:p>
    <w:p>
      <w:pPr>
        <w:spacing w:after="120" w:line="288" w:lineRule="auto"/>
      </w:pPr>
      <w:r>
        <w:t xml:space="preserve">Where an object cannot be identified with sufficient confidence, no overlay is displayed and the boundary is stated. An overlay is never anchored speculatively to an unidentified object.</w:t>
      </w:r>
    </w:p>
    <w:p>
      <w:pPr>
        <w:pStyle w:val="Heading2"/>
        <w:spacing w:after="100" w:before="220" w:line="288" w:lineRule="auto"/>
      </w:pPr>
      <w:r>
        <w:t xml:space="preserve">105.6 Voice navigation</w:t>
      </w:r>
    </w:p>
    <w:p>
      <w:pPr>
        <w:spacing w:after="120" w:line="288" w:lineRule="auto"/>
      </w:pPr>
      <w:r>
        <w:t xml:space="preserve">Voice navigation accepts spoken input as command and query input, and is distinct from the consent-gated prosodic analysis specified elsewhere: navigation consumes the words, that analysis consumes the signal, and neither implies the other. Enabling navigation does not enable analysis, and a deployment may run either alone.</w:t>
      </w:r>
    </w:p>
    <w:p>
      <w:pPr>
        <w:spacing w:after="120" w:line="288" w:lineRule="auto"/>
      </w:pPr>
      <w:r>
        <w:t xml:space="preserve">Transcribed input is routed through the Language Command Router, which separates query intent from operational intent, so that a spoken instruction concerning how future answers should be phrased is applied as an instruction and a spoken question is answered as a question. Where intent classification does not clear its confidence threshold the system requests clarification rather than selecting an interpretation, because a misrouted spoken instruction is silently destructive in a way a misrouted typed one is not.</w:t>
      </w:r>
    </w:p>
    <w:p>
      <w:pPr>
        <w:spacing w:after="120" w:line="288" w:lineRule="auto"/>
      </w:pPr>
      <w:r>
        <w:t xml:space="preserve">Voice capture requires an explicit session-scoped consent, revocable at any time, and audio is discarded after transcription unless a separate explicit election retains it. No voiceprint, speaker embedding or biometric identifier is derived, stored or used for identification, and speaker identity is taken from the authenticated session rather than from the voice.</w:t>
      </w:r>
    </w:p>
    <w:p>
      <w:pPr>
        <w:spacing w:after="120" w:line="288" w:lineRule="auto"/>
      </w:pPr>
      <w:r>
        <w:t xml:space="preserve">A spoken instruction carrying a state-changing effect — erasure, a rights change, a purchase, a grant — requires a confirmation step through a second modality before it takes effect.</w:t>
      </w:r>
    </w:p>
    <w:p>
      <w:pPr>
        <w:pStyle w:val="Heading2"/>
        <w:spacing w:after="100" w:before="220" w:line="288" w:lineRule="auto"/>
      </w:pPr>
      <w:r>
        <w:t xml:space="preserve">105.7 Spoiler protection</w:t>
      </w:r>
    </w:p>
    <w:p>
      <w:pPr>
        <w:spacing w:after="120" w:line="288" w:lineRule="auto"/>
      </w:pPr>
      <w:r>
        <w:t xml:space="preserve">A reader's position in a work is recorded as a progress marker. A Fact Unit extracted from the work carries the narrative position at which its content is disclosed, derived from its location in the work's structure.</w:t>
      </w:r>
    </w:p>
    <w:p>
      <w:pPr>
        <w:spacing w:after="120" w:line="288" w:lineRule="auto"/>
      </w:pPr>
      <w:r>
        <w:t xml:space="preserve">Where spoiler protection is active for a reader, the scope description constructed for that reader's query over that work is bounded by the reader's progress marker: a Fact Unit whose narrative position exceeds the marker is not traversable. Enforcement is therefore at scope construction and not by masking a rendered answer, which matters because a masked answer still discloses that something exists, how long it is, and where it sits.</w:t>
      </w:r>
    </w:p>
    <w:p>
      <w:pPr>
        <w:spacing w:after="120" w:line="288" w:lineRule="auto"/>
      </w:pPr>
      <w:r>
        <w:t xml:space="preserve">By way of example, a Fact Unit disclosed at chapter 14 is traversable for a reader whose marker stands at chapter 22 and is not traversable for a reader whose marker stands at chapter 9. Where a query cannot be answered within the bounded scope, the system states that the answer lies beyond the reader's current position — which discloses the existence of a boundary, not its content — and offers to proceed on an explicit election by the reader.</w:t>
      </w:r>
    </w:p>
    <w:p>
      <w:pPr>
        <w:spacing w:after="120" w:line="288" w:lineRule="auto"/>
      </w:pPr>
      <w:r>
        <w:t xml:space="preserve">Spoiler protection is a reader election, defaulting according to a setting the work's author may configure, and is never applied to an instructor, researcher or author acting in their own capacity over their own work. Progress markers are reader-held records subject to the ordinary retention and erasure operations.</w:t>
      </w:r>
    </w:p>
    <w:p>
      <w:pPr>
        <w:pStyle w:val="Heading2"/>
        <w:spacing w:after="100" w:before="220" w:line="288" w:lineRule="auto"/>
      </w:pPr>
      <w:r>
        <w:t xml:space="preserve">105.8 Learner progress tracking</w:t>
      </w:r>
    </w:p>
    <w:p>
      <w:pPr>
        <w:spacing w:after="120" w:line="288" w:lineRule="auto"/>
      </w:pPr>
      <w:r>
        <w:t xml:space="preserve">A learner's engagement with a work is recorded as progress records comprising position reached, assessment items attempted, responses submitted and outcomes scored against the Fact Units from which the items were generated. A mastery measure over a stated objective is the proportion of items attributable to that objective answered correctly, against a configured threshold; by way of example, seventeen of twenty against a threshold of 0.8 meets the objective.</w:t>
      </w:r>
    </w:p>
    <w:p>
      <w:pPr>
        <w:spacing w:after="120" w:line="288" w:lineRule="auto"/>
      </w:pPr>
      <w:r>
        <w:t xml:space="preserve">Three constraints govern the records. Instructor visibility is grant-scoped: an instructor sees the progress of learners within a class grant they hold, for the interval of that grant, and grant expiry removes visibility without further action. Progress records are learner-held for retention purposes and are subject to the erasure operations at session, work and account scope on the ordinary terms.</w:t>
      </w:r>
    </w:p>
    <w:p>
      <w:pPr>
        <w:spacing w:after="120" w:line="288" w:lineRule="auto"/>
      </w:pPr>
      <w:r>
        <w:t xml:space="preserve">The third constraint is the substantive one. A progress record states what a learner did and how it was scored. No inference of aptitude, likelihood of future performance or comparative ranking against other learners is generated or stored, and a progress record is not admissible as the subject of the calibration mechanism, whose subject class is restricted to institutions and organisational processes. Measuring how predictably a course produces an outcome is available; producing a predictive score attached to a learner is not.</w:t>
      </w:r>
    </w:p>
    <w:p>
      <w:pPr>
        <w:pStyle w:val="Heading2"/>
        <w:spacing w:after="100" w:before="220" w:line="288" w:lineRule="auto"/>
      </w:pPr>
      <w:r>
        <w:t xml:space="preserve">105.9 Learning management system integration</w:t>
      </w:r>
    </w:p>
    <w:p>
      <w:pPr>
        <w:spacing w:after="120" w:line="288" w:lineRule="auto"/>
      </w:pPr>
      <w:r>
        <w:t xml:space="preserve">A learning management system is connected as an external system through the Source Connector Registry under a declared capability set, and no operation is performed that is not within a declared capability. Typical capabilities are roster read, assignment read, grade write and single-sign-on assertion; a connector declaring roster read alone cannot write a grade.</w:t>
      </w:r>
    </w:p>
    <w:p>
      <w:pPr>
        <w:spacing w:after="120" w:line="288" w:lineRule="auto"/>
      </w:pPr>
      <w:r>
        <w:t xml:space="preserve">A roster read establishes class membership and thereby the scope of an instructor grant; it does not itself confer entitlement to a work, which remains governed by the licence and entitlement mechanism. A learner appearing on a roster without an entitlement receives the response for absent entitlement, not the content.</w:t>
      </w:r>
    </w:p>
    <w:p>
      <w:pPr>
        <w:spacing w:after="120" w:line="288" w:lineRule="auto"/>
      </w:pPr>
      <w:r>
        <w:t xml:space="preserve">A grade write transmits an outcome computed within the system and no underlying Fact Unit, response text or reading history, so that integration does not become an export path for content or for a learner's record. Every transmission is recorded in the Provenance Ledger with the connector identity, the capability exercised and the fields transmitted.</w:t>
      </w:r>
    </w:p>
    <w:p>
      <w:pPr>
        <w:spacing w:after="120" w:line="288" w:lineRule="auto"/>
      </w:pPr>
      <w:r>
        <w:t xml:space="preserve">Where the external system's terms or the operator's configuration do not permit a capability, the connector is registered without it and the corresponding operation is refused at the boundary rather than attempted and failed.</w:t>
      </w:r>
    </w:p>
    <w:p>
      <w:pPr>
        <w:pStyle w:val="Heading2"/>
        <w:spacing w:after="100" w:before="220" w:line="288" w:lineRule="auto"/>
      </w:pPr>
      <w:r>
        <w:t xml:space="preserve">105.10 Multi-edition print layout</w:t>
      </w:r>
    </w:p>
    <w:p>
      <w:pPr>
        <w:spacing w:after="120" w:line="288" w:lineRule="auto"/>
      </w:pPr>
      <w:r>
        <w:t xml:space="preserve">A print layout engine composes a work into a paginated, print-ready form for a specified edition. Editions differing in audience level, language, annotation density or accessibility treatment are composed from the same underlying Fact Units through the ordinary regeneration path, so an edition is a rendering of the work rather than a separate copy of it.</w:t>
      </w:r>
    </w:p>
    <w:p>
      <w:pPr>
        <w:spacing w:after="120" w:line="288" w:lineRule="auto"/>
      </w:pPr>
      <w:r>
        <w:t xml:space="preserve">Composition is rights-aware and the rights check precedes composition rather than gating the export at the end: an edition whose rights validation does not permit print reproduction in the requested territory, for the requested quantity or within the requested interval, is not composed. A composed layout carries a reference to the rights validation that permitted it, so a print run is traceable to the authority under which it was produced.</w:t>
      </w:r>
    </w:p>
    <w:p>
      <w:pPr>
        <w:spacing w:after="120" w:line="288" w:lineRule="auto"/>
      </w:pPr>
      <w:r>
        <w:t xml:space="preserve">A wording-operative span is reproduced verbatim in print in its source language, with any regenerated gloss carrying its non-operative marking in the printed form as it does on screen. Accessible-equivalent editions are composed at the same production stage as the edition they accompany, and a production lacking one is reported incomplete.</w:t>
      </w:r>
    </w:p>
    <w:p>
      <w:pPr>
        <w:spacing w:after="120" w:line="288" w:lineRule="auto"/>
      </w:pPr>
      <w:r>
        <w:t xml:space="preserve">Pagination, hyphenation and line breaking are deterministic for a given edition, layout specification and content state, so that two composition runs over an unchanged work produce identical output and a reported page reference remains valid.</w:t>
      </w:r>
    </w:p>
    <w:p>
      <w:pPr>
        <w:pStyle w:val="Heading2"/>
        <w:spacing w:after="100" w:before="220" w:line="288" w:lineRule="auto"/>
      </w:pPr>
      <w:r>
        <w:t xml:space="preserve">105.11 Certification</w:t>
      </w:r>
    </w:p>
    <w:p>
      <w:pPr>
        <w:spacing w:after="120" w:line="288" w:lineRule="auto"/>
      </w:pPr>
      <w:r>
        <w:t xml:space="preserve">A certification is a credential issued to an identified learner on satisfaction of a stated requirement, comprising assessment outcomes against stated objectives and any completion criteria the issuer configures. Issuance requires both that the measured outcome meet the configured threshold and that the learner's identity be established to the standard the issuer configures; neither alone suffices.</w:t>
      </w:r>
    </w:p>
    <w:p>
      <w:pPr>
        <w:spacing w:after="120" w:line="288" w:lineRule="auto"/>
      </w:pPr>
      <w:r>
        <w:t xml:space="preserve">A credential is a record carrying its own provenance: the objectives assessed, the items presented, the Fact Units from which those items were generated, the thresholds applied and the issuing identity. A credential is verifiable against that record by a third party to whom the holder presents it, and verification reports whether the credential was issued and remains unrevoked, without disclosing the holder's underlying responses.</w:t>
      </w:r>
    </w:p>
    <w:p>
      <w:pPr>
        <w:spacing w:after="120" w:line="288" w:lineRule="auto"/>
      </w:pPr>
      <w:r>
        <w:t xml:space="preserve">A credential attests to a measured outcome against stated objectives and to nothing further. No credential asserts an aptitude, a competence beyond the objectives assessed, or a prediction of future performance. A credential may be revoked by its issuer, and revocation is recorded rather than effected by deletion, so that a previously-verified credential's history remains auditable.</w:t>
      </w:r>
    </w:p>
    <w:p>
      <w:pPr>
        <w:pStyle w:val="Heading2"/>
        <w:spacing w:after="100" w:before="220" w:line="288" w:lineRule="auto"/>
      </w:pPr>
      <w:r>
        <w:t xml:space="preserve">105.12 The rights and licensing portal</w:t>
      </w:r>
    </w:p>
    <w:p>
      <w:pPr>
        <w:spacing w:after="120" w:line="288" w:lineRule="auto"/>
      </w:pPr>
      <w:r>
        <w:t xml:space="preserve">A portal surface exposes the licence and entitlement mechanism to the roles that administer it, under the existing role model and its time-scoped grants. What a role may do at the portal is what that role may do through any other surface: the portal renders capability, it does not confer it.</w:t>
      </w:r>
    </w:p>
    <w:p>
      <w:pPr>
        <w:spacing w:after="120" w:line="288" w:lineRule="auto"/>
      </w:pPr>
      <w:r>
        <w:t xml:space="preserve">A rights holder views the licences granted over their works, the entitlements outstanding under each, and the audit record of grants, exercises and revocations. An operator administers organisational licences, seat counts and entitlement assignment within the scope their role permits. A grantee views the grants held over them read-only, on the same terms as the existing instructor grant visibility surface, and holds no capability to create or modify a grant from that view.</w:t>
      </w:r>
    </w:p>
    <w:p>
      <w:pPr>
        <w:spacing w:after="120" w:line="288" w:lineRule="auto"/>
      </w:pPr>
      <w:r>
        <w:t xml:space="preserve">Every action taken through the portal is recorded in the Provenance Ledger with the acting identity, the action and its stated reason, and a revocation takes effect at the query execution layer, so an entitlement withdrawn is unavailable at the next query rather than at the next session.</w:t>
      </w:r>
    </w:p>
    <w:p>
      <w:pPr>
        <w:pStyle w:val="Heading1"/>
        <w:spacing w:after="120" w:before="280" w:line="288" w:lineRule="auto"/>
      </w:pPr>
      <w:r>
        <w:t xml:space="preserve">Chapter 107</w:t>
      </w:r>
    </w:p>
    <w:p>
      <w:pPr>
        <w:pStyle w:val="Heading2"/>
        <w:spacing w:after="100" w:before="220" w:line="288" w:lineRule="auto"/>
      </w:pPr>
      <w:r>
        <w:t xml:space="preserve">107.1 Deployment topologies</w:t>
      </w:r>
    </w:p>
    <w:p>
      <w:pPr>
        <w:spacing w:after="120" w:line="288" w:lineRule="auto"/>
      </w:pPr>
      <w:r>
        <w:t xml:space="preserve">Chapter 90 specifies cloud, local and single-device modes. Two further topologies are specified here, and the property common to all five is stated first: the domain partition of Chapter 106 is invariant across topology. A topology determines where a domain executes, never which domain owns a decision, so a guarantee established by a transfer-matrix denial holds identically in every deployment.</w:t>
      </w:r>
    </w:p>
    <w:p>
      <w:pPr>
        <w:spacing w:after="120" w:line="288" w:lineRule="auto"/>
      </w:pPr>
      <w:r>
        <w:t xml:space="preserve">An edge node's cache is a copy, not a branch: it is invalidated by supersession of any record it holds, on the same dependency relation that invalidates a pre-computed answer. A node unable to verify currency escalates rather than serving, so a stale edge answers nothing rather than answering wrongly.</w:t>
      </w:r>
    </w:p>
    <w:p>
      <w:pPr>
        <w:pStyle w:val="Heading2"/>
        <w:spacing w:after="100" w:before="220" w:line="288" w:lineRule="auto"/>
      </w:pPr>
      <w:r>
        <w:t xml:space="preserve">107.2 Module replacement</w:t>
      </w:r>
    </w:p>
    <w:p>
      <w:pPr>
        <w:spacing w:after="120" w:line="288" w:lineRule="auto"/>
      </w:pPr>
      <w:r>
        <w:t xml:space="preserve">A domain's implementation may be replaced without altering any other domain, provided the replacement satisfies the interface contract and the transfer-matrix permissions of the domain it replaces. This is a stronger statement than modularity: what is guaranteed is not that the system is composed of parts, but that a part may be exchanged with the guarantees intact.</w:t>
      </w:r>
    </w:p>
    <w:p>
      <w:pPr>
        <w:spacing w:after="120" w:line="288" w:lineRule="auto"/>
      </w:pPr>
      <w:r>
        <w:t xml:space="preserve">Three conditions govern a replacement. It must implement every interface the replaced domain exposed, at the versions still within their support interval, since a caller conforming to a version must remain conforming. It must satisfy every transfer-matrix entry in which the replaced domain appeared, as source or as target. And it must be admitted through the improvement-proposal mechanism with a named human approval, because a domain replacement is a change to the system and no change to the system is self-approving.</w:t>
      </w:r>
    </w:p>
    <w:p>
      <w:pPr>
        <w:spacing w:after="120" w:line="288" w:lineRule="auto"/>
      </w:pPr>
      <w:r>
        <w:t xml:space="preserve">Domain 0 is not replaceable. It is a member of the permanently-excluded subsystem set, and a proposal to replace it is refused for the same reason a proposal to amend it is refused.</w:t>
      </w:r>
    </w:p>
    <w:p>
      <w:pPr>
        <w:pStyle w:val="Heading2"/>
        <w:spacing w:after="100" w:before="220" w:line="288" w:lineRule="auto"/>
      </w:pPr>
      <w:r>
        <w:t xml:space="preserve">107.3 Media and immersion interfaces</w:t>
      </w:r>
    </w:p>
    <w:p>
      <w:pPr>
        <w:spacing w:after="120" w:line="288" w:lineRule="auto"/>
      </w:pPr>
      <w:r>
        <w:t xml:space="preserve">Two interfaces are added to the seven of §105.1, subject without exception to the constraints stated there: each resolves a scope description before traversal, no parameter widens one, and each is an operation layer carrying its own safety evaluation gate.</w:t>
      </w:r>
    </w:p>
    <w:p>
      <w:pPr>
        <w:spacing w:after="120" w:line="288" w:lineRule="auto"/>
      </w:pPr>
      <w:r>
        <w:t xml:space="preserve">The media interface accepts a request for a transformation of a media asset — semantic compression to a summary, semantic expansion to an elaboration, colorization, resolution enhancement — and returns the transformed asset with the provenance of the transformation. A transformation is deterministic for a given asset, parameter set and content state, and an inferred value in a restoration is traceable to the knowledge record from which it was inferred, on the terms already specified. A summary returned by the media interface is composed under the generation vocabulary constraint like any other output, and is not a free rewriting of source text.</w:t>
      </w:r>
    </w:p>
    <w:p>
      <w:pPr>
        <w:spacing w:after="120" w:line="288" w:lineRule="auto"/>
      </w:pPr>
      <w:r>
        <w:t xml:space="preserve">The immersion interface returns a scene description assembled from knowledge records carrying spatial detail, together with the assets the scene references. It withholds a scene where the spatial detail does not satisfy the sufficiency threshold, rather than supplying absent geometry. It captures no gaze, dwell, head-pose or attention signal, and exposes none, in either the immersive or the augmented presentation mode.</w:t>
      </w:r>
    </w:p>
    <w:p>
      <w:pPr>
        <w:pStyle w:val="Heading2"/>
        <w:spacing w:after="100" w:before="220" w:line="288" w:lineRule="auto"/>
      </w:pPr>
      <w:r>
        <w:t xml:space="preserve">107.4 Parallel multilingual presentation</w:t>
      </w:r>
    </w:p>
    <w:p>
      <w:pPr>
        <w:spacing w:after="120" w:line="288" w:lineRule="auto"/>
      </w:pPr>
      <w:r>
        <w:t xml:space="preserve">Two or more language realizations of one work are presented simultaneously in aligned form, the alignment being by knowledge record rather than by page, paragraph or sentence position. Each realization is generated from the same records through the ordinary regeneration path, so the alignment is a property of shared provenance and not of a maintained correspondence table that can drift.</w:t>
      </w:r>
    </w:p>
    <w:p>
      <w:pPr>
        <w:spacing w:after="120" w:line="288" w:lineRule="auto"/>
      </w:pPr>
      <w:r>
        <w:t xml:space="preserve">A record realized in two languages carries one identifier and one semantic fingerprint, so a citation taken in either realization resolves to the same record and a reader's position in one realization maps to the other exactly. Where a record has no realization in one of the selected languages, the gap is shown as a gap rather than filled from the other realization, and a wording-operative span is reproduced in its source language in every realization with its non-operative gloss rendered in each target language.</w:t>
      </w:r>
    </w:p>
    <w:p>
      <w:pPr>
        <w:pStyle w:val="Heading2"/>
        <w:spacing w:after="100" w:before="220" w:line="288" w:lineRule="auto"/>
      </w:pPr>
      <w:r>
        <w:t xml:space="preserve">107.5 Cryptographic key custody and ledger signing</w:t>
      </w:r>
    </w:p>
    <w:p>
      <w:pPr>
        <w:spacing w:after="120" w:line="288" w:lineRule="auto"/>
      </w:pPr>
      <w:r>
        <w:t xml:space="preserve">An encryption key is scoped to a tenant or to a deployment, and a key of one tenant decrypts no content of another. Key material is held in a hardware security module or an equivalent custody boundary where the deployment configures one, in which case the system holds a handle rather than the key and every use is a call across that boundary rather than a read of key material.</w:t>
      </w:r>
    </w:p>
    <w:p>
      <w:pPr>
        <w:spacing w:after="120" w:line="288" w:lineRule="auto"/>
      </w:pPr>
      <w:r>
        <w:t xml:space="preserve">This does not alter the two custody rules already specified and does not weaken them. Where zero-knowledge encryption is elected for a reader's history, the operator holds no key under any configuration, and a hardware module does not create one. Where a message channel is classified as not associated with a minor context, the system holds no decryption key under any configuration, and the same applies.</w:t>
      </w:r>
    </w:p>
    <w:p>
      <w:pPr>
        <w:spacing w:after="120" w:line="288" w:lineRule="auto"/>
      </w:pPr>
      <w:r>
        <w:t xml:space="preserve">Each provenance chain node is signed under a key of the deployment in addition to carrying its keyed checksum, so that the chain is verifiable by a party holding the corresponding public key without access to the system that produced it. Verification establishes that a recorded operation and its recorded safety evaluation are as written; it establishes nothing about the correctness of the operation, and the specification records that distinction so an audit is not read as more than it is.</w:t>
      </w:r>
    </w:p>
    <w:p>
      <w:pPr>
        <w:pStyle w:val="Heading2"/>
        <w:spacing w:after="100" w:before="220" w:line="288" w:lineRule="auto"/>
      </w:pPr>
      <w:r>
        <w:t xml:space="preserve">107.6 On naming the substrate</w:t>
      </w:r>
    </w:p>
    <w:p>
      <w:pPr>
        <w:spacing w:after="120" w:line="288" w:lineRule="auto"/>
      </w:pPr>
      <w:r>
        <w:t xml:space="preserve">The submitted specification proposed describing the substrate as a cognitive mesh in which concept-units behave like neurons and links behave like synaptic pathways, and describing the output as neuromorphic language. Neither is adopted, for two reasons that are worth recording because the proposal will recur.</w:t>
      </w:r>
    </w:p>
    <w:p>
      <w:pPr>
        <w:spacing w:after="120" w:line="288" w:lineRule="auto"/>
      </w:pPr>
      <w:r>
        <w:t xml:space="preserve">First, this specification already names the machinery. The Ontology Mesh is the concept structure; the Fact Graph is the record structure; the World Aware System Model is the hypergraph; the Neuromorphic Cognitive Layer is the convergence layer; hyperedge attention weights constituents. Introducing a further term covering the same mechanisms would place two names on one thing, which in a specification supporting a patent application is a definiteness hazard under 35 U.S.C. § 112(b) and in an engineering document is a source of drift.</w:t>
      </w:r>
    </w:p>
    <w:p>
      <w:pPr>
        <w:spacing w:after="120" w:line="288" w:lineRule="auto"/>
      </w:pPr>
      <w:r>
        <w:t xml:space="preserve">Second, the description overstates the correspondence in the direction this specification has consistently avoided. A concept node does not behave like a neuron: it is a record with provenance, a confidence value and an access control list, and its weights update by a stated Hebbian rule rather than by gradient descent. Chapter 101's methodology requires that a neuroscience correspondence be verified against a primary publication, extracted as a deterministic principle, and named — not asserted as a resemblance. The correspondences this system does claim were established that way; a general claim that the substrate is neuron-like was not.</w:t>
      </w:r>
    </w:p>
    <w:p>
      <w:pPr>
        <w:spacing w:after="120" w:line="288" w:lineRule="auto"/>
      </w:pPr>
      <w:r>
        <w:t xml:space="preserve">The accurate description is available and is narrower: a native hypergraph of provenance-carrying records, traversed deterministically, with retrieval stabilized by convergence dynamics whose operating point is held on the ordered side of a known phase boundary. That statement is defensible against an examiner and against a reader who checks it.</w:t>
      </w:r>
    </w:p>
    <w:p>
      <w:pPr>
        <w:pStyle w:val="Heading2"/>
        <w:spacing w:after="100" w:before="220" w:line="288" w:lineRule="auto"/>
      </w:pPr>
      <w:r>
        <w:t xml:space="preserve">107.7 Substrate independence</w:t>
      </w:r>
    </w:p>
    <w:p>
      <w:pPr>
        <w:spacing w:after="120" w:line="288" w:lineRule="auto"/>
      </w:pPr>
      <w:r>
        <w:t xml:space="preserve">The system's substrate is native and complete. Every mechanism this specification describes — record construction, provenance, ontology, retrieval, stabilization, inference, generation — is performed by components specified herein, and no external fact-representation, fact-query or cognitive-substrate system is required for any of them.</w:t>
      </w:r>
    </w:p>
    <w:p>
      <w:pPr>
        <w:spacing w:after="120" w:line="288" w:lineRule="auto"/>
      </w:pPr>
      <w:r>
        <w:t xml:space="preserve">A separately-owned external fact-retrieval resource may be connected, as one connector among others, under the capability-declaration contract governing every external system. Where such a connector is registered, a query may be directed to it and a returned result is converted into a native knowledge record at the connector boundary, subject to the same ingestion path, safety evaluation and confidence calibration as any other admitted content. Where no such connector is registered, every mechanism in this specification operates identically. The connector is an option; it is not a dependency, a substrate, or a component.</w:t>
      </w:r>
    </w:p>
    <w:p>
      <w:pPr>
        <w:spacing w:after="120" w:line="288" w:lineRule="auto"/>
      </w:pPr>
      <w:r>
        <w:t xml:space="preserve">Three properties make that statement structural rather than aspirational, and each is verifiable against this document. No claim of this specification recites an external fact-query system as an element. No transfer-matrix entry permits a domain to require an external resource in order to complete an operation; the external integration domain's failure is contained to its own capability, which is precisely the sense in which a connector is optional. And the deterministic guarantee — that the same query over the same records returns the same answer — is established by the constrained-vocabulary generation and the bounded-capacity stabilization specified herein, not by any property of an external system.</w:t>
      </w:r>
    </w:p>
    <w:p>
      <w:pPr>
        <w:spacing w:after="120" w:line="288" w:lineRule="auto"/>
      </w:pPr>
      <w:r>
        <w:t xml:space="preserve">A description of this system that attributes its determinism, its groundedness or its substrate to an external fact-query technology is therefore inaccurate, and §86.3's correction of earlier mischaracterizations applies to it on the same terms.</w:t>
      </w:r>
    </w:p>
    <w:p>
      <w:pPr>
        <w:pStyle w:val="Heading1"/>
        <w:spacing w:after="120" w:before="280" w:line="288" w:lineRule="auto"/>
      </w:pPr>
      <w:r>
        <w:t xml:space="preserve">Chapter 41 — addition</w:t>
      </w:r>
    </w:p>
    <w:p>
      <w:pPr>
        <w:pStyle w:val="Heading2"/>
        <w:spacing w:after="100" w:before="220" w:line="288" w:lineRule="auto"/>
      </w:pPr>
      <w:r>
        <w:t xml:space="preserve">41.6.5.1 The gap</w:t>
      </w:r>
    </w:p>
    <w:p>
      <w:pPr>
        <w:spacing w:after="120" w:line="288" w:lineRule="auto"/>
      </w:pPr>
      <w:r>
        <w:t xml:space="preserve">Under §41.6.2 each bearing record increments a parameter by the weight of its observing source. The parameters therefore accumulate evidential weight and discard the identity of what supplied it. Two records may each stand at α = 20 with one resting entirely on repeated readings of a single edition and the other on readings across two editions, a translation, an image and a video, and nothing in the record distinguishes them.</w:t>
      </w:r>
    </w:p>
    <w:p>
      <w:pPr>
        <w:spacing w:after="120" w:line="288" w:lineRule="auto"/>
      </w:pPr>
      <w:r>
        <w:t xml:space="preserve">The distinction is not cosmetic. Repeated observation of one source measures the consistency of that source; observation across independent sources measures the assertion. A systematic error in a single edition produces twenty mutually-agreeing confirmations and no evidence at all about the world, and a confidence value that cannot see the difference will report high confidence for both.</w:t>
      </w:r>
    </w:p>
    <w:p>
      <w:pPr>
        <w:pStyle w:val="Heading2"/>
        <w:spacing w:after="100" w:before="220" w:line="288" w:lineRule="auto"/>
      </w:pPr>
      <w:r>
        <w:t xml:space="preserve">41.6.5.2 Source classes and the diversity measure</w:t>
      </w:r>
    </w:p>
    <w:p>
      <w:pPr>
        <w:spacing w:after="120" w:line="288" w:lineRule="auto"/>
      </w:pPr>
      <w:r>
        <w:t xml:space="preserve">Each contribution to a parameter is attributed to a source class. The classes are registered against the Ontology Mesh on the same terms as any other governed vocabulary, and by way of example comprise a distinct work, a distinct edition of a work, a distinct language realization, a distinct modality, a distinct sensor, a distinct external connector and an author-supplemental submission. A contribution not attributable to a registered class is attributed to an unclassified class and is not treated as diverse.</w:t>
      </w:r>
    </w:p>
    <w:p>
      <w:pPr>
        <w:spacing w:after="120" w:line="288" w:lineRule="auto"/>
      </w:pPr>
      <w:r>
        <w:t xml:space="preserve">Diversity is measured as the effective number of contributing classes, computed as the reciprocal of the concentration of contributed weight across them.</w:t>
      </w:r>
    </w:p>
    <w:p>
      <w:pPr>
        <w:spacing w:after="120" w:line="288" w:lineRule="auto"/>
      </w:pPr>
      <w:r>
        <w:rPr>
          <w:rFonts w:ascii="Consolas" w:hAnsi="Consolas" w:cs="Consolas"/>
          <w:sz w:val="19"/>
        </w:rPr>
        <w:t xml:space="preserve">D  =  1 / Σ_i ( w_i / Σ_j w_j )²</w:t>
      </w:r>
    </w:p>
    <w:p>
      <w:pPr>
        <w:spacing w:after="120" w:line="288" w:lineRule="auto"/>
      </w:pPr>
      <w:r>
        <w:t xml:space="preserve">where w_i is the weight contributed by class i. The measure is one where all weight falls in a single class, approaches the number of classes where weight is evenly spread, and is unaffected by the total. It is therefore orthogonal to the parameters themselves: α states how much evidence there is, D states across how many independent kinds.</w:t>
      </w:r>
    </w:p>
    <w:p>
      <w:pPr>
        <w:spacing w:after="120" w:line="288" w:lineRule="auto"/>
      </w:pPr>
      <w:r>
        <w:t xml:space="preserve">Both records report a confidence of 0.9000 at α = 20, β = 2 and carry an identical credible interval, and until this section they were indistinguishable. They are now distinguishable by a value computed from data the system already had and was discarding.</w:t>
      </w:r>
    </w:p>
    <w:p>
      <w:pPr>
        <w:pStyle w:val="Heading2"/>
        <w:spacing w:after="100" w:before="220" w:line="288" w:lineRule="auto"/>
      </w:pPr>
      <w:r>
        <w:t xml:space="preserve">41.6.5.3 Where the measure is used</w:t>
      </w:r>
    </w:p>
    <w:p>
      <w:pPr>
        <w:pStyle w:val="Heading2"/>
        <w:spacing w:after="100" w:before="220" w:line="288" w:lineRule="auto"/>
      </w:pPr>
      <w:r>
        <w:t xml:space="preserve">41.6.5.4 Relation to intersensory redundancy</w:t>
      </w:r>
    </w:p>
    <w:p>
      <w:pPr>
        <w:spacing w:after="120" w:line="288" w:lineRule="auto"/>
      </w:pPr>
      <w:r>
        <w:t xml:space="preserve">§55.2.2 already elevates the confidence of a property confirmed across two or more modalities within a common temporal window. That rule is the modality-restricted case of this one: modality is one source class among several, and temporal synchrony is the condition under which two modal observations count as independent rather than as one event observed twice.</w:t>
      </w:r>
    </w:p>
    <w:p>
      <w:pPr>
        <w:spacing w:after="120" w:line="288" w:lineRule="auto"/>
      </w:pPr>
      <w:r>
        <w:t xml:space="preserve">This section generalizes the rule and does not replace it. Where the contributing classes are modalities and the synchrony condition is satisfied, §55.2.2 governs the magnitude of the elevation, and D records the diversity for the consumers at §41.6.5.3. Where the classes are editions, languages or connectors, no synchrony condition applies, because two editions are independent by construction rather than by timing.</w:t>
      </w:r>
    </w:p>
    <w:p>
      <w:pPr>
        <w:pStyle w:val="Heading2"/>
        <w:spacing w:after="100" w:before="220" w:line="288" w:lineRule="auto"/>
      </w:pPr>
      <w:r>
        <w:t xml:space="preserve">41.6.5.5 What is not adopted from the submission</w:t>
      </w:r>
    </w:p>
    <w:p>
      <w:pPr>
        <w:pStyle w:val="Heading2"/>
        <w:spacing w:after="100" w:before="220" w:line="288" w:lineRule="auto"/>
      </w:pPr>
      <w:r>
        <w:t xml:space="preserve">41.6.5.6 Schema amendment</w:t>
      </w:r>
    </w:p>
    <w:p>
      <w:pPr>
        <w:spacing w:after="120" w:line="288" w:lineRule="auto"/>
      </w:pPr>
      <w:r>
        <w:t xml:space="preserve">The Fact Unit schema is amended in one respect. The confidence field, already specified as a first parameter accumulating supporting evidence and a second accumulating contradicting evidence, additionally records the attribution of contributed weight across registered source classes, from which the diversity measure of §41.6.5.2 is computed. No other field is added, altered or removed, and a record created before this amendment remains valid with its contributions attributed to a single unclassified class.</w:t>
      </w:r>
    </w:p>
    <w:p>
      <w:pPr>
        <w:spacing w:after="120" w:line="288" w:lineRule="auto"/>
      </w:pPr>
      <w:r>
        <w:t xml:space="preserve">The expression evaluates the diversity of a record whose twenty units of supporting weight arrive as 8.0 from a first edition, 4.0 from a second, 4.0 from a translation, 2.0 from an image and 2.0 from a video, returning an effective 3.8462 source classes. The same twenty units arriving entirely from one edition return 1.0000.</w:t>
      </w:r>
    </w:p>
    <w:p>
      <w:pPr>
        <w:pStyle w:val="Heading1"/>
        <w:spacing w:after="120" w:before="280" w:line="288" w:lineRule="auto"/>
      </w:pPr>
      <w:r>
        <w:t xml:space="preserve">Chapter 108</w:t>
      </w:r>
    </w:p>
    <w:p>
      <w:pPr>
        <w:pStyle w:val="Heading2"/>
        <w:spacing w:after="100" w:before="220" w:line="288" w:lineRule="auto"/>
      </w:pPr>
      <w:r>
        <w:t xml:space="preserve">108.1 The three modes and the writing rule</w:t>
      </w:r>
    </w:p>
    <w:p>
      <w:pPr>
        <w:spacing w:after="120" w:line="288" w:lineRule="auto"/>
      </w:pPr>
      <w:r>
        <w:t xml:space="preserve">Three modes of inference operate in this system. They differ in what follows from their output, and the difference is enforced rather than described.</w:t>
      </w:r>
    </w:p>
    <w:p>
      <w:pPr>
        <w:spacing w:after="120" w:line="288" w:lineRule="auto"/>
      </w:pPr>
      <w:r>
        <w:t xml:space="preserve">The rule is this: deduction may write to the knowledge store; induction and abduction may not. A conclusion that follows necessarily from admitted records adds nothing that was not already entailed by them, and admitting it changes no epistemic standing. A conclusion that is merely well-supported is a new assertion, however strong its support, and a system that admitted it automatically would be generating content its sources did not state — which is the failure the constrained-vocabulary generation exists to make unreachable.</w:t>
      </w:r>
    </w:p>
    <w:p>
      <w:pPr>
        <w:spacing w:after="120" w:line="288" w:lineRule="auto"/>
      </w:pPr>
      <w:r>
        <w:t xml:space="preserve">The rule is enforced by type and status rather than by convention. A deductively-derived record carries a derived-inference type identifying the entailment that produced it. An inductively-derived proposal carries a status field set to a proposed state, and no automated process is configured to transition that field to a validated state; the transition requires confirmation by an identified human reviewer, recorded with that reviewer's identity.</w:t>
      </w:r>
    </w:p>
    <w:p>
      <w:pPr>
        <w:pStyle w:val="Heading2"/>
        <w:spacing w:after="100" w:before="220" w:line="288" w:lineRule="auto"/>
      </w:pPr>
      <w:r>
        <w:t xml:space="preserve">108.2 The deductive layer</w:t>
      </w:r>
    </w:p>
    <w:p>
      <w:pPr>
        <w:spacing w:after="120" w:line="288" w:lineRule="auto"/>
      </w:pPr>
      <w:r>
        <w:t xml:space="preserve">Concepts are related by subsumption edges in a poly-hierarchical structure, and a subordinate acquires a superordinate's attribute by inheritance transitively along a bounded chain. The inference is the classical syllogistic form and is admitted as such.</w:t>
      </w:r>
    </w:p>
    <w:p>
      <w:pPr>
        <w:spacing w:after="120" w:line="288" w:lineRule="auto"/>
      </w:pPr>
      <w:r>
        <w:t xml:space="preserve">Two departures from classical syllogistic are specified and are worth naming because they are not incidental. Inheritance is defeasible: a subordinate asserting an attribute that conflicts with one it would inherit suppresses the inherited value for itself and its subordinates while leaving the superordinate unmodified. Classical syllogistic is monotonic and cannot express this. And where two conflicting attributes are inherited at identical depth, the system performs no resolution at all: the conflict is recorded in the contradiction index and both values are reported with their originating concepts, because an arbitrary tie-break would produce an answer that is reproducible without being grounded.</w:t>
      </w:r>
    </w:p>
    <w:p>
      <w:pPr>
        <w:pStyle w:val="Heading2"/>
        <w:spacing w:after="100" w:before="220" w:line="288" w:lineRule="auto"/>
      </w:pPr>
      <w:r>
        <w:t xml:space="preserve">108.3 The inductive layer</w:t>
      </w:r>
    </w:p>
    <w:p>
      <w:pPr>
        <w:spacing w:after="120" w:line="288" w:lineRule="auto"/>
      </w:pPr>
      <w:r>
        <w:t xml:space="preserve">The inductive layer is the evidence-integration layer of the system. It does not decide what is true; it decides how firmly something is held, and what would need to be observed to hold it more firmly or less.</w:t>
      </w:r>
    </w:p>
    <w:p>
      <w:pPr>
        <w:spacing w:after="120" w:line="288" w:lineRule="auto"/>
      </w:pPr>
      <w:r>
        <w:t xml:space="preserve">Negative instances are retained deliberately and this is the layer's least obvious property. A contradiction whose precision is too low to revise the concept model is withheld from revision and recorded, so that a pattern of individually-insignificant contradictions against one attribute remains queryable. A contradiction between two active rules over a common record creates an entry in a persistent index rather than a transient warning. In an inductive system the negative instance is the more informative one, and discarding it because it is individually weak would lose exactly the signal that accumulates.</w:t>
      </w:r>
    </w:p>
    <w:p>
      <w:pPr>
        <w:pStyle w:val="Heading2"/>
        <w:spacing w:after="100" w:before="220" w:line="288" w:lineRule="auto"/>
      </w:pPr>
      <w:r>
        <w:t xml:space="preserve">108.4 Where the inductive layer does not operate</w:t>
      </w:r>
    </w:p>
    <w:p>
      <w:pPr>
        <w:spacing w:after="120" w:line="288" w:lineRule="auto"/>
      </w:pPr>
      <w:r>
        <w:t xml:space="preserve">Four operations are commonly described as inductive validation and are not. Recording the distinction prevents a weaker guarantee being claimed where a stronger one exists.</w:t>
      </w:r>
    </w:p>
    <w:p>
      <w:pPr>
        <w:pStyle w:val="Heading2"/>
        <w:spacing w:after="100" w:before="220" w:line="288" w:lineRule="auto"/>
      </w:pPr>
      <w:r>
        <w:t xml:space="preserve">108.5 The abductive layer</w:t>
      </w:r>
    </w:p>
    <w:p>
      <w:pPr>
        <w:spacing w:after="120" w:line="288" w:lineRule="auto"/>
      </w:pPr>
      <w:r>
        <w:t xml:space="preserve">A candidate explanation for an observation is ranked by the product of the likelihood of the observation under that explanation and a prior over the explanation, computed across the causal structure of the knowledge records. Abduction is the mode that proposes what would account for something; it is neither entailment nor accumulation, and it sits on the same gate as induction.</w:t>
      </w:r>
    </w:p>
    <w:p>
      <w:pPr>
        <w:pStyle w:val="Heading2"/>
        <w:spacing w:after="100" w:before="220" w:line="288" w:lineRule="auto"/>
      </w:pPr>
      <w:r>
        <w:t xml:space="preserve">108.6 Correspondence, stated narrowly</w:t>
      </w:r>
    </w:p>
    <w:p>
      <w:pPr>
        <w:spacing w:after="120" w:line="288" w:lineRule="auto"/>
      </w:pPr>
      <w:r>
        <w:t xml:space="preserve">The deductive layer corresponds to categorical syllogistic reasoning as formalized by Aristotle, departing from it in the two respects at §108.2. The inductive layer corresponds to the eliminative-inductive method described by Bacon: evidence tabulated for and against a proposition, corroboration weighted by independence, and the negative instance treated as more informative than the positive. The abductive layer corresponds to inference to the best explanation as formalized by Peirce.</w:t>
      </w:r>
    </w:p>
    <w:p>
      <w:pPr>
        <w:spacing w:after="120" w:line="288" w:lineRule="auto"/>
      </w:pPr>
      <w:r>
        <w:t xml:space="preserve">These correspondences are named for precision, not for authority. No mechanism in this chapter is justified by the correspondence, and none of the three names appears in a claim. What is claimed is the operation and the rule that governs what may follow from it. A correspondence explains why a mechanism is well-founded; the mechanism is what an implementation must satisfy.</w:t>
      </w:r>
    </w:p>
    <w:p>
      <w:pPr>
        <w:pStyle w:val="Heading1"/>
        <w:spacing w:after="120" w:before="280" w:line="288" w:lineRule="auto"/>
      </w:pPr>
      <w:r>
        <w:t xml:space="preserve">Chapter 109</w:t>
      </w:r>
    </w:p>
    <w:p>
      <w:pPr>
        <w:pStyle w:val="Heading2"/>
        <w:spacing w:after="100" w:before="220" w:line="288" w:lineRule="auto"/>
      </w:pPr>
      <w:r>
        <w:t xml:space="preserve">109.1 What an interpretive layer is, and the boundary it may not cross</w:t>
      </w:r>
    </w:p>
    <w:p>
      <w:pPr>
        <w:spacing w:after="120" w:line="288" w:lineRule="auto"/>
      </w:pPr>
      <w:r>
        <w:t xml:space="preserve">An interpretive layer is a modulation applied to an already-admissible result. It selects among, orders, formats and expresses material that the retrieval and access mechanisms have already made available. It is not a store, it holds no knowledge records of its own, and it participates in no admission decision.</w:t>
      </w:r>
    </w:p>
    <w:p>
      <w:pPr>
        <w:spacing w:after="120" w:line="288" w:lineRule="auto"/>
      </w:pPr>
      <w:r>
        <w:t xml:space="preserve">The boundary is stated once and governs every layer in this chapter. An interpretive layer may not widen or narrow a scope description; may not admit a knowledge record that the Slice Resolver excluded, nor exclude one it admitted; may not alter a confidence value; may not extend the permissible generation vocabulary; and may not cause a proposition untraceable to an admitted record to become expressible. A modulation that would do any of these is refused, and the refusal is recorded.</w:t>
      </w:r>
    </w:p>
    <w:p>
      <w:pPr>
        <w:spacing w:after="120" w:line="288" w:lineRule="auto"/>
      </w:pPr>
      <w:r>
        <w:t xml:space="preserve">The consequence is that the interpretive layer cannot become a route around the guarantees. Two requesters whose scope descriptions admit the same records receive answers grounded in the same records however differently the layers modulate their expression, and a requester whose scope excludes a record receives nothing about it under any interpretive configuration. What varies is emphasis, ordering, vocabulary, format and medium. What does not vary is what is true and what is available.</w:t>
      </w:r>
    </w:p>
    <w:p>
      <w:pPr>
        <w:spacing w:after="120" w:line="288" w:lineRule="auto"/>
      </w:pPr>
      <w:r>
        <w:t xml:space="preserve">Every layer below is session-scoped working state. Interpretive signals are discarded at session end and are never persisted as knowledge records, on the same terms the Natural Language Interaction Layer already applies to its session context: working state, not evidence about the world, kept out of the Fact Graph.</w:t>
      </w:r>
    </w:p>
    <w:p>
      <w:pPr>
        <w:pStyle w:val="Heading2"/>
        <w:spacing w:after="100" w:before="220" w:line="288" w:lineRule="auto"/>
      </w:pPr>
      <w:r>
        <w:t xml:space="preserve">109.2 The Context Layer</w:t>
      </w:r>
    </w:p>
    <w:p>
      <w:pPr>
        <w:spacing w:after="120" w:line="288" w:lineRule="auto"/>
      </w:pPr>
      <w:r>
        <w:t xml:space="preserve">Context determines the circumstances under which a query or reading event occurs: device class and its input and display characteristics, network condition including an offline state, session type such as study, reading, authoring or teaching, and the environment record of Chapter 104 where one is referenced.</w:t>
      </w:r>
    </w:p>
    <w:p>
      <w:pPr>
        <w:spacing w:after="120" w:line="288" w:lineRule="auto"/>
      </w:pPr>
      <w:r>
        <w:t xml:space="preserve">Its outputs are an edition selection among editions the requester is already entitled to, a media transformation among those the media interface offers, a layout adaptation, and a query-interpretation hint such as a temporal or edition scoping the requester has not stated explicitly. Where a context signal would select an edition the requester is not entitled to, the selection falls back to an entitled edition and the fallback is disclosed rather than silently substituted.</w:t>
      </w:r>
    </w:p>
    <w:p>
      <w:pPr>
        <w:spacing w:after="120" w:line="288" w:lineRule="auto"/>
      </w:pPr>
      <w:r>
        <w:t xml:space="preserve">Rights enforcement is not an output of this layer. The submitted specification lists allowed-versus-suppressed content as a context output; in this architecture that determination belongs to the Slice Resolver and to rights validation, which run before any interpretive layer is applied. Context may request; only the access mechanisms may permit.</w:t>
      </w:r>
    </w:p>
    <w:p>
      <w:pPr>
        <w:pStyle w:val="Heading2"/>
        <w:spacing w:after="100" w:before="220" w:line="288" w:lineRule="auto"/>
      </w:pPr>
      <w:r>
        <w:t xml:space="preserve">109.3 The Perspective Layer</w:t>
      </w:r>
    </w:p>
    <w:p>
      <w:pPr>
        <w:spacing w:after="120" w:line="288" w:lineRule="auto"/>
      </w:pPr>
      <w:r>
        <w:t xml:space="preserve">Perspective determines the role in which a requester is acting — reader, author, instructor, student, researcher, publisher, operator — and modulates presentation accordingly: which relationships among the retrieved records are surfaced first, how an explanation is framed, and which secondary surfaces are offered.</w:t>
      </w:r>
    </w:p>
    <w:p>
      <w:pPr>
        <w:spacing w:after="120" w:line="288" w:lineRule="auto"/>
      </w:pPr>
      <w:r>
        <w:t xml:space="preserve">The submitted specification's example is exact and is adopted: a student sees learning pathways, an author revision pathways, a publisher rights pathways, over the same underlying records. What differs is which relationships are surfaced and in what order, not which records exist.</w:t>
      </w:r>
    </w:p>
    <w:p>
      <w:pPr>
        <w:spacing w:after="120" w:line="288" w:lineRule="auto"/>
      </w:pPr>
      <w:r>
        <w:t xml:space="preserve">A role determines a scope description through the access mechanism and separately determines a perspective through this layer, and the two are distinct. Where a requester holds several roles, the perspective applied is the one the requester elects for the session, and electing a perspective grants no capability: a reader electing an instructor perspective sees an instructor's framing of the records their own entitlement admits, and no record beyond it.</w:t>
      </w:r>
    </w:p>
    <w:p>
      <w:pPr>
        <w:pStyle w:val="Heading2"/>
        <w:spacing w:after="100" w:before="220" w:line="288" w:lineRule="auto"/>
      </w:pPr>
      <w:r>
        <w:t xml:space="preserve">109.4 The Ergonomic Layer</w:t>
      </w:r>
    </w:p>
    <w:p>
      <w:pPr>
        <w:spacing w:after="120" w:line="288" w:lineRule="auto"/>
      </w:pPr>
      <w:r>
        <w:t xml:space="preserve">Ergonomics modulates for human comfort and cognitive load: reading pace, interaction pattern, display and input characteristics, accessibility settings, and the ergonomic preference signals the Semantic Parsing Engine already detects during session analysis. Its outputs are compression or expansion of an explanation, reflowed layout, contrast and legibility treatments, and emphasis on the records most central to the answer.</w:t>
      </w:r>
    </w:p>
    <w:p>
      <w:pPr>
        <w:spacing w:after="120" w:line="288" w:lineRule="auto"/>
      </w:pPr>
      <w:r>
        <w:t xml:space="preserve">One rule governs the layer and is carried forward unchanged from §50.4: a stated preference always takes precedence over an inferred ergonomic signal. A requester who has stated a reading level, a density or an accessibility setting receives it, and no inference displaces it. An inferred signal applies only where no stated preference covers the same dimension.</w:t>
      </w:r>
    </w:p>
    <w:p>
      <w:pPr>
        <w:spacing w:after="120" w:line="288" w:lineRule="auto"/>
      </w:pPr>
      <w:r>
        <w:t xml:space="preserve">Two constraints follow from the boundary at §109.1. Compression is a selection among admissible records and a shortening of their expression; it never summarises beyond what the records support, and a compressed answer remains subject to the vocabulary constraint. And an inferred cognitive-load signal modulates presentation only: it produces no record about the requester, is not retained beyond the session, and is not available to any other layer, to the commerce mechanism or to any external interface.</w:t>
      </w:r>
    </w:p>
    <w:p>
      <w:pPr>
        <w:pStyle w:val="Heading2"/>
        <w:spacing w:after="100" w:before="220" w:line="288" w:lineRule="auto"/>
      </w:pPr>
      <w:r>
        <w:t xml:space="preserve">109.5 The Cultural Layer</w:t>
      </w:r>
    </w:p>
    <w:p>
      <w:pPr>
        <w:spacing w:after="120" w:line="288" w:lineRule="auto"/>
      </w:pPr>
      <w:r>
        <w:t xml:space="preserve">The cultural layer modulates for regional and cultural alignment: locale, regional convention, idiom, and the localized examples and region-specific annotations an author or operator has supplied. Its outputs are idiomatic realization under the existing registered-equivalence rule, selection among localized examples where several exist, and territory-aware edition selection among entitled editions.</w:t>
      </w:r>
    </w:p>
    <w:p>
      <w:pPr>
        <w:spacing w:after="120" w:line="288" w:lineRule="auto"/>
      </w:pPr>
      <w:r>
        <w:t xml:space="preserve">A cultural profile is declared, never inferred. A profile is set by the requester, by an operator for a deployment, or by a locale the requester has explicitly selected; it is not derived from a name, a network address, a language of query, a device locale or any behavioural signal. The reason is stated because it is the point on which this layer would otherwise fail: inferring a person's cultural background from incidental signals produces a classification of that person which the system has no warrant to make and no mechanism to correct, and a declared profile is both more accurate and revocable by the person it describes.</w:t>
      </w:r>
    </w:p>
    <w:p>
      <w:pPr>
        <w:spacing w:after="120" w:line="288" w:lineRule="auto"/>
      </w:pPr>
      <w:r>
        <w:t xml:space="preserve">Where no equivalent is registered for a locale, the layer renders plainly rather than substituting an unregistered equivalent, on the same terms the idiom mechanism already requires. Cultural modulation adjusts which of several admissible expressions is selected; it does not adjust what the records assert, and no cultural configuration causes an assertion to be expressed as other than what its records support.</w:t>
      </w:r>
    </w:p>
    <w:p>
      <w:pPr>
        <w:pStyle w:val="Heading2"/>
        <w:spacing w:after="100" w:before="220" w:line="288" w:lineRule="auto"/>
      </w:pPr>
      <w:r>
        <w:t xml:space="preserve">109.6 The Social Layer</w:t>
      </w:r>
    </w:p>
    <w:p>
      <w:pPr>
        <w:spacing w:after="120" w:line="288" w:lineRule="auto"/>
      </w:pPr>
      <w:r>
        <w:t xml:space="preserve">The social layer modulates for group settings: a class session, a shared reading session, a collaborative authoring session, an instructor-guided walkthrough. Its outputs are group-aligned pacing, shared position and shared annotation surfaces, and register and formality appropriate to the setting.</w:t>
      </w:r>
    </w:p>
    <w:p>
      <w:pPr>
        <w:spacing w:after="120" w:line="288" w:lineRule="auto"/>
      </w:pPr>
      <w:r>
        <w:t xml:space="preserve">Its governing constraint is the one already specified for shared sessions and is restated because it is what makes group modulation safe: the shared view is the intersection of the participants' scope descriptions, and social modulation operates within that intersection. Aligning a group's pacing, surfacing a shared annotation or synchronising a position never surfaces to one participant a record another participant's entitlement excludes, and the absence of such a record is not disclosed.</w:t>
      </w:r>
    </w:p>
    <w:p>
      <w:pPr>
        <w:spacing w:after="120" w:line="288" w:lineRule="auto"/>
      </w:pPr>
      <w:r>
        <w:t xml:space="preserve">A social annotation is a reader-authored knowledge record carrying its author's identity and its own access control list, which the social layer does not widen. Formality and tone are modulations of expression; no social configuration alters an assertion, and a group setting confers no entitlement on its participants individually or collectively.</w:t>
      </w:r>
    </w:p>
    <w:p>
      <w:pPr>
        <w:pStyle w:val="Heading2"/>
        <w:spacing w:after="100" w:before="220" w:line="288" w:lineRule="auto"/>
      </w:pPr>
      <w:r>
        <w:t xml:space="preserve">109.7 Composition and precedence</w:t>
      </w:r>
    </w:p>
    <w:p>
      <w:pPr>
        <w:spacing w:after="120" w:line="288" w:lineRule="auto"/>
      </w:pPr>
      <w:r>
        <w:t xml:space="preserve">The five layers compose in a fixed order over a result the access and retrieval mechanisms have already produced. Composition is deterministic: the same result under the same interpretive configuration yields the same modulated output on every execution.</w:t>
      </w:r>
    </w:p>
    <w:p>
      <w:pPr>
        <w:spacing w:after="120" w:line="288" w:lineRule="auto"/>
      </w:pPr>
      <w:r>
        <w:t xml:space="preserve">Two precedence rules resolve conflict between layers. A stated preference of any kind overrides an inferred signal of any kind, at whichever stage each arises. And where two layers would modulate the same dimension incompatibly, the later stage governs for form and the earlier for substance, so that a social register setting yields to an accessibility requirement on legibility but not on tone.</w:t>
      </w:r>
    </w:p>
    <w:p>
      <w:pPr>
        <w:pStyle w:val="Heading2"/>
        <w:spacing w:after="100" w:before="220" w:line="288" w:lineRule="auto"/>
      </w:pPr>
      <w:r>
        <w:t xml:space="preserve">109.8 Interpretive interfaces</w:t>
      </w:r>
    </w:p>
    <w:p>
      <w:pPr>
        <w:spacing w:after="120" w:line="288" w:lineRule="auto"/>
      </w:pPr>
      <w:r>
        <w:t xml:space="preserve">Each layer exposes an interface through which an external system may supply a configuration and read the configuration in effect, on the terms already governing the public interface layer: each resolves a scope description before any traversal, no parameter widens one, and each carries its own safety evaluation gate.</w:t>
      </w:r>
    </w:p>
    <w:p>
      <w:pPr>
        <w:spacing w:after="120" w:line="288" w:lineRule="auto"/>
      </w:pPr>
      <w:r>
        <w:t xml:space="preserve">An interpretive interface accepts a configuration and returns a modulated result. It cannot be used to retrieve a record, to alter a confidence value or to widen a scope, and a configuration that would require any of those is refused at the interface with the reason recorded. The configuration in effect for a response is recorded with that response, so that a modulated answer is reproducible from its recorded configuration.</w:t>
      </w:r>
    </w:p>
    <w:p>
      <w:pPr>
        <w:pStyle w:val="Heading2"/>
        <w:spacing w:after="100" w:before="220" w:line="288" w:lineRule="auto"/>
      </w:pPr>
      <w:r>
        <w:t xml:space="preserve">109.9 Not adopted</w:t>
      </w:r>
    </w:p>
    <w:p>
      <w:pPr>
        <w:spacing w:after="120" w:line="288" w:lineRule="auto"/>
      </w:pPr>
      <w:r>
        <w:t xml:space="preserve">Row 194 evaluates the shared-view bound: a group session between requesters whose scopes admit 340 and 275 records modulates within the 275 both admit. Row 195 evaluates the precedence of the governance review against the first interpretive stage.</w:t>
      </w:r>
    </w:p>
    <w:p>
      <w:pPr>
        <w:pStyle w:val="Heading1"/>
        <w:spacing w:after="120" w:before="280" w:line="288" w:lineRule="auto"/>
      </w:pPr>
      <w:r>
        <w:t xml:space="preserve">Chapter 110</w:t>
      </w:r>
    </w:p>
    <w:p>
      <w:pPr>
        <w:pStyle w:val="Heading2"/>
        <w:spacing w:after="100" w:before="220" w:line="288" w:lineRule="auto"/>
      </w:pPr>
      <w:r>
        <w:t xml:space="preserve">110.1 The delivered answer as an action</w:t>
      </w:r>
    </w:p>
    <w:p>
      <w:pPr>
        <w:spacing w:after="120" w:line="288" w:lineRule="auto"/>
      </w:pPr>
      <w:r>
        <w:t xml:space="preserve">A delivered response is an action taken by the system on the strength of its records. It carries, in the provenance chain, the query, the scope description resolved for it, the knowledge records cited, the confidence values those records held at delivery, and the interpretive configuration under which it was expressed. A response record is therefore already a complete statement of what the system asserted and on what basis, and this chapter adds no field to it.</w:t>
      </w:r>
    </w:p>
    <w:p>
      <w:pPr>
        <w:spacing w:after="120" w:line="288" w:lineRule="auto"/>
      </w:pPr>
      <w:r>
        <w:t xml:space="preserve">What the specification lacked is a subsequent observation bearing on that action. An answer may be acted upon, contradicted by a later event, corrected by a reader who knows better, or simply left alone; until now none of those returned to the system in any form, so the system's own accuracy was unmeasured except retrospectively over historical corpora.</w:t>
      </w:r>
    </w:p>
    <w:p>
      <w:pPr>
        <w:pStyle w:val="Heading2"/>
        <w:spacing w:after="100" w:before="220" w:line="288" w:lineRule="auto"/>
      </w:pPr>
      <w:r>
        <w:t xml:space="preserve">110.2 Feedback as an attributed observation, never as ground truth</w:t>
      </w:r>
    </w:p>
    <w:p>
      <w:pPr>
        <w:spacing w:after="120" w:line="288" w:lineRule="auto"/>
      </w:pPr>
      <w:r>
        <w:t xml:space="preserve">Feedback on a delivered response is admitted as a knowledge record on the ordinary terms and on no others. It carries the reporting identity as its attributed source, a source reliability for that identity, a reference to the response record it concerns, and where the report bears on a specific cited record, a reference to that record. It passes the safety evaluation gate, receives a confidence calibration, and enters the Fact Graph through the same extraction path as any other content.</w:t>
      </w:r>
    </w:p>
    <w:p>
      <w:pPr>
        <w:spacing w:after="120" w:line="288" w:lineRule="auto"/>
      </w:pPr>
      <w:r>
        <w:t xml:space="preserve">The consequence is the rule that keeps this mechanism safe: feedback is evidence, not correction. A report that a cited record is wrong increments that record's contradicting parameter by the reporting source's weight; it does not set the record's confidence, does not supersede the record, and does not remove it from the graph. A record at α = 18, β = 2 reporting 0.9000 moves to 0.8633 on a report from a source of reliability 0.85, and to 0.8759 on one of reliability 0.55. Ten independent reports move it substantially; one moves it slightly; and the arithmetic that produces that behaviour is the arithmetic already specified at §41.6.2.</w:t>
      </w:r>
    </w:p>
    <w:p>
      <w:pPr>
        <w:spacing w:after="120" w:line="288" w:lineRule="auto"/>
      </w:pPr>
      <w:r>
        <w:t xml:space="preserve">A reporting identity is a source class for the purpose of the diversity measure, so ten reports from one identity do not carry the weight of ten reports from ten. Feedback from an identity with authority over the content — the author of the work, an instructor over a class corpus — carries the source reliability that identity already holds and no additional authority conferred by this chapter.</w:t>
      </w:r>
    </w:p>
    <w:p>
      <w:pPr>
        <w:spacing w:after="120" w:line="288" w:lineRule="auto"/>
      </w:pPr>
      <w:r>
        <w:t xml:space="preserve">A feedback record is never admitted as a grounding source for an answer about the subject matter it concerns. It is admissible as evidence bearing on a record's confidence and as an object of analysis; it is not a statement about the world that the system may cite. Where a reader asserts a fact the system does not hold, the assertion is retained as a reader-authored record under the existing access rules and is not thereby admitted to the work's corpus.</w:t>
      </w:r>
    </w:p>
    <w:p>
      <w:pPr>
        <w:pStyle w:val="Heading2"/>
        <w:spacing w:after="100" w:before="220" w:line="288" w:lineRule="auto"/>
      </w:pPr>
      <w:r>
        <w:t xml:space="preserve">110.3 Observed outcomes</w:t>
      </w:r>
    </w:p>
    <w:p>
      <w:pPr>
        <w:spacing w:after="120" w:line="288" w:lineRule="auto"/>
      </w:pPr>
      <w:r>
        <w:t xml:space="preserve">An outcome observation records what subsequently occurred in respect of a matter a response addressed. It is admitted on the same terms as feedback, and is distinguished from it in one respect: an outcome is an event in the world rather than a judgment about the response, and where an outcome record and a response record can be paired, the pairing supports measurement under §110.4.</w:t>
      </w:r>
    </w:p>
    <w:p>
      <w:pPr>
        <w:spacing w:after="120" w:line="288" w:lineRule="auto"/>
      </w:pPr>
      <w:r>
        <w:t xml:space="preserve">The subject-class restriction of Chapter 103 applies without exception. An outcome concerning an institution, an organisational process, a system or an aggregate group is admissible. An outcome whose subject resolves to an individual natural person is refused at construction, so that no per-individual predictive record accumulates from operational use, which is the failure mode a feedback mechanism of this kind is most likely to produce.</w:t>
      </w:r>
    </w:p>
    <w:p>
      <w:pPr>
        <w:pStyle w:val="Heading2"/>
        <w:spacing w:after="100" w:before="220" w:line="288" w:lineRule="auto"/>
      </w:pPr>
      <w:r>
        <w:t xml:space="preserve">110.4 Measurement</w:t>
      </w:r>
    </w:p>
    <w:p>
      <w:pPr>
        <w:spacing w:after="120" w:line="288" w:lineRule="auto"/>
      </w:pPr>
      <w:r>
        <w:t xml:space="preserve">Two measures are computed over paired responses and outcomes, and both are properly scoped: they measure the calibration of stated confidence, not the quality of an answer.</w:t>
      </w:r>
    </w:p>
    <w:p>
      <w:pPr>
        <w:spacing w:after="120" w:line="288" w:lineRule="auto"/>
      </w:pPr>
      <w:r>
        <w:t xml:space="preserve">The first is a mean squared error between the confidence stated at delivery and the realised outcome. Over five responses stated at 0.90, 0.85, 0.80, 0.75 and 0.70 with outcomes 1, 1, 0, 1 and 0, the measure is 0.2450.</w:t>
      </w:r>
    </w:p>
    <w:p>
      <w:pPr>
        <w:spacing w:after="120" w:line="288" w:lineRule="auto"/>
      </w:pPr>
      <w:r>
        <w:rPr>
          <w:rFonts w:ascii="Consolas" w:hAnsi="Consolas" w:cs="Consolas"/>
          <w:sz w:val="19"/>
        </w:rPr>
        <w:t xml:space="preserve">score = Σ ( cᵢ − oᵢ )² / n</w:t>
      </w:r>
    </w:p>
    <w:p>
      <w:pPr>
        <w:spacing w:after="120" w:line="288" w:lineRule="auto"/>
      </w:pPr>
      <w:r>
        <w:t xml:space="preserve">The second is a calibration gap by confidence band: the proportion of outcomes that occurred among responses stated within a band, against the mean confidence stated in that band. Five responses in the 0.80 to 0.95 band stating a mean of 0.8700 against an observed rate of 0.8000 yield a gap of −0.0700 — the system was overconfident in that band by seven percentage points. A gap whose magnitude reaches a configured tolerance raises a calibration finding.</w:t>
      </w:r>
    </w:p>
    <w:p>
      <w:pPr>
        <w:spacing w:after="120" w:line="288" w:lineRule="auto"/>
      </w:pPr>
      <w:r>
        <w:t xml:space="preserve">Both measures are computed per domain and per confidence band, because a system may be well calibrated in one domain and poorly in another, and an aggregate figure would conceal exactly the variation an operator needs. A finding of poor calibration in a domain is as reportable as a finding of good calibration, and the domains in which the system predicts badly are the operationally useful output: they identify where a confidence value should not be offered to a reader at the precision it currently claims.</w:t>
      </w:r>
    </w:p>
    <w:p>
      <w:pPr>
        <w:pStyle w:val="Heading2"/>
        <w:spacing w:after="100" w:before="220" w:line="288" w:lineRule="auto"/>
      </w:pPr>
      <w:r>
        <w:t xml:space="preserve">110.5 Adjustment, and the gate on it</w:t>
      </w:r>
    </w:p>
    <w:p>
      <w:pPr>
        <w:spacing w:after="120" w:line="288" w:lineRule="auto"/>
      </w:pPr>
      <w:r>
        <w:t xml:space="preserve">A calibration finding does not change the system. It is emitted as an improvement proposal under the existing governance mechanism, carrying the measured gap, the corpus over which it was measured, the domain and band it concerns, and the parameter it proposes to adjust — typically a retrieval confidence floor, a source reliability, or a confidence-band presentation threshold. The proposal takes effect only upon approval recorded against an identified human reviewer with that reviewer's stated reasoning.</w:t>
      </w:r>
    </w:p>
    <w:p>
      <w:pPr>
        <w:spacing w:after="120" w:line="288" w:lineRule="auto"/>
      </w:pPr>
      <w:r>
        <w:t xml:space="preserve">The reason for the gate is worth stating rather than assuming. A system that adjusted its own thresholds on observed feedback would drift continuously, and no one would have approved the drift; its behaviour at any moment would be a function of its accumulated interaction history rather than of a decision anyone made or could review. Feedback here is measured, reported and proposed. It is never applied automatically, and the parameters governing feedback measurement are themselves within the permanently-excluded set, so the mechanism cannot adjust the terms on which it is judged.</w:t>
      </w:r>
    </w:p>
    <w:p>
      <w:pPr>
        <w:spacing w:after="120" w:line="288" w:lineRule="auto"/>
      </w:pPr>
      <w:r>
        <w:t xml:space="preserve">Two further exclusions follow. No feedback signal reaches the permissible generation vocabulary: an answer does not become expressible because readers report wanting it. And no feedback signal reaches a scope description: a record does not become traversable because it was requested, nor cease to be because it was disliked.</w:t>
      </w:r>
    </w:p>
    <w:p>
      <w:pPr>
        <w:pStyle w:val="Heading2"/>
        <w:spacing w:after="100" w:before="220" w:line="288" w:lineRule="auto"/>
      </w:pPr>
      <w:r>
        <w:t xml:space="preserve">110.6 Retention and the requester's position</w:t>
      </w:r>
    </w:p>
    <w:p>
      <w:pPr>
        <w:spacing w:after="120" w:line="288" w:lineRule="auto"/>
      </w:pPr>
      <w:r>
        <w:t xml:space="preserve">A feedback record and an outcome record concerning an identifiable subject are retained under the ordinary retention policy and are subject to the erasure operations at session, work and account scope. A requester who erases their history erases their feedback with it, and the derived calibration statistic — an aggregate over a corpus, attributable to no individual — is retained, on the same division Chapter 103 already specifies.</w:t>
      </w:r>
    </w:p>
    <w:p>
      <w:pPr>
        <w:spacing w:after="120" w:line="288" w:lineRule="auto"/>
      </w:pPr>
      <w:r>
        <w:t xml:space="preserve">Submitting feedback is optional, and a response is delivered identically whether or not feedback has ever been submitted by anyone. The mechanism creates no obligation on a reader and no degradation for a reader who does not use it.</w:t>
      </w:r>
    </w:p>
    <w:p>
      <w:pPr>
        <w:spacing w:after="120" w:line="288" w:lineRule="auto"/>
      </w:pPr>
      <w:r>
        <w:t xml:space="preserve">Row 196 evaluates a record at α = 18, β = 2 receiving one contradicting report from a source of reliability 0.85, returning 0.8633 against a prior 0.9000. Row 198 returns 0.2450 over the five paired responses of §110.4. Row 199 evaluates a band gap of −0.0700 against a tolerance of 0.05 and raises the finding.</w:t>
      </w:r>
    </w:p>
    <w:p>
      <w:pPr>
        <w:spacing w:after="120" w:line="288" w:lineRule="auto"/>
      </w:pPr>
      <w:r>
        <w:t xml:space="preserve">The cycle now closes at both ends. Evidence arriving from ingestion moves belief through the parameters; evidence arriving from operation moves belief through the same parameters; and neither writes an assertion, because a report is admitted as an attributed observation and the arithmetic that consumes it is the arithmetic already specified. What the loop adjusts automatically is confidence. What it proposes, and never applies, is a change to the system.</w:t>
      </w:r>
    </w:p>
    <w:p>
      <w:pPr>
        <w:pStyle w:val="Heading1"/>
        <w:spacing w:after="120" w:before="280" w:line="288" w:lineRule="auto"/>
      </w:pPr>
      <w:r>
        <w:t xml:space="preserve">Chapter 111</w:t>
      </w:r>
    </w:p>
    <w:p>
      <w:pPr>
        <w:pStyle w:val="Heading2"/>
        <w:spacing w:after="100" w:before="220" w:line="288" w:lineRule="auto"/>
      </w:pPr>
      <w:r>
        <w:t xml:space="preserve">111.1 The expressive register</w:t>
      </w:r>
    </w:p>
    <w:p>
      <w:pPr>
        <w:spacing w:after="120" w:line="288" w:lineRule="auto"/>
      </w:pPr>
      <w:r>
        <w:t xml:space="preserve">An expressive register is a governed selection determining how an answer is voiced, distinct from the audience level that determines vocabulary and explanatory depth and from the discipline mode that determines domain convention. A response carries exactly one register, selected from a registered set and resolved before generation as part of the Generation Directive.</w:t>
      </w:r>
    </w:p>
    <w:p>
      <w:pPr>
        <w:spacing w:after="120" w:line="288" w:lineRule="auto"/>
      </w:pPr>
      <w:r>
        <w:t xml:space="preserve">A register not in the registered set is refused rather than approximated, on the same terms a free-text event category is refused. Registers are registered against the Ontology Mesh, versioned, and deprecated rather than deleted, so a response composed under a register remains interpretable after that register is superseded.</w:t>
      </w:r>
    </w:p>
    <w:p>
      <w:pPr>
        <w:spacing w:after="120" w:line="288" w:lineRule="auto"/>
      </w:pPr>
      <w:r>
        <w:t xml:space="preserve">The constraint that makes a register safe is stated once and governs the whole chapter. A register selects among expressions of what the admitted records support. It does not alter which records were admitted, does not alter a confidence value, and does not extend the permissible output vocabulary. In particular the authoritative register does not remove a hedge that a record's confidence requires, and the supportive register does not soften an assertion the records state plainly: a register governs voicing, and a confidence value governs what may be asserted.</w:t>
      </w:r>
    </w:p>
    <w:p>
      <w:pPr>
        <w:pStyle w:val="Heading2"/>
        <w:spacing w:after="100" w:before="220" w:line="288" w:lineRule="auto"/>
      </w:pPr>
      <w:r>
        <w:t xml:space="preserve">111.2 The affective register and how it is selected</w:t>
      </w:r>
    </w:p>
    <w:p>
      <w:pPr>
        <w:spacing w:after="120" w:line="288" w:lineRule="auto"/>
      </w:pPr>
      <w:r>
        <w:t xml:space="preserve">The supportive register is the system's affective capability, and its selection is constrained more tightly than any other. It is selected on one of three grounds: a requester states a preference for it; a requester operating under an accessibility or discipline configuration for which it is the configured default receives it; or a consented signal already specified elsewhere indicates it, namely the prosodic signal of the live voice capability, which requires an explicit session-scoped consent and is discarded at session end.</w:t>
      </w:r>
    </w:p>
    <w:p>
      <w:pPr>
        <w:spacing w:after="120" w:line="288" w:lineRule="auto"/>
      </w:pPr>
      <w:r>
        <w:t xml:space="preserve">It is not selected by inference from the text of a query. A requester's emotional state is not derived from their word choice, punctuation, query length, error rate, retry behaviour or interaction timing, and no record of an inferred emotional state is constructed. The reason is the one already given for cultural profiles at §109.5: inferring an affective state from incidental signals classifies a person on evidence that does not support it, produces a classification the person cannot see or correct, and is unnecessary because a stated preference produces the same modulation more accurately.</w:t>
      </w:r>
    </w:p>
    <w:p>
      <w:pPr>
        <w:spacing w:after="120" w:line="288" w:lineRule="auto"/>
      </w:pPr>
      <w:r>
        <w:t xml:space="preserve">Where the supportive register is in effect the response acknowledges the requester's stated position before delivering information, reduces density, and avoids imperative construction. It does not withhold an answer the records support, does not substitute reassurance for information, and does not alter a confidence value. A requester who has asked for support receives support in the voicing and the same facts.</w:t>
      </w:r>
    </w:p>
    <w:p>
      <w:pPr>
        <w:pStyle w:val="Heading2"/>
        <w:spacing w:after="100" w:before="220" w:line="288" w:lineRule="auto"/>
      </w:pPr>
      <w:r>
        <w:t xml:space="preserve">111.3 Media-integrated expression</w:t>
      </w:r>
    </w:p>
    <w:p>
      <w:pPr>
        <w:spacing w:after="120" w:line="288" w:lineRule="auto"/>
      </w:pPr>
      <w:r>
        <w:t xml:space="preserve">A grounded response may carry media assets within it rather than alongside it: an image, a diagram, a video segment, a rendered scene. The rule governing their inclusion is the rule already governing propositions, applied to assets.</w:t>
      </w:r>
    </w:p>
    <w:p>
      <w:pPr>
        <w:spacing w:after="120" w:line="288" w:lineRule="auto"/>
      </w:pPr>
      <w:r>
        <w:t xml:space="preserve">An asset is included only where it is referenced by a knowledge record of the stabilized set, and it is delivered with a citation resolving it to that record exactly as a proposition is. An asset that supports no admitted record is not included, however apt it appears, and an asset whose supporting record was excluded by the scope description is not included either. There is therefore no path by which a media asset conveys something the accompanying text could not have asserted.</w:t>
      </w:r>
    </w:p>
    <w:p>
      <w:pPr>
        <w:spacing w:after="120" w:line="288" w:lineRule="auto"/>
      </w:pPr>
      <w:r>
        <w:t xml:space="preserve">Where an asset has been transformed — colorized, resolution-enhanced, compressed — the transformation's provenance travels with it, so a reader receives the asset, the record it supports and the record from which an inferred value in the transformation was derived. An asset offered by an interpretive modulation for reasons of layout or ergonomics is subject to the same test: modulation may select among includable assets and may not make an asset includable.</w:t>
      </w:r>
    </w:p>
    <w:p>
      <w:pPr>
        <w:spacing w:after="120" w:line="288" w:lineRule="auto"/>
      </w:pPr>
      <w:r>
        <w:t xml:space="preserve">An accessible equivalent accompanies each included asset at the same production stage, and a response is reported incomplete where an included asset lacks one, on the terms already specified for accessible-equivalent generation.</w:t>
      </w:r>
    </w:p>
    <w:p>
      <w:pPr>
        <w:pStyle w:val="Heading2"/>
        <w:spacing w:after="100" w:before="220" w:line="288" w:lineRule="auto"/>
      </w:pPr>
      <w:r>
        <w:t xml:space="preserve">111.4 Composition with the interpretive layer</w:t>
      </w:r>
    </w:p>
    <w:p>
      <w:pPr>
        <w:spacing w:after="120" w:line="288" w:lineRule="auto"/>
      </w:pPr>
      <w:r>
        <w:t xml:space="preserve">Register selection resolves before generation, as an element of the Generation Directive, and is therefore upstream of the interpretive modulations of Chapter 109. The interpretive layers may narrow a register selection where a configuration requires it — an accessibility setting may require the plain register — and may not widen one: no interpretive configuration selects a register the requester's configuration does not permit.</w:t>
      </w:r>
    </w:p>
    <w:p>
      <w:pPr>
        <w:spacing w:after="120" w:line="288" w:lineRule="auto"/>
      </w:pPr>
      <w:r>
        <w:t xml:space="preserve">The precedence rule of §109.7 applies unchanged. A stated register preference overrides an inferred ergonomic signal bearing on the same dimension. Where an accessibility requirement and a stated register conflict on legibility, the accessibility requirement governs form; where they conflict on voicing alone, the stated preference governs.</w:t>
      </w:r>
    </w:p>
    <w:p>
      <w:pPr>
        <w:pStyle w:val="Heading2"/>
        <w:spacing w:after="100" w:before="220" w:line="288" w:lineRule="auto"/>
      </w:pPr>
      <w:r>
        <w:t xml:space="preserve">111.5 Not adopted</w:t>
      </w:r>
    </w:p>
    <w:p>
      <w:pPr>
        <w:pStyle w:val="Heading2"/>
        <w:spacing w:after="100" w:before="220" w:line="288" w:lineRule="auto"/>
      </w:pPr>
      <w:r>
        <w:t xml:space="preserve">111.6 On the comparative framing</w:t>
      </w:r>
    </w:p>
    <w:p>
      <w:pPr>
        <w:spacing w:after="120" w:line="288" w:lineRule="auto"/>
      </w:pPr>
      <w:r>
        <w:t xml:space="preserve">The submitted specification frames each layer against the capabilities of a named commercial system and states that certain layers permit this system to exceed it. That framing is not adopted into this specification, and the reason is practical rather than modest.</w:t>
      </w:r>
    </w:p>
    <w:p>
      <w:pPr>
        <w:spacing w:after="120" w:line="288" w:lineRule="auto"/>
      </w:pPr>
      <w:r>
        <w:t xml:space="preserve">A comparative performance claim is governed by the validation and benchmarking process of Chapter 77 and requires a measured comparison, defined on a stated benchmark, before it may be asserted anywhere. A specification that asserts it without measurement states something the applicant cannot support. In a patent application the exposure is greater still: a characterization of a competitor's capability adds no limitation an examiner can test, invites the examination that disproves it, and may create an admission narrowing the applicant's own claims.</w:t>
      </w:r>
    </w:p>
    <w:p>
      <w:pPr>
        <w:spacing w:after="120" w:line="288" w:lineRule="auto"/>
      </w:pPr>
      <w:r>
        <w:t xml:space="preserve">The defensible statement requires no comparison and is already made throughout this specification: output is composed from knowledge records under a vocabulary constrained at each generation step, such that a proposition not traceable to an admitted record is unreachable rather than improbable; the same query over the same records in the same state yields the same output; and every element of the answer resolves to a record and a source. Whether another system can do this is a question for a benchmark, not for a specification.</w:t>
      </w:r>
    </w:p>
    <w:p>
      <w:pPr>
        <w:pStyle w:val="Heading1"/>
        <w:spacing w:after="120" w:before="280" w:line="288" w:lineRule="auto"/>
      </w:pPr>
      <w:r>
        <w:t xml:space="preserve">Chapter 112</w:t>
      </w:r>
    </w:p>
    <w:p>
      <w:pPr>
        <w:pStyle w:val="Heading2"/>
        <w:spacing w:after="100" w:before="220" w:line="288" w:lineRule="auto"/>
      </w:pPr>
      <w:r>
        <w:t xml:space="preserve">112.1 Position in the pipeline</w:t>
      </w:r>
    </w:p>
    <w:p>
      <w:pPr>
        <w:spacing w:after="120" w:line="288" w:lineRule="auto"/>
      </w:pPr>
      <w:r>
        <w:t xml:space="preserve">Surface realization operates on a constructed Narrative Graph and produces the token sequence a reader receives. It runs after the graph is built and after the vocabulary constraint has determined what may be expressed, and before the interpretive modulations of Chapter 109 apply their formatting. It selects among ways of saying what the graph already licenses.</w:t>
      </w:r>
    </w:p>
    <w:p>
      <w:pPr>
        <w:spacing w:after="120" w:line="288" w:lineRule="auto"/>
      </w:pPr>
      <w:r>
        <w:t xml:space="preserve">Every operation in this chapter is subject to one constraint, stated once. A realization operation may combine, shorten, reorder or vary the expression of propositions the Narrative Graph carries. It may not introduce a proposition the graph does not carry, may not remove a qualification a confidence value requires, and may not produce a token sequence whose meaning differs from the propositions realized. Each operation below states how that constraint is enforced for it, because a general assurance is not enforcement.</w:t>
      </w:r>
    </w:p>
    <w:p>
      <w:pPr>
        <w:pStyle w:val="Heading2"/>
        <w:spacing w:after="100" w:before="220" w:line="288" w:lineRule="auto"/>
      </w:pPr>
      <w:r>
        <w:t xml:space="preserve">112.2 Aggregation</w:t>
      </w:r>
    </w:p>
    <w:p>
      <w:pPr>
        <w:spacing w:after="120" w:line="288" w:lineRule="auto"/>
      </w:pPr>
      <w:r>
        <w:t xml:space="preserve">Where two or more propositions of the Narrative Graph share a subject and are joined by an elaboration or conjunction edge, they are realized as one sentence with a coordinated predicate rather than as separate sentences. Aggregation applies up to a configured maximum of coordinated predicates, beyond which a further sentence begins, so that combination does not produce a sentence a reader must re-read.</w:t>
      </w:r>
    </w:p>
    <w:p>
      <w:pPr>
        <w:spacing w:after="120" w:line="288" w:lineRule="auto"/>
      </w:pPr>
      <w:r>
        <w:t xml:space="preserve">Aggregation is refused where the propositions carry differing confidence values that would require differing qualifications, because a coordinated predicate would attach one qualification to all of them. Two propositions at 0.95 and 0.62 are realized separately so that the second carries its own hedge; two at comparable confidence are combined. This is the enforcement of the constraint at §112.1 for this operation: aggregation may not silently promote a weakly-supported proposition by coordinating it with a well-supported one.</w:t>
      </w:r>
    </w:p>
    <w:p>
      <w:pPr>
        <w:spacing w:after="120" w:line="288" w:lineRule="auto"/>
      </w:pPr>
      <w:r>
        <w:t xml:space="preserve">Each proposition retains its own citation after aggregation. A combined sentence carries the citations of every proposition realized within it, so combination does not reduce traceability, and a reader can resolve any clause of a coordinated sentence to the record that supports it.</w:t>
      </w:r>
    </w:p>
    <w:p>
      <w:pPr>
        <w:pStyle w:val="Heading2"/>
        <w:spacing w:after="100" w:before="220" w:line="288" w:lineRule="auto"/>
      </w:pPr>
      <w:r>
        <w:t xml:space="preserve">112.3 Referring expressions</w:t>
      </w:r>
    </w:p>
    <w:p>
      <w:pPr>
        <w:spacing w:after="120" w:line="288" w:lineRule="auto"/>
      </w:pPr>
      <w:r>
        <w:t xml:space="preserve">An entity is realized in full form at its first mention within a discourse unit and in reduced form thereafter — a pronoun, a definite description, or a shortened name registered for that entity. Full form is restored where an intervening mention of another entity of the same type would render the reduced form ambiguous, and at the start of a new discourse unit.</w:t>
      </w:r>
    </w:p>
    <w:p>
      <w:pPr>
        <w:spacing w:after="120" w:line="288" w:lineRule="auto"/>
      </w:pPr>
      <w:r>
        <w:t xml:space="preserve">Ambiguity is decided by the entity's type in the Ontology Mesh rather than by surface form, so two entities sharing a type contend for a pronoun even where their names differ, and two of different types do not. Where the test cannot be decided, full form is used: an unnecessary repetition costs a reader nothing, and an ambiguous pronoun costs them the sentence.</w:t>
      </w:r>
    </w:p>
    <w:p>
      <w:pPr>
        <w:pStyle w:val="Heading2"/>
        <w:spacing w:after="100" w:before="220" w:line="288" w:lineRule="auto"/>
      </w:pPr>
      <w:r>
        <w:t xml:space="preserve">112.4 Connectives</w:t>
      </w:r>
    </w:p>
    <w:p>
      <w:pPr>
        <w:spacing w:after="120" w:line="288" w:lineRule="auto"/>
      </w:pPr>
      <w:r>
        <w:t xml:space="preserve">A Narrative Graph edge carries a type. Where two propositions realized in sequence are joined by a typed edge, a connective marking that type is emitted, so that the relation the graph knows is stated rather than left to the reader to infer from adjacency.</w:t>
      </w:r>
    </w:p>
    <w:p>
      <w:pPr>
        <w:spacing w:after="120" w:line="288" w:lineRule="auto"/>
      </w:pPr>
      <w:r>
        <w:t xml:space="preserve">The connective realized within a class is selected by the expressive register in effect and by the sentence position, and the selection varies across a response so that one connective does not recur mechanically. A connective is emitted for an edge type and never invented: where two propositions are adjacent without a typed edge between them, no connective is emitted, because asserting a relation the graph does not carry would assert something no record supports.</w:t>
      </w:r>
    </w:p>
    <w:p>
      <w:pPr>
        <w:pStyle w:val="Heading2"/>
        <w:spacing w:after="100" w:before="220" w:line="288" w:lineRule="auto"/>
      </w:pPr>
      <w:r>
        <w:t xml:space="preserve">112.5 Information ordering within a sentence</w:t>
      </w:r>
    </w:p>
    <w:p>
      <w:pPr>
        <w:spacing w:after="120" w:line="288" w:lineRule="auto"/>
      </w:pPr>
      <w:r>
        <w:t xml:space="preserve">Within a sentence, information already established in the preceding sentence precedes information new to the reader, where the propositions and the target language's syntax permit. The rule operates on what the response has already said rather than on a general notion of familiarity, so it is computable: an entity or predicate realized in the preceding sentence is established, and one not yet realized is new.</w:t>
      </w:r>
    </w:p>
    <w:p>
      <w:pPr>
        <w:spacing w:after="120" w:line="288" w:lineRule="auto"/>
      </w:pPr>
      <w:r>
        <w:t xml:space="preserve">The rule yields to two constraints. Target-language syntax governs absolutely — a language whose word order does not permit the preferred arrangement receives the arrangement it permits, on the terms already specified for syntactic realization. And a wording-operative span is reproduced in its source order and is not reordered under this rule, because reordering an operative span would alter the wording that carries force.</w:t>
      </w:r>
    </w:p>
    <w:p>
      <w:pPr>
        <w:pStyle w:val="Heading2"/>
        <w:spacing w:after="100" w:before="220" w:line="288" w:lineRule="auto"/>
      </w:pPr>
      <w:r>
        <w:t xml:space="preserve">112.6 Lexical variation, bounded by the fingerprint</w:t>
      </w:r>
    </w:p>
    <w:p>
      <w:pPr>
        <w:spacing w:after="120" w:line="288" w:lineRule="auto"/>
      </w:pPr>
      <w:r>
        <w:t xml:space="preserve">Where a term recurs within a response, an alternative registered as synonymous for that sense may be substituted, so that a response does not repeat one term mechanically. Variation is bounded by a test rather than by judgment: a substitution is admitted only where the proposition's semantic fingerprint is unchanged by it.</w:t>
      </w:r>
    </w:p>
    <w:p>
      <w:pPr>
        <w:spacing w:after="120" w:line="288" w:lineRule="auto"/>
      </w:pPr>
      <w:r>
        <w:t xml:space="preserve">The fingerprint is computed over the canonicalized triple, so a substitution preserving it is a substitution that does not change what the proposition asserts. A synonym that is registered for a different sense of the term, or that shifts the assertion in any respect the canonicalization captures, fails the test and is refused. Registered synonymy is drawn from the lexical resources of the resource registry, so the source of every admitted substitution is licensed and recorded.</w:t>
      </w:r>
    </w:p>
    <w:p>
      <w:pPr>
        <w:spacing w:after="120" w:line="288" w:lineRule="auto"/>
      </w:pPr>
      <w:r>
        <w:t xml:space="preserve">Two exclusions apply. A term appearing in a wording-operative span is never substituted. And a term that is the registered canonical name of an entity, or a governed term of a discipline mode, is not varied: precision in naming outranks variety, and a reader who sees two names is entitled to assume two things.</w:t>
      </w:r>
    </w:p>
    <w:p>
      <w:pPr>
        <w:pStyle w:val="Heading2"/>
        <w:spacing w:after="100" w:before="220" w:line="288" w:lineRule="auto"/>
      </w:pPr>
      <w:r>
        <w:t xml:space="preserve">112.7 What realization does not do</w:t>
      </w:r>
    </w:p>
    <w:p>
      <w:pPr>
        <w:spacing w:after="120" w:line="288" w:lineRule="auto"/>
      </w:pPr>
      <w:r>
        <w:t xml:space="preserve">No operation in this chapter introduces a proposition. Aggregation combines, referring expressions shorten, connectives mark relations the graph carries, ordering rearranges, and variation substitutes within an unchanged fingerprint. A response after realization asserts exactly what the Narrative Graph licensed before it, and every clause resolves to the record that supports it.</w:t>
      </w:r>
    </w:p>
    <w:p>
      <w:pPr>
        <w:spacing w:after="120" w:line="288" w:lineRule="auto"/>
      </w:pPr>
      <w:r>
        <w:t xml:space="preserve">No operation in this chapter is stochastic. Selection among admissible realizations — which connective within a class, which registered synonym — is made by a deterministic rule over the response's own prior content, so the same Narrative Graph under the same register yields the same token sequence on every execution. Variety across a response is produced by position-dependent selection, not by sampling.</w:t>
      </w:r>
    </w:p>
    <w:p>
      <w:pPr>
        <w:spacing w:after="120" w:line="288" w:lineRule="auto"/>
      </w:pPr>
      <w:r>
        <w:t xml:space="preserve">And no operation in this chapter is a language model. The realization stage is a rule system over a graph the system constructed from its own records. A trained model in this position would produce more fluent output and would relocate the neural boundary from extraction into generation, at which point a proposition's traceability would become probabilistic. The gain is not worth the guarantee, and the guarantee is the invention.</w:t>
      </w:r>
    </w:p>
    <w:p>
      <w:pPr>
        <w:pStyle w:val="Heading1"/>
        <w:spacing w:after="120" w:before="280" w:line="288" w:lineRule="auto"/>
      </w:pPr>
      <w:r>
        <w:t xml:space="preserve">Chapter 113</w:t>
      </w:r>
    </w:p>
    <w:p>
      <w:pPr>
        <w:pStyle w:val="Heading2"/>
        <w:spacing w:after="100" w:before="220" w:line="288" w:lineRule="auto"/>
      </w:pPr>
      <w:r>
        <w:t xml:space="preserve">113.1 Eligibility from declared facts only</w:t>
      </w:r>
    </w:p>
    <w:p>
      <w:pPr>
        <w:spacing w:after="120" w:line="288" w:lineRule="auto"/>
      </w:pPr>
      <w:r>
        <w:t xml:space="preserve">A commercial item is eligible for presentation where four conditions hold, each decided from a fact already established about the request rather than from an inference about the requester: the rights registered for the item permit its presentation to the requesting deployment; the territory recorded for the request is one the item's registration covers; the edition in which the response is delivered is one the item's registration covers; and the device class can render the item's format.</w:t>
      </w:r>
    </w:p>
    <w:p>
      <w:pPr>
        <w:spacing w:after="120" w:line="288" w:lineRule="auto"/>
      </w:pPr>
      <w:r>
        <w:t xml:space="preserve">No other input participates in eligibility. In particular an inferred ergonomic signal, an inferred cognitive-load indicator and an inferred affective state are unavailable to commercial selection, as already specified: a signal derived from how a person reads is not a signal about what they should be sold. A declared cultural profile may bound eligibility where an item's registration is locale-specific, on the same terms as any other declared configuration, because a declared profile is a statement by the requester rather than a classification of them.</w:t>
      </w:r>
    </w:p>
    <w:p>
      <w:pPr>
        <w:spacing w:after="120" w:line="288" w:lineRule="auto"/>
      </w:pPr>
      <w:r>
        <w:t xml:space="preserve">Eligibility is computed before ranking and produces a set. Where the set is empty the commercial region is omitted, and its omission is not disclosed as an absence, because a region that sometimes reports having nothing to show conveys information about the requester's eligibility.</w:t>
      </w:r>
    </w:p>
    <w:p>
      <w:pPr>
        <w:pStyle w:val="Heading2"/>
        <w:spacing w:after="100" w:before="220" w:line="288" w:lineRule="auto"/>
      </w:pPr>
      <w:r>
        <w:t xml:space="preserve">113.2 Placement classes and density</w:t>
      </w:r>
    </w:p>
    <w:p>
      <w:pPr>
        <w:spacing w:after="120" w:line="288" w:lineRule="auto"/>
      </w:pPr>
      <w:r>
        <w:t xml:space="preserve">A commercial item occupies a registered placement class, and each class is a region distinct from the response and labelled as commercial. The classes are: an inline placement between sections of a response; an edition-aligned placement associated with an edition rather than with a response; a media-adjacent placement accompanying an included asset; and a spatial placement within an immersive presentation.</w:t>
      </w:r>
    </w:p>
    <w:p>
      <w:pPr>
        <w:spacing w:after="120" w:line="288" w:lineRule="auto"/>
      </w:pPr>
      <w:r>
        <w:t xml:space="preserve">Two constraints govern every class. A placement is never interleaved with the propositions of a response, so a reader distinguishes the answer from the commercial region by position and not only by label. And a configured density ceiling limits placements per response and per session; a placement exceeding the ceiling is omitted rather than deferred, so density is bounded rather than merely rationed.</w:t>
      </w:r>
    </w:p>
    <w:p>
      <w:pPr>
        <w:spacing w:after="120" w:line="288" w:lineRule="auto"/>
      </w:pPr>
      <w:r>
        <w:t xml:space="preserve">A spatial placement within an immersive presentation is subject without exception to the restriction already specified for that surface: no gaze direction, dwell duration, head pose or attention signal is captured, derived or retained, and none is available to commercial selection. A placement in a three-dimensional environment is a placement, not an instrument.</w:t>
      </w:r>
    </w:p>
    <w:p>
      <w:pPr>
        <w:pStyle w:val="Heading2"/>
        <w:spacing w:after="100" w:before="220" w:line="288" w:lineRule="auto"/>
      </w:pPr>
      <w:r>
        <w:t xml:space="preserve">113.3 Advertiser provenance</w:t>
      </w:r>
    </w:p>
    <w:p>
      <w:pPr>
        <w:spacing w:after="120" w:line="288" w:lineRule="auto"/>
      </w:pPr>
      <w:r>
        <w:t xml:space="preserve">Every commercial item carries a provenance record identifying the advertiser or vendor by verified identity, the rights under which the item is presented, the territories the registration covers, the interval over which it is valid, and the identity of the operator who registered it. An item lacking any of these is not registrable and therefore not presentable.</w:t>
      </w:r>
    </w:p>
    <w:p>
      <w:pPr>
        <w:spacing w:after="120" w:line="288" w:lineRule="auto"/>
      </w:pPr>
      <w:r>
        <w:t xml:space="preserve">Each presentation is recorded in the Provenance Ledger with the item, the placement class, the concept identifier that occasioned it, the eligibility facts relied upon, and the score computed under the existing weighting. Two consequences follow. A presentation is auditable after the fact against the eligibility rules in force at the time, and an advertiser's claim that an item was or was not presented resolves against a record rather than against a report.</w:t>
      </w:r>
    </w:p>
    <w:p>
      <w:pPr>
        <w:spacing w:after="120" w:line="288" w:lineRule="auto"/>
      </w:pPr>
      <w:r>
        <w:t xml:space="preserve">A commercial item is not a knowledge record and is not admitted to the Fact Graph. It is not citable, is not traversable, and contributes to no confidence value. An assertion appearing within a commercial item is the advertiser's assertion, is labelled as such, and is subject to the Prime Directive review that governs any delivered content.</w:t>
      </w:r>
    </w:p>
    <w:p>
      <w:pPr>
        <w:pStyle w:val="Heading2"/>
        <w:spacing w:after="100" w:before="220" w:line="288" w:lineRule="auto"/>
      </w:pPr>
      <w:r>
        <w:t xml:space="preserve">113.4 Ranking, unchanged</w:t>
      </w:r>
    </w:p>
    <w:p>
      <w:pPr>
        <w:spacing w:after="120" w:line="288" w:lineRule="auto"/>
      </w:pPr>
      <w:r>
        <w:t xml:space="preserve">Among eligible items a score is computed as the existing weighted combination of a relevance factor, an operator-configurable source-priority factor and a bid factor, with the weights summing to unity. By way of example, weights of 0.4, 0.3 and 0.3 applied to factors of 0.9, 0.7 and 0.6 yield 0.75. This chapter adds no factor and alters no weight.</w:t>
      </w:r>
    </w:p>
    <w:p>
      <w:pPr>
        <w:spacing w:after="120" w:line="288" w:lineRule="auto"/>
      </w:pPr>
      <w:r>
        <w:t xml:space="preserve">Selection is deterministic: the same eligible set under the same weights and factors yields the same selection on every execution. No factor derives from a requester's interaction history, and no ranking input is accumulated across sessions.</w:t>
      </w:r>
    </w:p>
    <w:p>
      <w:pPr>
        <w:pStyle w:val="Heading2"/>
        <w:spacing w:after="100" w:before="220" w:line="288" w:lineRule="auto"/>
      </w:pPr>
      <w:r>
        <w:t xml:space="preserve">113.5 Transaction objects and actions</w:t>
      </w:r>
    </w:p>
    <w:p>
      <w:pPr>
        <w:spacing w:after="120" w:line="288" w:lineRule="auto"/>
      </w:pPr>
      <w:r>
        <w:t xml:space="preserve">A commerce object is a thing that may be transacted: an edition, a media asset, an immersive experience, a bundle of works, an institutional or classroom licence, a supplemental pack extending an existing entitlement. Each is registered with the rights permitting its sale, the territories in which it may be sold, and a price per territory and currency; an object with no price registered for a request's territory is not offered there rather than offered at a default.</w:t>
      </w:r>
    </w:p>
    <w:p>
      <w:pPr>
        <w:spacing w:after="120" w:line="288" w:lineRule="auto"/>
      </w:pPr>
      <w:r>
        <w:t xml:space="preserve">Every action produces a transaction record carrying the acting identity, the object, the action, the price and currency applied, the territory, the rights validation relied upon, and a reference into the Provenance Ledger. A transaction that cannot be reconciled against an entitlement change is refused rather than recorded as pending, so the entitlement state and the transaction history cannot diverge.</w:t>
      </w:r>
    </w:p>
    <w:p>
      <w:pPr>
        <w:spacing w:after="120" w:line="288" w:lineRule="auto"/>
      </w:pPr>
      <w:r>
        <w:t xml:space="preserve">Where an entitlement is represented by a token under the existing non-custodial mechanism, the entitlement record remains authoritative on divergence, as already specified. A transfer or revocation of a token follows the entitlement, never the reverse, and a token whose state disagrees with the entitlement record raises a divergence finding rather than altering the entitlement.</w:t>
      </w:r>
    </w:p>
    <w:p>
      <w:pPr>
        <w:pStyle w:val="Heading2"/>
        <w:spacing w:after="100" w:before="220" w:line="288" w:lineRule="auto"/>
      </w:pPr>
      <w:r>
        <w:t xml:space="preserve">113.6 Export, print and their fees</w:t>
      </w:r>
    </w:p>
    <w:p>
      <w:pPr>
        <w:spacing w:after="120" w:line="288" w:lineRule="auto"/>
      </w:pPr>
      <w:r>
        <w:t xml:space="preserve">An export or print action is a commerce action where the applicable rights make it chargeable, and a rights validation precedes composition as already specified. A fee applies only where the registration records one for that territory and quantity; where the rights permit the action without a fee, no fee is charged, and where the rights do not permit it, no fee makes it permissible.</w:t>
      </w:r>
    </w:p>
    <w:p>
      <w:pPr>
        <w:pStyle w:val="Heading2"/>
        <w:spacing w:after="100" w:before="220" w:line="288" w:lineRule="auto"/>
      </w:pPr>
      <w:r>
        <w:t xml:space="preserve">113.7 Not adopted</w:t>
      </w:r>
    </w:p>
    <w:p>
      <w:pPr>
        <w:spacing w:after="120" w:line="288" w:lineRule="auto"/>
      </w:pPr>
      <w:r>
        <w:t xml:space="preserve">Row 210 evaluates the existing selection score at weights 0.4, 0.3 and 0.3 over factors 0.9, 0.7 and 0.6, returning 0.75, recorded with the presentation for audit.</w:t>
      </w:r>
    </w:p>
    <w:p>
      <w:pPr>
        <w:pStyle w:val="Heading1"/>
        <w:spacing w:after="120" w:before="280" w:line="288" w:lineRule="auto"/>
      </w:pPr>
      <w:r>
        <w:t xml:space="preserve">Chapter 113 — addition</w:t>
      </w:r>
    </w:p>
    <w:p>
      <w:pPr>
        <w:pStyle w:val="Heading2"/>
        <w:spacing w:after="100" w:before="220" w:line="288" w:lineRule="auto"/>
      </w:pPr>
      <w:r>
        <w:t xml:space="preserve">113.8.1 The adjacency set</w:t>
      </w:r>
    </w:p>
    <w:p>
      <w:pPr>
        <w:spacing w:after="120" w:line="288" w:lineRule="auto"/>
      </w:pPr>
      <w:r>
        <w:t xml:space="preserve">On completion of retrieval, stabilization and generation, the concept identifier resolved from the query is supplied to commercial selection together with the identifiers of concepts adjacent to it within a single edge of the concept structure. The set is computed once, at the point of supply, and is not extended by the selection mechanism.</w:t>
      </w:r>
    </w:p>
    <w:p>
      <w:pPr>
        <w:spacing w:after="120" w:line="288" w:lineRule="auto"/>
      </w:pPr>
      <w:r>
        <w:t xml:space="preserve">Adjacency is bounded three ways. It is one hop: a concept two edges from the query concept is not in the set, and no traversal is performed from an adjacent concept. It is restricted to edge types registered as adjacency-bearing — subsumption, part-whole and a registered general association — excluding causal, temporal and contradiction edges, because a concept related to the query as its cause or as a contradiction of it is not thereby a concept the reader is interested in purchasing against. And each adjacent concept is tested against the requester's scope description, with a concept the requester could not have retrieved excluded from the set.</w:t>
      </w:r>
    </w:p>
    <w:p>
      <w:pPr>
        <w:spacing w:after="120" w:line="288" w:lineRule="auto"/>
      </w:pPr>
      <w:r>
        <w:t xml:space="preserve">That last bound is the one that matters most and is stated as a rule rather than left to follow. Commercial selection must not become a channel through which the existence of a concept outside a requester's entitlement is inferable from what was advertised to them. An adjacent concept outside the scope description is absent from the set, and its absence is not signalled.</w:t>
      </w:r>
    </w:p>
    <w:p>
      <w:pPr>
        <w:pStyle w:val="Heading2"/>
        <w:spacing w:after="100" w:before="220" w:line="288" w:lineRule="auto"/>
      </w:pPr>
      <w:r>
        <w:t xml:space="preserve">113.8.2 What adjacency is used for</w:t>
      </w:r>
    </w:p>
    <w:p>
      <w:pPr>
        <w:spacing w:after="120" w:line="288" w:lineRule="auto"/>
      </w:pPr>
      <w:r>
        <w:t xml:space="preserve">An adjacent concept identifier participates in the relevance factor of the existing selection score and in nothing else. It does not participate in eligibility, which continues to be determined from registered rights, recorded territory, delivered edition and device class alone; a commercial item ineligible for a request does not become eligible because it matches an adjacent concept.</w:t>
      </w:r>
    </w:p>
    <w:p>
      <w:pPr>
        <w:spacing w:after="120" w:line="288" w:lineRule="auto"/>
      </w:pPr>
      <w:r>
        <w:t xml:space="preserve">Relevance against an adjacent concept is attenuated relative to relevance against the query concept itself, so that an item matching the query concept directly outranks an item matching only a neighbour. By way of example, an item scoring 0.72 on relevance through adjacency, against source-priority 0.7 and bid 0.6 at the existing weights of 0.4, 0.3 and 0.3, yields 0.678, below the 0.75 that direct relevance at 0.9 would produce on the same other factors.</w:t>
      </w:r>
    </w:p>
    <w:p>
      <w:pPr>
        <w:spacing w:after="120" w:line="288" w:lineRule="auto"/>
      </w:pPr>
      <w:r>
        <w:t xml:space="preserve">The weights themselves are unchanged and still sum to unity. This section adds no factor to the score and alters no weight; it widens the concept set against which the existing relevance factor is computed.</w:t>
      </w:r>
    </w:p>
    <w:p>
      <w:pPr>
        <w:pStyle w:val="Heading2"/>
        <w:spacing w:after="100" w:before="220" w:line="288" w:lineRule="auto"/>
      </w:pPr>
      <w:r>
        <w:t xml:space="preserve">113.8.3 What the amendment does not weaken</w:t>
      </w:r>
    </w:p>
    <w:p>
      <w:pPr>
        <w:spacing w:after="120" w:line="288" w:lineRule="auto"/>
      </w:pPr>
      <w:r>
        <w:t xml:space="preserve">The guarantee claim 27 protects is the isolation of commercial selection from the answer pipeline and its position after it. Neither is a function of how many concept identifiers cross the boundary. A single identifier and a bounded neighbourhood are equally read-only, equally post-generation, and equally without a write path; what changes is how well the commercial region can be made relevant to what the reader actually asked.</w:t>
      </w:r>
    </w:p>
    <w:p>
      <w:pPr>
        <w:spacing w:after="120" w:line="288" w:lineRule="auto"/>
      </w:pPr>
      <w:r>
        <w:t xml:space="preserve">Row 228 evaluates a causal edge against the registered adjacency-bearing set and returns refusal. Row 230 evaluates the existing score with relevance attenuated to 0.72 through adjacency, returning 0.678 against the 0.75 that direct relevance would yield.</w:t>
      </w:r>
    </w:p>
    <w:p>
      <w:pPr>
        <w:pStyle w:val="Heading1"/>
        <w:spacing w:after="120" w:before="280" w:line="288" w:lineRule="auto"/>
      </w:pPr>
      <w:r>
        <w:t xml:space="preserve">Chapter 114</w:t>
      </w:r>
    </w:p>
    <w:p>
      <w:pPr>
        <w:pStyle w:val="Heading2"/>
        <w:spacing w:after="100" w:before="220" w:line="288" w:lineRule="auto"/>
      </w:pPr>
      <w:r>
        <w:t xml:space="preserve">114.1 Scope: what may be commanded, and what may not</w:t>
      </w:r>
    </w:p>
    <w:p>
      <w:pPr>
        <w:spacing w:after="120" w:line="288" w:lineRule="auto"/>
      </w:pPr>
      <w:r>
        <w:t xml:space="preserve">Command emission is permitted to registered equipment of a capture and inspection class: a pan-tilt-zoom camera head, a lighting fixture, a capture drone operating within a bounded volume, an inspection arm, a mobile capture base, and a positioning stage. Each unit is registered with its class, its kinematic envelope, its maximum velocity and force, and the volume within which it may operate.</w:t>
      </w:r>
    </w:p>
    <w:p>
      <w:pPr>
        <w:spacing w:after="120" w:line="288" w:lineRule="auto"/>
      </w:pPr>
      <w:r>
        <w:t xml:space="preserve">Command emission to any other equipment class is refused at the interface. In particular the vehicle prohibition already specified is unchanged and is not narrowed by this chapter: telemetry from a vehicle-control system continues to be ingested as analysis and no control interface to any vehicle system exists or is created. A mechanism whose failure can injure a person at speed is not brought within scope because a mechanism whose failure spoils a photograph has been.</w:t>
      </w:r>
    </w:p>
    <w:p>
      <w:pPr>
        <w:spacing w:after="120" w:line="288" w:lineRule="auto"/>
      </w:pPr>
      <w:r>
        <w:t xml:space="preserve">An equipment unit whose registration lacks a kinematic envelope, a velocity limit or an operating volume is not commandable. The limits are not advisory parameters supplied with a command; they are properties of the registration, and a command exceeding them is refused before emission rather than clamped.</w:t>
      </w:r>
    </w:p>
    <w:p>
      <w:pPr>
        <w:pStyle w:val="Heading2"/>
        <w:spacing w:after="100" w:before="220" w:line="288" w:lineRule="auto"/>
      </w:pPr>
      <w:r>
        <w:t xml:space="preserve">114.2 Live ingestion and the equipment state record</w:t>
      </w:r>
    </w:p>
    <w:p>
      <w:pPr>
        <w:spacing w:after="120" w:line="288" w:lineRule="auto"/>
      </w:pPr>
      <w:r>
        <w:t xml:space="preserve">Sensor streams from registered equipment — video, depth, range, inertial, joint position, force and torque, encoder — are ingested through the Multimodal Ingestion Pipeline as any other sensor content, reduced to concept-level records before admission, and subject to the safety evaluation gate. No raw sensory episode is retained, as already specified.</w:t>
      </w:r>
    </w:p>
    <w:p>
      <w:pPr>
        <w:spacing w:after="120" w:line="288" w:lineRule="auto"/>
      </w:pPr>
      <w:r>
        <w:t xml:space="preserve">Distinct from those records, and not admitted to the Fact Graph, is the equipment state record: pose, joint configuration, camera orientation, gripper state, battery, link quality and the operating volume currently in force. It is session-scoped working state, discarded at session end, and never persisted as a knowledge record — the same treatment the Natural Language Interaction Layer already gives its session context. The reason is that a control loop's working state is a fact about a machine at an instant, not evidence about the world, and admitting it would fill the Fact Graph with expired positions.</w:t>
      </w:r>
    </w:p>
    <w:p>
      <w:pPr>
        <w:spacing w:after="120" w:line="288" w:lineRule="auto"/>
      </w:pPr>
      <w:r>
        <w:t xml:space="preserve">An equipment state record older than a configured staleness bound is not usable for command synthesis. Where state is stale the system emits no command and reports the staleness, because commanding a machine from a stale picture of where it is is the characteristic way such systems cause damage.</w:t>
      </w:r>
    </w:p>
    <w:p>
      <w:pPr>
        <w:pStyle w:val="Heading2"/>
        <w:spacing w:after="100" w:before="220" w:line="288" w:lineRule="auto"/>
      </w:pPr>
      <w:r>
        <w:t xml:space="preserve">114.3 Session authorization</w:t>
      </w:r>
    </w:p>
    <w:p>
      <w:pPr>
        <w:spacing w:after="120" w:line="288" w:lineRule="auto"/>
      </w:pPr>
      <w:r>
        <w:t xml:space="preserve">Command emission requires a session authorization granted by an identified human operator, recorded with that operator's identity, the equipment units it covers, the operating volume it permits, the task classes it permits, and an expiry. Authorization is per session and not per command: continuous control cannot require an approval for each of thousands of commands, and a mechanism that pretended otherwise would be approved by reflex rather than by judgment.</w:t>
      </w:r>
    </w:p>
    <w:p>
      <w:pPr>
        <w:spacing w:after="120" w:line="288" w:lineRule="auto"/>
      </w:pPr>
      <w:r>
        <w:t xml:space="preserve">Four properties bound the authorization, and together they are what makes a session gate an acceptable substitute for a per-command gate. It expires, and expiry halts emission rather than prompting for renewal mid-motion. It is revocable at any instant by the authorizing operator or by any operator holding the equipment's administrative role, and revocation takes effect before the next command rather than at the end of the current plan. It is bounded to the registered units, volume and task classes named in it, so an authorized session confers no capability over equipment it does not name. And it is recorded in the Provenance Ledger, so every emitted command traces to the authorization that permitted it and the operator who granted it.</w:t>
      </w:r>
    </w:p>
    <w:p>
      <w:pPr>
        <w:spacing w:after="120" w:line="288" w:lineRule="auto"/>
      </w:pPr>
      <w:r>
        <w:t xml:space="preserve">This is a departure from the approval discipline applied elsewhere in this specification, where a change of state requires a named human approval of that change. The departure is recorded rather than concealed: what a session authorization approves is a bounded capability for an interval, not each exercise of it. The compensating controls are the veto at §114.5, the halt condition at §114.6 and the revocability above.</w:t>
      </w:r>
    </w:p>
    <w:p>
      <w:pPr>
        <w:pStyle w:val="Heading2"/>
        <w:spacing w:after="100" w:before="220" w:line="288" w:lineRule="auto"/>
      </w:pPr>
      <w:r>
        <w:t xml:space="preserve">114.4 Query to command</w:t>
      </w:r>
    </w:p>
    <w:p>
      <w:pPr>
        <w:spacing w:after="120" w:line="288" w:lineRule="auto"/>
      </w:pPr>
      <w:r>
        <w:t xml:space="preserve">A request expressed in natural language or as a structured directive is compiled to a command sequence through the stages already specified for bounded program compilation, extended with a spatial resolution stage.</w:t>
      </w:r>
    </w:p>
    <w:p>
      <w:pPr>
        <w:spacing w:after="120" w:line="288" w:lineRule="auto"/>
      </w:pPr>
      <w:r>
        <w:t xml:space="preserve">Each emitted command carries a reference to the request that produced it, the authorization under which it was emitted, the plan it belongs to and its position within that plan. A command that cannot carry these references is not emitted, so there is no command in the system whose origin is unattributable.</w:t>
      </w:r>
    </w:p>
    <w:p>
      <w:pPr>
        <w:pStyle w:val="Heading2"/>
        <w:spacing w:after="100" w:before="220" w:line="288" w:lineRule="auto"/>
      </w:pPr>
      <w:r>
        <w:t xml:space="preserve">114.5 The constraint layer, which vetoes rather than advises</w:t>
      </w:r>
    </w:p>
    <w:p>
      <w:pPr>
        <w:spacing w:after="120" w:line="288" w:lineRule="auto"/>
      </w:pPr>
      <w:r>
        <w:t xml:space="preserve">Before emission every command is evaluated against the constraint set, and a command violating any constraint is not emitted. The evaluation is a gate and not a score: a violating command is not emitted at lower priority, not emitted with a warning, and not emitted after a modification the system selects for itself.</w:t>
      </w:r>
    </w:p>
    <w:p>
      <w:pPr>
        <w:spacing w:after="120" w:line="288" w:lineRule="auto"/>
      </w:pPr>
      <w:r>
        <w:t xml:space="preserve">Human proximity detection is safety-only and is bounded accordingly. A person detected for this purpose is used to compute clearance and for nothing else: no person classification enters a result set, none is retained beyond the instant it is evaluated, none is queryable, and none is available to any other mechanism. This resolves the tension with the exclusion already specified elsewhere — person classifications remain absent from every result set, and safety detection is not a result set. A system that could not see a person could not avoid one; a system that remembers having seen them is a surveillance capability, and this is not one.</w:t>
      </w:r>
    </w:p>
    <w:p>
      <w:pPr>
        <w:pStyle w:val="Heading2"/>
        <w:spacing w:after="100" w:before="220" w:line="288" w:lineRule="auto"/>
      </w:pPr>
      <w:r>
        <w:t xml:space="preserve">114.6 Halt</w:t>
      </w:r>
    </w:p>
    <w:p>
      <w:pPr>
        <w:spacing w:after="120" w:line="288" w:lineRule="auto"/>
      </w:pPr>
      <w:r>
        <w:t xml:space="preserve">A halt is emitted on any of: a clearance or proximity breach detected during execution, an equipment state record exceeding the staleness bound, an authorization expiry or revocation, a loss of the sensor stream on which the executing plan depends, and an explicit halt request from any operator holding the equipment's administrative role or from the requester of the session.</w:t>
      </w:r>
    </w:p>
    <w:p>
      <w:pPr>
        <w:spacing w:after="120" w:line="288" w:lineRule="auto"/>
      </w:pPr>
      <w:r>
        <w:t xml:space="preserve">The halt path does not traverse the reasoning path. It is evaluated from the equipment state record and the constraint set directly, without retrieval, stabilization, generation or interpretive modulation, so a halt cannot be delayed by a query in progress and does not depend on any mechanism whose latency is a function of corpus size. This is stated as a requirement rather than an optimisation: a stop that waits for an answer is not a stop.</w:t>
      </w:r>
    </w:p>
    <w:p>
      <w:pPr>
        <w:spacing w:after="120" w:line="288" w:lineRule="auto"/>
      </w:pPr>
      <w:r>
        <w:t xml:space="preserve">A halt places the unit in its registered safe state and requires a new authorization or an explicit resume from the authorizing operator before emission resumes. A halt is recorded with its triggering condition, and a pattern of halts against one unit or one task class is queryable, so equipment or a plan that halts repeatedly is detectable rather than merely tolerated.</w:t>
      </w:r>
    </w:p>
    <w:p>
      <w:pPr>
        <w:pStyle w:val="Heading2"/>
        <w:spacing w:after="100" w:before="220" w:line="288" w:lineRule="auto"/>
      </w:pPr>
      <w:r>
        <w:t xml:space="preserve">114.7 Execution feedback</w:t>
      </w:r>
    </w:p>
    <w:p>
      <w:pPr>
        <w:spacing w:after="120" w:line="288" w:lineRule="auto"/>
      </w:pPr>
      <w:r>
        <w:t xml:space="preserve">Execution is observed and the observation is admitted on the terms of the feedback mechanism already specified: a plan is an action, and what the sensors report afterwards is an outcome. Did the commanded framing contain the target; did the arm reach the commanded pose within tolerance; did the capture return an asset of the requested resolution.</w:t>
      </w:r>
    </w:p>
    <w:p>
      <w:pPr>
        <w:spacing w:after="120" w:line="288" w:lineRule="auto"/>
      </w:pPr>
      <w:r>
        <w:t xml:space="preserve">A discrepancy adjusts confidence in the records the plan relied upon and may occasion a corrected plan, which is compiled and evaluated afresh through §114.4 and §114.5 rather than issued as a delta to a vetoed plan. A correction is a new plan under the same authorization, subject to every constraint the original was subject to.</w:t>
      </w:r>
    </w:p>
    <w:p>
      <w:pPr>
        <w:spacing w:after="120" w:line="288" w:lineRule="auto"/>
      </w:pPr>
      <w:r>
        <w:t xml:space="preserve">Two limits carry over unchanged. An outcome whose subject resolves to an individual natural person is refused at construction. And no execution feedback adjusts a constraint, a limit or an authorization: feedback informs confidence and proposes, and the envelope within which a machine may move is not something the machine's own experience may widen.</w:t>
      </w:r>
    </w:p>
    <w:p>
      <w:pPr>
        <w:spacing w:after="120" w:line="288" w:lineRule="auto"/>
      </w:pPr>
      <w:r>
        <w:t xml:space="preserve">Row 216 evaluates the governing clearance as the lesser of the measured distance to a detected person and the configured exclusion distance, returning 0.35 metres, which row 215 then tests against the minimum.</w:t>
      </w:r>
    </w:p>
    <w:p>
      <w:pPr>
        <w:pStyle w:val="Heading1"/>
        <w:spacing w:after="120" w:before="280" w:line="288" w:lineRule="auto"/>
      </w:pPr>
      <w:r>
        <w:t xml:space="preserve">Chapter 115</w:t>
      </w:r>
    </w:p>
    <w:p>
      <w:pPr>
        <w:pStyle w:val="Heading2"/>
        <w:spacing w:after="100" w:before="220" w:line="288" w:lineRule="auto"/>
      </w:pPr>
      <w:r>
        <w:t xml:space="preserve">115.1 Scope and the equipment classes</w:t>
      </w:r>
    </w:p>
    <w:p>
      <w:pPr>
        <w:spacing w:after="120" w:line="288" w:lineRule="auto"/>
      </w:pPr>
      <w:r>
        <w:t xml:space="preserve">This chapter governs equipment that makes intentional physical contact with a person in order to assist them. Three classes are recognised, following the classification of the governing standard: a servant unit that carries or hands over an object without bearing a person's weight; an assistant unit that supplements a person's own movement, including a supported transfer or a steadying contact; and a carrier unit that bears a person's weight.</w:t>
      </w:r>
    </w:p>
    <w:p>
      <w:pPr>
        <w:spacing w:after="120" w:line="288" w:lineRule="auto"/>
      </w:pPr>
      <w:r>
        <w:t xml:space="preserve">A unit is registrable in this chapter only where a hazard analysis has been completed for its intended tasks, its intended users and its intended environment, and its outcome recorded with the identity of the assessor. A unit without a completed hazard analysis is not registrable, and no authorization can be granted over it. The reason for placing this before every other requirement is that the remaining requirements are meaningless where the hazards have not been enumerated: a force limit is only protective if the analysis identified the contact it limits.</w:t>
      </w:r>
    </w:p>
    <w:p>
      <w:pPr>
        <w:spacing w:after="120" w:line="288" w:lineRule="auto"/>
      </w:pPr>
      <w:r>
        <w:t xml:space="preserve">A unit registered under Chapter 114 is not thereby registrable here, and a unit registered here is not thereby commandable under Chapter 114. The authorization classes are disjoint, and an authorization of either class confers nothing under the other. A single physical device may hold registrations under both, in which case the constraint set applicable to a command is determined by the authorization under which it was emitted, and never by the device's other registration.</w:t>
      </w:r>
    </w:p>
    <w:p>
      <w:pPr>
        <w:pStyle w:val="Heading2"/>
        <w:spacing w:after="100" w:before="220" w:line="288" w:lineRule="auto"/>
      </w:pPr>
      <w:r>
        <w:t xml:space="preserve">115.2 Two-party authorization</w:t>
      </w:r>
    </w:p>
    <w:p>
      <w:pPr>
        <w:spacing w:after="120" w:line="288" w:lineRule="auto"/>
      </w:pPr>
      <w:r>
        <w:t xml:space="preserve">Contact requires two authorizations, held concurrently, and neither substitutes for the other.</w:t>
      </w:r>
    </w:p>
    <w:p>
      <w:pPr>
        <w:spacing w:after="120" w:line="288" w:lineRule="auto"/>
      </w:pPr>
      <w:r>
        <w:t xml:space="preserve">Deployment authorization establishes that contact is permissible. Contact consent establishes that it is wanted. A system holding only the first is a system that has been told it may touch someone who has not agreed to be touched, and no operational convenience justifies proceeding on it.</w:t>
      </w:r>
    </w:p>
    <w:p>
      <w:pPr>
        <w:spacing w:after="120" w:line="288" w:lineRule="auto"/>
      </w:pPr>
      <w:r>
        <w:t xml:space="preserve">Consent is bounded to a task class and an interval and is not general. Consent to a supported transfer is not consent to a steadying contact, and consent given for one session does not persist into the next. A consent record carries the consenting identity, the task class, the interval, and the manner in which consent was expressed.</w:t>
      </w:r>
    </w:p>
    <w:p>
      <w:pPr>
        <w:pStyle w:val="Heading2"/>
        <w:spacing w:after="100" w:before="220" w:line="288" w:lineRule="auto"/>
      </w:pPr>
      <w:r>
        <w:t xml:space="preserve">115.3 Withdrawal, and whose withdrawal governs</w:t>
      </w:r>
    </w:p>
    <w:p>
      <w:pPr>
        <w:spacing w:after="120" w:line="288" w:lineRule="auto"/>
      </w:pPr>
      <w:r>
        <w:t xml:space="preserve">Consent is withdrawable at any instant by the person being assisted, through any registered channel including speech, a physical control, a gesture registered for the purpose, and an assistive input device. Withdrawal halts contact within the equipment's registered stopping interval and places the unit in its safe state.</w:t>
      </w:r>
    </w:p>
    <w:p>
      <w:pPr>
        <w:spacing w:after="120" w:line="288" w:lineRule="auto"/>
      </w:pPr>
      <w:r>
        <w:t xml:space="preserve">A withdrawal by the assisted person cannot be overridden by an operator, by a representative, or by a task in progress. This is stated as an absolute because the circumstances in which it would be tempting to override it — a transfer half-completed, a caregiver who believes the assistance is needed — are exactly the circumstances in which a person's refusal matters most. Where withdrawal occurs mid-task the unit completes no remaining motion except motion required to reach a state in which the person is not supported by it and is not trapped by it, and that motion is bounded by the same force limits as the task itself.</w:t>
      </w:r>
    </w:p>
    <w:p>
      <w:pPr>
        <w:spacing w:after="120" w:line="288" w:lineRule="auto"/>
      </w:pPr>
      <w:r>
        <w:t xml:space="preserve">An operator may also halt, and an operator halt is not a withdrawal: it does not revoke consent and does not require re-consent to resume within the same session. A withdrawal does require fresh consent.</w:t>
      </w:r>
    </w:p>
    <w:p>
      <w:pPr>
        <w:pStyle w:val="Heading2"/>
        <w:spacing w:after="100" w:before="220" w:line="288" w:lineRule="auto"/>
      </w:pPr>
      <w:r>
        <w:t xml:space="preserve">115.4 The person who cannot withdraw</w:t>
      </w:r>
    </w:p>
    <w:p>
      <w:pPr>
        <w:spacing w:after="120" w:line="288" w:lineRule="auto"/>
      </w:pPr>
      <w:r>
        <w:t xml:space="preserve">Where the person to be assisted cannot express or withdraw consent through any registered channel, contact proceeds only under a stricter mode and not under the ordinary provision of §115.2. Three conditions apply together.</w:t>
      </w:r>
    </w:p>
    <w:p>
      <w:pPr>
        <w:spacing w:after="120" w:line="288" w:lineRule="auto"/>
      </w:pPr>
      <w:r>
        <w:t xml:space="preserve">A designated representative, recorded as such under the deployment's own governance and not selected by the system, holds contact consent on the person's behalf. A second person is present throughout the contact and holds a halt control, so that a party other than the equipment and other than the representative can stop it. And the task classes available in this mode are a registered subset of those otherwise available, excluding any task whose failure the assisted person could not signal.</w:t>
      </w:r>
    </w:p>
    <w:p>
      <w:pPr>
        <w:spacing w:after="120" w:line="288" w:lineRule="auto"/>
      </w:pPr>
      <w:r>
        <w:t xml:space="preserve">The system does not determine that a person is unable to consent. That determination is made and recorded by the deployment under its own clinical or legal governance, and the system reads it. A mechanism that inferred incapacity from a person's failure to respond would convert a communication difficulty, a moment of inattention or an equipment fault into a loss of that person's authority over their own body, and it is not specified here.</w:t>
      </w:r>
    </w:p>
    <w:p>
      <w:pPr>
        <w:pStyle w:val="Heading2"/>
        <w:spacing w:after="100" w:before="220" w:line="288" w:lineRule="auto"/>
      </w:pPr>
      <w:r>
        <w:t xml:space="preserve">115.5 The contact constraint set</w:t>
      </w:r>
    </w:p>
    <w:p>
      <w:pPr>
        <w:spacing w:after="120" w:line="288" w:lineRule="auto"/>
      </w:pPr>
      <w:r>
        <w:t xml:space="preserve">Chapter 114's exclusion distance is inapplicable and is replaced. Before and during contact every command is evaluated against the following, and a violation halts rather than adjusts.</w:t>
      </w:r>
    </w:p>
    <w:p>
      <w:pPr>
        <w:spacing w:after="120" w:line="288" w:lineRule="auto"/>
      </w:pPr>
      <w:r>
        <w:t xml:space="preserve">Force and pressure limits are registered per body region rather than as a single figure, because the tolerance of a forearm and of a face are not the same quantity. The registered values derive from the hazard analysis and from the biomechanical limits the governing standard and its referenced parts specify; this specification does not state them, because a figure stated here would be relied upon and the correct source for it is the standard as applied to the specific unit.</w:t>
      </w:r>
    </w:p>
    <w:p>
      <w:pPr>
        <w:pStyle w:val="Heading2"/>
        <w:spacing w:after="100" w:before="220" w:line="288" w:lineRule="auto"/>
      </w:pPr>
      <w:r>
        <w:t xml:space="preserve">115.6 Release is the default failure state</w:t>
      </w:r>
    </w:p>
    <w:p>
      <w:pPr>
        <w:spacing w:after="120" w:line="288" w:lineRule="auto"/>
      </w:pPr>
      <w:r>
        <w:t xml:space="preserve">Every unit under this chapter is designed and registered such that a loss of power, a loss of control signal, a fault in the safety-related control path, or a halt from any source results in release of the person, and not in retention. A gripper that holds when power is lost traps the person it was assisting, and a support that locks when control is lost fixes them in position; neither is a safe state for equipment in contact with a person, however conservative it may appear.</w:t>
      </w:r>
    </w:p>
    <w:p>
      <w:pPr>
        <w:spacing w:after="120" w:line="288" w:lineRule="auto"/>
      </w:pPr>
      <w:r>
        <w:t xml:space="preserve">The exception is a unit bearing a person's weight, where release means a fall. Such a unit's safe state is a controlled retention of support under the redundancy required at §115.5, together with an alert to the operator and the second person, and a bounded interval within which support must be transferred to a person or a fixed structure. The exception is registered per unit and is available only to units whose registration records the redundant support means.</w:t>
      </w:r>
    </w:p>
    <w:p>
      <w:pPr>
        <w:spacing w:after="120" w:line="288" w:lineRule="auto"/>
      </w:pPr>
      <w:r>
        <w:t xml:space="preserve">The release path does not traverse the reasoning path, on the same terms as the halt path of §114.6, and is additionally required to operate where the reasoning path is unavailable entirely. A release that depends on the system being able to think is not a release.</w:t>
      </w:r>
    </w:p>
    <w:p>
      <w:pPr>
        <w:pStyle w:val="Heading2"/>
        <w:spacing w:after="100" w:before="220" w:line="288" w:lineRule="auto"/>
      </w:pPr>
      <w:r>
        <w:t xml:space="preserve">115.7 What the system may not initiate, record or infer</w:t>
      </w:r>
    </w:p>
    <w:p>
      <w:pPr>
        <w:spacing w:after="120" w:line="288" w:lineRule="auto"/>
      </w:pPr>
      <w:r>
        <w:t xml:space="preserve">Contact is never initiated from an inference. A unit under this chapter initiates contact only in response to a request from the assisted person, from the operator under a held consent, or from a task sequence the assisted person consented to. It does not initiate contact because a sensor suggested the person needed help, because a schedule indicated a task was due, or because a prior session established a pattern. A system that decided on its own to touch someone would be exercising a judgment about that person's needs that it has no standing to make.</w:t>
      </w:r>
    </w:p>
    <w:p>
      <w:pPr>
        <w:spacing w:after="120" w:line="288" w:lineRule="auto"/>
      </w:pPr>
      <w:r>
        <w:t xml:space="preserve">Sensor data captured during assistive contact is retained only as required to execute and verify the task, and is discarded at task end. No record of a person's body, movement, capability or dependency is constructed, retained or made queryable, and none is available to any other mechanism. An outcome record under the feedback mechanism concerns the equipment's performance of the task and not the person: whether the transfer completed within tolerance, not how the person managed it. The existing refusal of an outcome record whose subject resolves to an individual natural person applies without exception.</w:t>
      </w:r>
    </w:p>
    <w:p>
      <w:pPr>
        <w:spacing w:after="120" w:line="288" w:lineRule="auto"/>
      </w:pPr>
      <w:r>
        <w:t xml:space="preserve">No assistive interaction is admitted as evidence bearing on any assertion about the assisted person, and no confidence value anywhere in the system is adjusted by it. A person who receives assistance does not thereby become an object of study.</w:t>
      </w:r>
    </w:p>
    <w:p>
      <w:pPr>
        <w:pStyle w:val="Heading2"/>
        <w:spacing w:after="100" w:before="220" w:line="288" w:lineRule="auto"/>
      </w:pPr>
      <w:r>
        <w:t xml:space="preserve">115.8 What this chapter does not establish</w:t>
      </w:r>
    </w:p>
    <w:p>
      <w:pPr>
        <w:spacing w:after="120" w:line="288" w:lineRule="auto"/>
      </w:pPr>
      <w:r>
        <w:t xml:space="preserve">It does not establish conformity with ISO 13482 or any other standard. Conformity is established by hazard analysis, verification and testing against the standard and its referenced parts, performed on a specific unit in a specific configuration, and certified by a party competent to do so. This chapter specifies how the system behaves; it does not certify the machine.</w:t>
      </w:r>
    </w:p>
    <w:p>
      <w:pPr>
        <w:spacing w:after="120" w:line="288" w:lineRule="auto"/>
      </w:pPr>
      <w:r>
        <w:t xml:space="preserve">It does not address medical devices, which fall under a separate regulatory regime, nor equipment intended to diagnose, treat or monitor a condition. A unit whose intended use is medical is outside this chapter irrespective of its physical similarity to a unit within it.</w:t>
      </w:r>
    </w:p>
    <w:p>
      <w:pPr>
        <w:spacing w:after="120" w:line="288" w:lineRule="auto"/>
      </w:pPr>
      <w:r>
        <w:t xml:space="preserve">And it does not address the ethical questions the safety standards leave open. The governing standard enumerates safety hazards and does not enumerate ethical ones, a gap the literature on it has noted. Questions of when assistance should be offered rather than can be, of what dependence on assistive equipment does to a person over time, and of who decides what help someone receives, are governed for this system by the Prime Directive and by the deployment's own governance, and are not resolved by conformity with a safety standard.</w:t>
      </w:r>
    </w:p>
    <w:p>
      <w:pPr>
        <w:pStyle w:val="Heading1"/>
        <w:spacing w:after="120" w:before="280" w:line="288" w:lineRule="auto"/>
      </w:pPr>
      <w:r>
        <w:t xml:space="preserve">Chapter 116</w:t>
      </w:r>
    </w:p>
    <w:p>
      <w:pPr>
        <w:pStyle w:val="Heading2"/>
        <w:spacing w:after="100" w:before="220" w:line="288" w:lineRule="auto"/>
      </w:pPr>
      <w:r>
        <w:t xml:space="preserve">116.1 The energy function and what it guarantees</w:t>
      </w:r>
    </w:p>
    <w:p>
      <w:pPr>
        <w:spacing w:after="120" w:line="288" w:lineRule="auto"/>
      </w:pPr>
      <w:r>
        <w:t xml:space="preserve">The update rule already specified decreases an energy over the network's configuration, and it is the monotonic decrease that produces termination rather than a bound on iterations.</w:t>
      </w:r>
    </w:p>
    <w:p>
      <w:pPr>
        <w:spacing w:after="120" w:line="288" w:lineRule="auto"/>
      </w:pPr>
      <w:r>
        <w:rPr>
          <w:rFonts w:ascii="Consolas" w:hAnsi="Consolas" w:cs="Consolas"/>
          <w:sz w:val="19"/>
        </w:rPr>
        <w:t xml:space="preserve">E = −½ Σᵢ₁ⱼ wᵢⱼ sᵢ sⱼ</w:t>
      </w:r>
    </w:p>
    <w:p>
      <w:pPr>
        <w:spacing w:after="120" w:line="288" w:lineRule="auto"/>
      </w:pPr>
      <w:r>
        <w:t xml:space="preserve">By way of a worked example over four units with symmetric weights, a configuration at energy 0.0 flipping one unit to reach energy −2.0 is a descent of −2.0, and no sequence of such updates revisits a configuration, so the iteration terminates. The guarantee is termination and reproducibility: the same initial configuration under the same weights reaches the same stable state on every execution.</w:t>
      </w:r>
    </w:p>
    <w:p>
      <w:pPr>
        <w:spacing w:after="120" w:line="288" w:lineRule="auto"/>
      </w:pPr>
      <w:r>
        <w:t xml:space="preserve">Termination is not uniqueness, and the distinction governs the rest of this chapter. A network may have several stable states, and which one is reached depends on where the iteration began. The capacity bound already specified holds the number of stored configurations below the retrieval-phase boundary so that convergence to a spurious mixed state is prevented statistically — the probability of reaching one is made small by keeping the load low, not zero by construction.</w:t>
      </w:r>
    </w:p>
    <w:p>
      <w:pPr>
        <w:pStyle w:val="Heading2"/>
        <w:spacing w:after="100" w:before="220" w:line="288" w:lineRule="auto"/>
      </w:pPr>
      <w:r>
        <w:t xml:space="preserve">116.2 Uniqueness by construction</w:t>
      </w:r>
    </w:p>
    <w:p>
      <w:pPr>
        <w:spacing w:after="120" w:line="288" w:lineRule="auto"/>
      </w:pPr>
      <w:r>
        <w:t xml:space="preserve">Where a deployment requires that a converged state be unique rather than merely reproducible, the weight matrix is parameterized so that the network's operator is monotone, under which the existence and uniqueness of the equilibrium follow by construction and are established independently of the path by which the equilibrium was reached.</w:t>
      </w:r>
    </w:p>
    <w:p>
      <w:pPr>
        <w:spacing w:after="120" w:line="288" w:lineRule="auto"/>
      </w:pPr>
      <w:r>
        <w:t xml:space="preserve">This is a stronger guarantee than the capacity bound and is available at a cost. The parameterization constrains every weight update: the Synaptic Weight Store must maintain the constraint on each write rather than only at initialization, which restricts the Hebbian update path specified elsewhere. A deployment elects the parameterization per network, and the election is recorded, because a network operated under it and a network operated under the capacity bound carry different guarantees and a reader of a result is entitled to know which applies.</w:t>
      </w:r>
    </w:p>
    <w:p>
      <w:pPr>
        <w:spacing w:after="120" w:line="288" w:lineRule="auto"/>
      </w:pPr>
      <w:r>
        <w:t xml:space="preserve">Under the parameterization the determinism claim strengthens from a statistical statement to a structural one: the same query over the same records reaches the same stable state not because a spurious state is improbable but because no other stable state exists. The capacity bound remains in force for networks not so parameterized, and remains the default.</w:t>
      </w:r>
    </w:p>
    <w:p>
      <w:pPr>
        <w:pStyle w:val="Heading2"/>
        <w:spacing w:after="100" w:before="220" w:line="288" w:lineRule="auto"/>
      </w:pPr>
      <w:r>
        <w:t xml:space="preserve">116.2.1 Disclosure of the convergence regime</w:t>
      </w:r>
    </w:p>
    <w:p>
      <w:pPr>
        <w:spacing w:after="120" w:line="288" w:lineRule="auto"/>
      </w:pPr>
      <w:r>
        <w:t xml:space="preserve">A network operates under exactly one of two convergence regimes, and an output derived from it carries an indication of which was in effect. Under the first, the weights are parameterized as above and the identity of the converged state is guaranteed by construction. Under the second, the number of stored configurations is held below the retrieval-phase boundary and the identity of the converged state is rendered improbable to differ, not impossible.</w:t>
      </w:r>
    </w:p>
    <w:p>
      <w:pPr>
        <w:spacing w:after="120" w:line="288" w:lineRule="auto"/>
      </w:pPr>
      <w:r>
        <w:t xml:space="preserve">The disclosure exists because the two regimes support different statements about the same output, and a recipient cannot distinguish them from the output itself. An answer produced under the first regime is the answer the records support; an answer produced under the second is an answer the records support, with a small and bounded probability that another stable configuration existed. In a clinical, legal or compliance setting the difference is the difference between a defensible result and a probably-defensible one, and a reader entitled to rely on the result is entitled to know which they hold.</w:t>
      </w:r>
    </w:p>
    <w:p>
      <w:pPr>
        <w:spacing w:after="120" w:line="288" w:lineRule="auto"/>
      </w:pPr>
      <w:r>
        <w:t xml:space="preserve">The regime election is a member of the permanently-excluded subsystem set. It is changed by an operator and recorded with that operator's identity, and no proposal generated within the system may alter it. A mechanism able to elect its own convergence regime could elect the weaker one to obtain the freer weight updates, and the guarantee a reader relies upon would then be a function of what suited the system rather than of what an operator decided.</w:t>
      </w:r>
    </w:p>
    <w:p>
      <w:pPr>
        <w:pStyle w:val="Heading2"/>
        <w:spacing w:after="100" w:before="220" w:line="288" w:lineRule="auto"/>
      </w:pPr>
      <w:r>
        <w:t xml:space="preserve">116.3 Frame reconstruction, bounded</w:t>
      </w:r>
    </w:p>
    <w:p>
      <w:pPr>
        <w:spacing w:after="120" w:line="288" w:lineRule="auto"/>
      </w:pPr>
      <w:r>
        <w:t xml:space="preserve">A partially-observed sensor frame is completed by converging its observed regions to the nearest stored configuration, as the hyperedge completion of §53.7 converges a partially-observed constituent set. Three constraints bound the operation, and they exist because reconstruction produces content that was not observed.</w:t>
      </w:r>
    </w:p>
    <w:p>
      <w:pPr>
        <w:spacing w:after="120" w:line="288" w:lineRule="auto"/>
      </w:pPr>
      <w:r>
        <w:t xml:space="preserve">A reconstructed region is marked as reconstructed and is never presented as observed. Its confidence is bounded above by the least of the observed regions' confidence and the confidence of the stored configuration it converged to — by way of example, an observed region at 0.94 converging to a stored configuration at 0.88 yields 0.88. And a reconstructed region is inadmissible as evidence: it grounds no assertion, contributes to no confidence value elsewhere, and is not citable, on the terms already governing a forecast.</w:t>
      </w:r>
    </w:p>
    <w:p>
      <w:pPr>
        <w:spacing w:after="120" w:line="288" w:lineRule="auto"/>
      </w:pPr>
      <w:r>
        <w:t xml:space="preserve">Where the observed regions do not converge to a stored configuration within the iteration ceiling, no reconstruction is produced and the gap is reported as a gap. A frame with a hole is a truthful frame; a frame whose hole has been filled with the system's best guess, presented as observation, is not.</w:t>
      </w:r>
    </w:p>
    <w:p>
      <w:pPr>
        <w:pStyle w:val="Heading2"/>
        <w:spacing w:after="100" w:before="220" w:line="288" w:lineRule="auto"/>
      </w:pPr>
      <w:r>
        <w:t xml:space="preserve">116.4 Alignment that preserves genuine difference</w:t>
      </w:r>
    </w:p>
    <w:p>
      <w:pPr>
        <w:spacing w:after="120" w:line="288" w:lineRule="auto"/>
      </w:pPr>
      <w:r>
        <w:t xml:space="preserve">Timelines, historical sequences and editions may be aligned by convergence, and the proposal that edition differences converge to stable attractors requires one correction before it is safe. Convergence must distinguish an artifact of extraction from a real difference between two editions. An edition that genuinely says something different from another is not noise, and a mechanism that converged them would erase the difference the edition comparison exists to report.</w:t>
      </w:r>
    </w:p>
    <w:p>
      <w:pPr>
        <w:spacing w:after="120" w:line="288" w:lineRule="auto"/>
      </w:pPr>
      <w:r>
        <w:t xml:space="preserve">The distinction is made by magnitude against a configured threshold. A divergence below the threshold is treated as extraction variance and converged; a divergence at or above it is preserved as a genuine difference, reported by the edition comparison, and never converged. By way of example, a divergence of 0.31 against a threshold of 0.15 is preserved. Where a divergence cannot be classified it is preserved, because preserving a spurious difference costs a reader a footnote and erasing a real one costs them the fact.</w:t>
      </w:r>
    </w:p>
    <w:p>
      <w:pPr>
        <w:spacing w:after="120" w:line="288" w:lineRule="auto"/>
      </w:pPr>
      <w:r>
        <w:t xml:space="preserve">A preserved difference is recorded in the contradiction index where the two editions assert incompatible content, so that a genuine editorial disagreement between editions surfaces as a disagreement rather than being resolved silently in favour of whichever edition was processed first.</w:t>
      </w:r>
    </w:p>
    <w:p>
      <w:pPr>
        <w:pStyle w:val="Heading2"/>
        <w:spacing w:after="100" w:before="220" w:line="288" w:lineRule="auto"/>
      </w:pPr>
      <w:r>
        <w:t xml:space="preserve">116.5 Control-loop stabilization that does not conceal a fault</w:t>
      </w:r>
    </w:p>
    <w:p>
      <w:pPr>
        <w:spacing w:after="120" w:line="288" w:lineRule="auto"/>
      </w:pPr>
      <w:r>
        <w:t xml:space="preserve">A control signal derived from sensor input is stabilized by convergence, damping the oscillation and jitter that arise where successive sensor frames disagree. Stabilization applies to the commanded signal and not to the constraint evaluation: a damped command is evaluated against the constraint set of Chapter 114 or Chapter 115 exactly as an undamped one, and damping never brings a command within a limit it would otherwise violate.</w:t>
      </w:r>
    </w:p>
    <w:p>
      <w:pPr>
        <w:spacing w:after="120" w:line="288" w:lineRule="auto"/>
      </w:pPr>
      <w:r>
        <w:t xml:space="preserve">The essential constraint is this. Oscillation is frequently a symptom rather than a nuisance: a control loop that oscillates because a sensor is failing, because a calibration has drifted, or because two units are contending for the same volume is a loop reporting a fault, and a mechanism that damped it indefinitely would conceal the fault while continuing to command the equipment. Damping is therefore bounded and monitored.</w:t>
      </w:r>
    </w:p>
    <w:p>
      <w:pPr>
        <w:spacing w:after="120" w:line="288" w:lineRule="auto"/>
      </w:pPr>
      <w:r>
        <w:t xml:space="preserve">Where the sign of the control error changes at or above a configured frequency across a window — by way of example five sign changes across six samples — a control fault is raised, damping ceases, and the halt path of §114.6 is invoked. The system does not stabilize its way through a persistent oscillation, and a loop that requires continuous damping to remain within limits is reported rather than sustained.</w:t>
      </w:r>
    </w:p>
    <w:p>
      <w:pPr>
        <w:pStyle w:val="Heading2"/>
        <w:spacing w:after="100" w:before="220" w:line="288" w:lineRule="auto"/>
      </w:pPr>
      <w:r>
        <w:t xml:space="preserve">116.6 Not adopted</w:t>
      </w:r>
    </w:p>
    <w:p>
      <w:pPr>
        <w:spacing w:after="120" w:line="288" w:lineRule="auto"/>
      </w:pPr>
      <w:r>
        <w:t xml:space="preserve">Row 223 evaluates the energy of a four-unit configuration under symmetric weights, returning −2.0, the value reached by descent from a configuration at 0.0. Row 224 bounds a reconstructed region's confidence at the lesser of the observed 0.94 and the stored configuration's 0.88.</w:t>
      </w:r>
    </w:p>
    <w:p>
      <w:pPr>
        <w:pStyle w:val="Heading1"/>
        <w:spacing w:after="120" w:before="280" w:line="288" w:lineRule="auto"/>
      </w:pPr>
      <w:r>
        <w:t xml:space="preserve">Chapter 117</w:t>
      </w:r>
    </w:p>
    <w:p>
      <w:pPr>
        <w:pStyle w:val="Heading2"/>
        <w:spacing w:after="100" w:before="220" w:line="288" w:lineRule="auto"/>
      </w:pPr>
      <w:r>
        <w:t xml:space="preserve">117.1 The trial budget</w:t>
      </w:r>
    </w:p>
    <w:p>
      <w:pPr>
        <w:spacing w:after="120" w:line="288" w:lineRule="auto"/>
      </w:pPr>
      <w:r>
        <w:t xml:space="preserve">A trial is an operation and is metered as a bounded compute-accounting slice carrying a trial category. Trial slices are allocated a budget per interval, and the scheduler serves a trial slice below every production category: below safety evaluation without exception, below a slice serving a requester, and below ingestion. A trial that would exceed its allocation is deferred rather than served at reduced priority, so a trial campaign cannot degrade the system it is measuring.</w:t>
      </w:r>
    </w:p>
    <w:p>
      <w:pPr>
        <w:spacing w:after="120" w:line="288" w:lineRule="auto"/>
      </w:pPr>
      <w:r>
        <w:t xml:space="preserve">This displaces the assumption that trials are free. They are free of physical consequence — nothing wears, nothing is damaged, nothing crashes — and that is a genuine and substantial advantage, because it permits exploration that would be prohibitive with equipment. It is not freedom from cost, and a trial architecture built on the stronger assumption would contend with production under exactly the load conditions where measurement matters most.</w:t>
      </w:r>
    </w:p>
    <w:p>
      <w:pPr>
        <w:spacing w:after="120" w:line="288" w:lineRule="auto"/>
      </w:pPr>
      <w:r>
        <w:t xml:space="preserve">Trial slices are recorded in the compute-accounting ledger like any other, so the cost of a campaign is known rather than assumed, and an operator deciding whether to run one is deciding with a figure in front of them.</w:t>
      </w:r>
    </w:p>
    <w:p>
      <w:pPr>
        <w:pStyle w:val="Heading2"/>
        <w:spacing w:after="100" w:before="220" w:line="288" w:lineRule="auto"/>
      </w:pPr>
      <w:r>
        <w:t xml:space="preserve">117.2 What a trial may and may not touch</w:t>
      </w:r>
    </w:p>
    <w:p>
      <w:pPr>
        <w:spacing w:after="120" w:line="288" w:lineRule="auto"/>
      </w:pPr>
      <w:r>
        <w:t xml:space="preserve">A trial executes against a trial corpus and a trial configuration, both isolated from production records. A trial constructs no knowledge record admitted to the production Fact Graph, adjusts no confidence value of a production record, emits no command to physical equipment outside a simulation, and produces no output delivered to a requester.</w:t>
      </w:r>
    </w:p>
    <w:p>
      <w:pPr>
        <w:spacing w:after="120" w:line="288" w:lineRule="auto"/>
      </w:pPr>
      <w:r>
        <w:t xml:space="preserve">A trial result is recorded as a trial record, distinguishable by type, and is excluded from a scope description constructed for an ordinary query on the same terms as an analysis record. A finding produced by a trial is a finding about the system, not a fact about the world, and it does not become admissible as grounding because the trial that produced it was thorough.</w:t>
      </w:r>
    </w:p>
    <w:p>
      <w:pPr>
        <w:spacing w:after="120" w:line="288" w:lineRule="auto"/>
      </w:pPr>
      <w:r>
        <w:t xml:space="preserve">No trial result applies a change. Where a trial identifies a defect or a parameter that should be adjusted, it emits a proposal into the improvement mechanism, and the proposal takes effect upon an approval recorded against a named human reviewer with that reviewer's reasoning. A campaign of ten million trials and a campaign of one produce the same class of output: evidence for a person to act on.</w:t>
      </w:r>
    </w:p>
    <w:p>
      <w:pPr>
        <w:pStyle w:val="Heading2"/>
        <w:spacing w:after="100" w:before="220" w:line="288" w:lineRule="auto"/>
      </w:pPr>
      <w:r>
        <w:t xml:space="preserve">117.3 The trial layers</w:t>
      </w:r>
    </w:p>
    <w:p>
      <w:pPr>
        <w:pStyle w:val="Heading2"/>
        <w:spacing w:after="100" w:before="220" w:line="288" w:lineRule="auto"/>
      </w:pPr>
      <w:r>
        <w:t xml:space="preserve">117.4 The three modes</w:t>
      </w:r>
    </w:p>
    <w:p>
      <w:pPr>
        <w:spacing w:after="120" w:line="288" w:lineRule="auto"/>
      </w:pPr>
      <w:r>
        <w:t xml:space="preserve">Exhaustive mode enumerates a trial space systematically rather than sampling it, and records which regions were covered and which were not. The value of the cost-free property is realised here: a space that would be prohibitive to explore with equipment can be explored completely, and the residue that was not covered is stated rather than left as an unexamined assumption.</w:t>
      </w:r>
    </w:p>
    <w:p>
      <w:pPr>
        <w:spacing w:after="120" w:line="288" w:lineRule="auto"/>
      </w:pPr>
      <w:r>
        <w:t xml:space="preserve">Regression mode executes on every change to a knowledge structure, a parameter, a registered resource or an implementation. Its rule is a single one: a case that passed before the change and fails after it blocks the change. The change is not applied and the regressing case is reported with both results. A change that improves one behaviour while silently breaking another is the failure mode regression testing exists to catch, and a regression suite that merely reports rather than blocks does not catch it.</w:t>
      </w:r>
    </w:p>
    <w:p>
      <w:pPr>
        <w:spacing w:after="120" w:line="288" w:lineRule="auto"/>
      </w:pPr>
      <w:r>
        <w:t xml:space="preserve">Adversarial mode supplies worst-case input deliberately: mutually contradictory records, malformed media, inputs constructed to drive convergence toward a spurious configuration, equipment scenarios constructed to approach a constraint boundary. What is measured is whether the system's stated refusals actually fire — whether the vocabulary constraint holds, whether the veto vetoes, whether the halt halts. A refusal that has never been exercised is an assumption.</w:t>
      </w:r>
    </w:p>
    <w:p>
      <w:pPr>
        <w:pStyle w:val="Heading2"/>
        <w:spacing w:after="100" w:before="220" w:line="288" w:lineRule="auto"/>
      </w:pPr>
      <w:r>
        <w:t xml:space="preserve">117.5 Metrics</w:t>
      </w:r>
    </w:p>
    <w:p>
      <w:pPr>
        <w:spacing w:after="120" w:line="288" w:lineRule="auto"/>
      </w:pPr>
      <w:r>
        <w:t xml:space="preserve">Determinism is measured against an identical corpus state, and the qualification is necessary. Confidence values move as evidence accumulates, so the same query at two times over a corpus that changed in between may correctly yield different answers. What is tested is that the same query over the same records in the same state yields the same answer, which is the guarantee actually claimed.</w:t>
      </w:r>
    </w:p>
    <w:p>
      <w:pPr>
        <w:pStyle w:val="Heading2"/>
        <w:spacing w:after="100" w:before="220" w:line="288" w:lineRule="auto"/>
      </w:pPr>
      <w:r>
        <w:t xml:space="preserve">117.6 What a simulated pass does not license</w:t>
      </w:r>
    </w:p>
    <w:p>
      <w:pPr>
        <w:spacing w:after="120" w:line="288" w:lineRule="auto"/>
      </w:pPr>
      <w:r>
        <w:t xml:space="preserve">A trial result concerning equipment is evidence about a model of that equipment. It is not evidence about the equipment, and it is not clearance to operate it. A unit is cleared for operation by the hazard analysis, verification and certification its chapter requires, performed on that specific unit in its specific configuration, and a simulated campaign neither substitutes for nor accelerates that.</w:t>
      </w:r>
    </w:p>
    <w:p>
      <w:pPr>
        <w:spacing w:after="120" w:line="288" w:lineRule="auto"/>
      </w:pPr>
      <w:r>
        <w:t xml:space="preserve">This is stated as a rule rather than a caution because the temptation is structural. A campaign of ten thousand successful simulated transfers produces a number that looks like assurance, and it is assurance about the simulation's fidelity to a machine whose fidelity to the simulation is exactly what has not been established. Where a simulation and a physical trial disagree, the physical trial governs, and the disagreement is recorded as a finding about the simulation.</w:t>
      </w:r>
    </w:p>
    <w:p>
      <w:pPr>
        <w:spacing w:after="120" w:line="288" w:lineRule="auto"/>
      </w:pPr>
      <w:r>
        <w:t xml:space="preserve">A trial campaign may therefore contribute to a hazard analysis as one input among the inputs that analysis requires. It may not conclude one.</w:t>
      </w:r>
    </w:p>
    <w:p>
      <w:pPr>
        <w:pStyle w:val="Heading2"/>
        <w:spacing w:after="100" w:before="220" w:line="288" w:lineRule="auto"/>
      </w:pPr>
      <w:r>
        <w:t xml:space="preserve">117.7 The system as its own subject</w:t>
      </w:r>
    </w:p>
    <w:p>
      <w:pPr>
        <w:spacing w:after="120" w:line="288" w:lineRule="auto"/>
      </w:pPr>
      <w:r>
        <w:t xml:space="preserve">The behavioural probes already specified for evaluating an external system are applicable to this system, and applying them inward is the most direct expression of the trial architecture. The response-consistency probe already records that this system's reference value is 1.0 by construction and that a deployment measuring anything else has a defect. The perturbation probe supplies inputs whose semantic fingerprints are provably identical, so a difference in output is provably a difference in behaviour rather than in the question.</w:t>
      </w:r>
    </w:p>
    <w:p>
      <w:pPr>
        <w:spacing w:after="120" w:line="288" w:lineRule="auto"/>
      </w:pPr>
      <w:r>
        <w:t xml:space="preserve">Applied inward, those probes measure the property the specification claims rather than a proxy for it. A system that publishes a determinism figure for another system and does not measure its own is asserting where it could be reporting.</w:t>
      </w:r>
    </w:p>
    <w:p>
      <w:pPr>
        <w:spacing w:after="120" w:line="288" w:lineRule="auto"/>
      </w:pPr>
      <w:r>
        <w:t xml:space="preserve">Row 234 evaluates coverage of 847 executed cases against an enumerated space of 920, returning 0.9207 with the uncovered 73 enumerated. Row 235 evaluates a determinism measurement of 1000 identical fingerprints over 1000 repeated trials.</w:t>
      </w:r>
    </w:p>
    <w:p>
      <w:pPr>
        <w:pStyle w:val="Heading1"/>
        <w:spacing w:after="120" w:before="280" w:line="288" w:lineRule="auto"/>
      </w:pPr>
      <w:r>
        <w:t xml:space="preserve">Chapter 120</w:t>
      </w:r>
    </w:p>
    <w:p>
      <w:pPr>
        <w:pStyle w:val="Heading2"/>
        <w:spacing w:after="100" w:before="220" w:line="288" w:lineRule="auto"/>
      </w:pPr>
      <w:r>
        <w:t xml:space="preserve">120.1 Object registration and the fragility limit</w:t>
      </w:r>
    </w:p>
    <w:p>
      <w:pPr>
        <w:spacing w:after="120" w:line="288" w:lineRule="auto"/>
      </w:pPr>
      <w:r>
        <w:t xml:space="preserve">A graspable object is registered with a mass, a permitted grip force, a fragility limit above which the object is damaged, and a set of admissible contact regions. A grasp is planned against that registration and not against a perception of the object, so the force applied is bounded by what the object tolerates rather than by what the gripper can exert.</w:t>
      </w:r>
    </w:p>
    <w:p>
      <w:pPr>
        <w:spacing w:after="120" w:line="288" w:lineRule="auto"/>
      </w:pPr>
      <w:r>
        <w:t xml:space="preserve">An object not registered is not grasped. Where a task requires grasping an unregistered object the task halts and reports the absence, because the alternative is inferring a grip force from appearance, and an inference about how hard to squeeze something is an inference whose error is destructive and immediate.</w:t>
      </w:r>
    </w:p>
    <w:p>
      <w:pPr>
        <w:spacing w:after="120" w:line="288" w:lineRule="auto"/>
      </w:pPr>
      <w:r>
        <w:t xml:space="preserve">Applied force is the least of three quantities: the unit's registered force ceiling, the object's fragility limit, and the force computed as necessary for the grasp with a configured margin. By way of example a required 12.4 newtons with a 15 per cent margin, against a unit ceiling of 18 and a fragility limit of 15, yields 14.26 newtons applied. The margin is applied before the limits rather than after, so a margin cannot carry the applied force above a limit.</w:t>
      </w:r>
    </w:p>
    <w:p>
      <w:pPr>
        <w:pStyle w:val="Heading2"/>
        <w:spacing w:after="100" w:before="220" w:line="288" w:lineRule="auto"/>
      </w:pPr>
      <w:r>
        <w:t xml:space="preserve">120.2 Slip</w:t>
      </w:r>
    </w:p>
    <w:p>
      <w:pPr>
        <w:spacing w:after="120" w:line="288" w:lineRule="auto"/>
      </w:pPr>
      <w:r>
        <w:t xml:space="preserve">Slip is detected from a divergence between commanded and observed object position while a grasp is held. On detection the applied force increases toward the lesser of the unit ceiling and the fragility limit — 15.0 newtons in the worked example — and no further.</w:t>
      </w:r>
    </w:p>
    <w:p>
      <w:pPr>
        <w:spacing w:after="120" w:line="288" w:lineRule="auto"/>
      </w:pPr>
      <w:r>
        <w:t xml:space="preserve">Where slip continues at that bound the grasp is released under control rather than tightened, and the release is recorded with the object, the force at release and the observed slip rate. This is the rule that distinguishes a manipulator from a clamp: the object's fragility limit is a limit and not a target, and an object that will not be held within its limit is an object that is not to be held.</w:t>
      </w:r>
    </w:p>
    <w:p>
      <w:pPr>
        <w:pStyle w:val="Heading2"/>
        <w:spacing w:after="100" w:before="220" w:line="288" w:lineRule="auto"/>
      </w:pPr>
      <w:r>
        <w:t xml:space="preserve">120.3 Release is the correct failure</w:t>
      </w:r>
    </w:p>
    <w:p>
      <w:pPr>
        <w:spacing w:after="120" w:line="288" w:lineRule="auto"/>
      </w:pPr>
      <w:r>
        <w:t xml:space="preserve">On loss of power, loss of control signal, fault in the safety-related control path, or a halt from any source, the gripper opens. It does not retain the object, and this is a registration requirement for every unit under this chapter rather than a runtime behaviour.</w:t>
      </w:r>
    </w:p>
    <w:p>
      <w:pPr>
        <w:spacing w:after="120" w:line="288" w:lineRule="auto"/>
      </w:pPr>
      <w:r>
        <w:t xml:space="preserve">The exception, and the only one, is a grasp whose release would drop the object onto a person or onto equipment below. Such a grasp is planned so that the release path is clear before the grasp is made: a manipulator does not lift an object over a person, and a trajectory whose release path is obstructed is refused at planning rather than managed during execution. Where an obstruction enters the release path during a held grasp, the unit moves to the nearest pose with a clear release path within its envelope, and where none exists it holds and raises a fault.</w:t>
      </w:r>
    </w:p>
    <w:p>
      <w:pPr>
        <w:spacing w:after="120" w:line="288" w:lineRule="auto"/>
      </w:pPr>
      <w:r>
        <w:t xml:space="preserve">A dropped object is a cost. A crushed object, a trapped hand and an object retained by a machine nobody can command are worse, and a failure architecture that treats dropping as the worst outcome will produce the others.</w:t>
      </w:r>
    </w:p>
    <w:p>
      <w:pPr>
        <w:pStyle w:val="Heading2"/>
        <w:spacing w:after="100" w:before="220" w:line="288" w:lineRule="auto"/>
      </w:pPr>
      <w:r>
        <w:t xml:space="preserve">120.4 Handover to a person</w:t>
      </w:r>
    </w:p>
    <w:p>
      <w:pPr>
        <w:spacing w:after="120" w:line="288" w:lineRule="auto"/>
      </w:pPr>
      <w:r>
        <w:t xml:space="preserve">A handover is contact under Chapter 115 and requires the authorization of that chapter, not this one. The manipulator presents the object within reach and applies no force toward the person; the person takes it.</w:t>
      </w:r>
    </w:p>
    <w:p>
      <w:pPr>
        <w:spacing w:after="120" w:line="288" w:lineRule="auto"/>
      </w:pPr>
      <w:r>
        <w:t xml:space="preserve">Release is conditioned on observed stable support by the recipient rather than on a timer alone: the object is released when the recipient's support is detected and sustained across a configured interval. Where support is not detected within a configured timeout the object is not released into the air but lowered under control to a registered surface, and the handover is reported incomplete.</w:t>
      </w:r>
    </w:p>
    <w:p>
      <w:pPr>
        <w:spacing w:after="120" w:line="288" w:lineRule="auto"/>
      </w:pPr>
      <w:r>
        <w:t xml:space="preserve">The manipulator never pulls, never resists a person taking the object, and never re-grasps an object a person has taken. A person who has begun to take an object and changed their mind is a person who has withdrawn from the contact, and the withdrawal rule of Chapter 115 governs.</w:t>
      </w:r>
    </w:p>
    <w:p>
      <w:pPr>
        <w:spacing w:after="120" w:line="288" w:lineRule="auto"/>
      </w:pPr>
      <w:r>
        <w:t xml:space="preserve">No object is placed into contact with a person's body. A handover presents an object to a hand that reaches for it; it does not press an object against anyone.</w:t>
      </w:r>
    </w:p>
    <w:p>
      <w:pPr>
        <w:pStyle w:val="Heading1"/>
        <w:spacing w:after="120" w:before="280" w:line="288" w:lineRule="auto"/>
      </w:pPr>
      <w:r>
        <w:t xml:space="preserve">Chapter 121</w:t>
      </w:r>
    </w:p>
    <w:p>
      <w:pPr>
        <w:pStyle w:val="Heading2"/>
        <w:spacing w:after="100" w:before="220" w:line="288" w:lineRule="auto"/>
      </w:pPr>
      <w:r>
        <w:t xml:space="preserve">121.1 The navigable region</w:t>
      </w:r>
    </w:p>
    <w:p>
      <w:pPr>
        <w:spacing w:after="120" w:line="288" w:lineRule="auto"/>
      </w:pPr>
      <w:r>
        <w:t xml:space="preserve">A navigable region is registered in place of an operating volume: a set of surfaces on which the unit may travel, a set of boundaries it may not cross, and a set of zones from which it is excluded outright. The region is fixed; the free space within it is not, and the difference is the whole of this chapter.</w:t>
      </w:r>
    </w:p>
    <w:p>
      <w:pPr>
        <w:spacing w:after="120" w:line="288" w:lineRule="auto"/>
      </w:pPr>
      <w:r>
        <w:t xml:space="preserve">Within the region the unit maintains a clearance model from its sensors, updated continuously, holding the distance to the nearest obstacle along each candidate heading. The model is working state under the terms already specified: it is session-scoped, is not admitted as a knowledge record, and is discarded at session end. A clearance model older than the configured staleness bound halts motion, as a stale equipment state halts a command.</w:t>
      </w:r>
    </w:p>
    <w:p>
      <w:pPr>
        <w:pStyle w:val="Heading2"/>
        <w:spacing w:after="100" w:before="220" w:line="288" w:lineRule="auto"/>
      </w:pPr>
      <w:r>
        <w:t xml:space="preserve">121.2 Speed is a function of clearance</w:t>
      </w:r>
    </w:p>
    <w:p>
      <w:pPr>
        <w:spacing w:after="120" w:line="288" w:lineRule="auto"/>
      </w:pPr>
      <w:r>
        <w:t xml:space="preserve">Commanded speed is bounded by the clearance ahead, so a unit slows as space closes rather than maintaining a speed until an obstacle requires a stop. The bound is the lesser of the unit's registered maximum and a configured coefficient multiplied by the clearance.</w:t>
      </w:r>
    </w:p>
    <w:p>
      <w:pPr>
        <w:spacing w:after="120" w:line="288" w:lineRule="auto"/>
      </w:pPr>
      <w:r>
        <w:t xml:space="preserve">By way of example at a coefficient of 0.6 and a registered maximum of 1.5 metres per second: a clearance of 2.4 metres permits 1.44 metres per second, 1.2 metres permits 0.72, 0.6 metres permits 0.36, and 0.3 metres permits 0.18. The relation is stated rather than tuned because its property matters more than its constants: the stopping distance at every permitted speed is less than the clearance that permitted it.</w:t>
      </w:r>
    </w:p>
    <w:p>
      <w:pPr>
        <w:spacing w:after="120" w:line="288" w:lineRule="auto"/>
      </w:pPr>
      <w:r>
        <w:t xml:space="preserve">Schedule does not enter the bound. A unit behind on a task does not travel faster, and no task parameter, priority or deadline raises the coefficient. A machine that hurried when late would be fastest exactly when its planning was worst.</w:t>
      </w:r>
    </w:p>
    <w:p>
      <w:pPr>
        <w:pStyle w:val="Heading2"/>
        <w:spacing w:after="100" w:before="220" w:line="288" w:lineRule="auto"/>
      </w:pPr>
      <w:r>
        <w:t xml:space="preserve">121.3 The machine yields</w:t>
      </w:r>
    </w:p>
    <w:p>
      <w:pPr>
        <w:spacing w:after="120" w:line="288" w:lineRule="auto"/>
      </w:pPr>
      <w:r>
        <w:t xml:space="preserve">Where a person's path and the unit's path conflict, the unit yields. It does not assert a right of way, does not signal an intention for the person to accommodate, and does not compute which party can more efficiently give way. Yielding is stopping or withdrawing along the path already travelled, both of which are legible to a person watching; routing around a person at speed is not, and a person who cannot predict a machine cannot avoid it.</w:t>
      </w:r>
    </w:p>
    <w:p>
      <w:pPr>
        <w:spacing w:after="120" w:line="288" w:lineRule="auto"/>
      </w:pPr>
      <w:r>
        <w:t xml:space="preserve">Where two units under a common authorization conflict, precedence is resolved by a registered ordering rather than by negotiation, and the unit without precedence yields on the same terms. A deadlock in which both units hold is resolved by the registered ordering; a deadlock that persists beyond a configured interval raises a fault and both units halt.</w:t>
      </w:r>
    </w:p>
    <w:p>
      <w:pPr>
        <w:spacing w:after="120" w:line="288" w:lineRule="auto"/>
      </w:pPr>
      <w:r>
        <w:t xml:space="preserve">A unit does not follow a person. Where a person moves in the unit's direction of travel the unit yields and waits rather than maintaining a following distance, because a machine keeping pace behind someone is a machine following them whatever its planner intended.</w:t>
      </w:r>
    </w:p>
    <w:p>
      <w:pPr>
        <w:pStyle w:val="Heading2"/>
        <w:spacing w:after="100" w:before="220" w:line="288" w:lineRule="auto"/>
      </w:pPr>
      <w:r>
        <w:t xml:space="preserve">121.4 Prediction without a model of the person</w:t>
      </w:r>
    </w:p>
    <w:p>
      <w:pPr>
        <w:spacing w:after="120" w:line="288" w:lineRule="auto"/>
      </w:pPr>
      <w:r>
        <w:t xml:space="preserve">Where the free space depends on where a person will be, a clearance envelope is computed from observed motion — position, velocity and their derivatives over a short window — and from nothing else. The envelope is a region the unit treats as occupied. It is not a prediction about a person and is not stored as one.</w:t>
      </w:r>
    </w:p>
    <w:p>
      <w:pPr>
        <w:spacing w:after="120" w:line="288" w:lineRule="auto"/>
      </w:pPr>
      <w:r>
        <w:t xml:space="preserve">Four constraints keep it that way, and they follow the person-detection rules already specified. No identity is computed, so the envelope is the same for everyone. No history persists beyond the window, so nobody is tracked across a space. No envelope is retained after the interval it governs. And no envelope is available to any other mechanism, any interface or any record.</w:t>
      </w:r>
    </w:p>
    <w:p>
      <w:pPr>
        <w:spacing w:after="120" w:line="288" w:lineRule="auto"/>
      </w:pPr>
      <w:r>
        <w:t xml:space="preserve">Where observed motion does not support an envelope — a person standing still, a person whose motion is occluded — the unit treats the full reachable region as occupied rather than assuming continuation. An assumption about where someone will go is exactly the assumption that produces a collision when they do something else.</w:t>
      </w:r>
    </w:p>
    <w:p>
      <w:pPr>
        <w:pStyle w:val="Heading2"/>
        <w:spacing w:after="100" w:before="220" w:line="288" w:lineRule="auto"/>
      </w:pPr>
      <w:r>
        <w:t xml:space="preserve">121.5 Stopping rather than solving</w:t>
      </w:r>
    </w:p>
    <w:p>
      <w:pPr>
        <w:spacing w:after="120" w:line="288" w:lineRule="auto"/>
      </w:pPr>
      <w:r>
        <w:t xml:space="preserve">Where no path satisfies the constraint set, the unit stops. It does not reduce a clearance requirement to find a path, does not proceed at reduced speed through a clearance below the minimum, and does not select the least-violating trajectory. This is the constraint-layer rule of Chapter 114 restated for a condition in which it will be invoked frequently, and its frequency is the reason it needs restating: a gate that is reached often is a gate under pressure to become a preference.</w:t>
      </w:r>
    </w:p>
    <w:p>
      <w:pPr>
        <w:spacing w:after="120" w:line="288" w:lineRule="auto"/>
      </w:pPr>
      <w:r>
        <w:t xml:space="preserve">A unit stopped for a configured interval reports the obstruction with its clearance model and awaits an operator. A corridor a machine cannot pass is a fact about the corridor, and reporting it is more useful than a machine that eventually forces a way through.</w:t>
      </w:r>
    </w:p>
    <w:p>
      <w:pPr>
        <w:pStyle w:val="Heading1"/>
        <w:spacing w:after="120" w:before="280" w:line="288" w:lineRule="auto"/>
      </w:pPr>
      <w:r>
        <w:t xml:space="preserve">Chapter 122</w:t>
      </w:r>
    </w:p>
    <w:p>
      <w:pPr>
        <w:pStyle w:val="Heading2"/>
        <w:spacing w:after="100" w:before="220" w:line="288" w:lineRule="auto"/>
      </w:pPr>
      <w:r>
        <w:t xml:space="preserve">122.1 The four levels</w:t>
      </w:r>
    </w:p>
    <w:p>
      <w:pPr>
        <w:spacing w:after="120" w:line="288" w:lineRule="auto"/>
      </w:pPr>
      <w:r>
        <w:t xml:space="preserve">Each level maintains an expectation and receives an error where an observation departs from it. A level predicts within its own scope and does not predict what a level above it predicts.</w:t>
      </w:r>
    </w:p>
    <w:p>
      <w:pPr>
        <w:pStyle w:val="Heading2"/>
        <w:spacing w:after="100" w:before="220" w:line="288" w:lineRule="auto"/>
      </w:pPr>
      <w:r>
        <w:t xml:space="preserve">122.2 Attribution to the lowest accounting level</w:t>
      </w:r>
    </w:p>
    <w:p>
      <w:pPr>
        <w:spacing w:after="120" w:line="288" w:lineRule="auto"/>
      </w:pPr>
      <w:r>
        <w:t xml:space="preserve">An error is attributed to the lowest level whose residual accounts for a configured share of the total residual, and revision is applied at that level alone. Levels above it receive nothing.</w:t>
      </w:r>
    </w:p>
    <w:p>
      <w:pPr>
        <w:spacing w:after="120" w:line="288" w:lineRule="auto"/>
      </w:pPr>
      <w:r>
        <w:t xml:space="preserve">By way of example, residuals of 0.42 at the lexical level, 0.31 at the sequential, 0.08 at the conceptual and 0.05 at the invariant total 0.86. The lexical share is 0.4884, which clears a configured share of 0.40, and the error is attributed there. The world model receives nothing, and correctly: a sentence that was mis-parsed says nothing about physics.</w:t>
      </w:r>
    </w:p>
    <w:p>
      <w:pPr>
        <w:spacing w:after="120" w:line="288" w:lineRule="auto"/>
      </w:pPr>
      <w:r>
        <w:t xml:space="preserve">The rule is parsimony made operational, and its absence is the failure mode a hierarchy invites. Without it a mis-read unit of measurement propagates upward until it perturbs a physical constraint, and a system that revised its invariants on parsing errors would become less reliable the more it read. Attribution to the lowest accounting level is what makes a deeper hierarchy safe rather than merely deeper.</w:t>
      </w:r>
    </w:p>
    <w:p>
      <w:pPr>
        <w:pStyle w:val="Heading2"/>
        <w:spacing w:after="100" w:before="220" w:line="288" w:lineRule="auto"/>
      </w:pPr>
      <w:r>
        <w:t xml:space="preserve">122.3 Escalation</w:t>
      </w:r>
    </w:p>
    <w:p>
      <w:pPr>
        <w:spacing w:after="120" w:line="288" w:lineRule="auto"/>
      </w:pPr>
      <w:r>
        <w:t xml:space="preserve">Where no level clears the share, the error is unattributed and is recorded in the contradiction index rather than applied anywhere. An error that no level accounts for is a finding about the hierarchy, not an instruction to it.</w:t>
      </w:r>
    </w:p>
    <w:p>
      <w:pPr>
        <w:spacing w:after="120" w:line="288" w:lineRule="auto"/>
      </w:pPr>
      <w:r>
        <w:t xml:space="preserve">A level is escalated to only where the level below it has been eliminated: a conceptual revision requires that the lexical and sequential residuals fall below the share, and an invariant revision requires that all three below it do. An invariant is therefore revised only where the observation survived every cheaper explanation — which is the standard the correction of a physical regularity should meet.</w:t>
      </w:r>
    </w:p>
    <w:p>
      <w:pPr>
        <w:spacing w:after="120" w:line="288" w:lineRule="auto"/>
      </w:pPr>
      <w:r>
        <w:t xml:space="preserve">Repeated unattributed errors bearing on a common expectation accumulate in the index and are surfaced as a pattern. A single error no level explains is noise; a hundred of them against one expectation is a level that is missing.</w:t>
      </w:r>
    </w:p>
    <w:p>
      <w:pPr>
        <w:pStyle w:val="Heading2"/>
        <w:spacing w:after="100" w:before="220" w:line="288" w:lineRule="auto"/>
      </w:pPr>
      <w:r>
        <w:t xml:space="preserve">122.4 Interaction with the mechanisms already specified</w:t>
      </w:r>
    </w:p>
    <w:p>
      <w:pPr>
        <w:spacing w:after="120" w:line="288" w:lineRule="auto"/>
      </w:pPr>
      <w:r>
        <w:t xml:space="preserve">Revision magnitude at the attributed level is governed by the precision weighting already specified, so attribution determines where an error is applied and precision determines how far. The two are orthogonal and both are required: attribution without precision would revise the right level by the wrong amount, and precision without attribution would revise every level by a correct-looking amount.</w:t>
      </w:r>
    </w:p>
    <w:p>
      <w:pPr>
        <w:spacing w:after="120" w:line="288" w:lineRule="auto"/>
      </w:pPr>
      <w:r>
        <w:t xml:space="preserve">An error whose revision gain falls below the configured floor is retained in the contradiction index rather than discarded, so a pattern of individually-insufficient errors at one level remains queryable. Diversity applies at each level, so repeated errors from a single source class do not accumulate as errors from many.</w:t>
      </w:r>
    </w:p>
    <w:p>
      <w:pPr>
        <w:spacing w:after="120" w:line="288" w:lineRule="auto"/>
      </w:pPr>
      <w:r>
        <w:t xml:space="preserve">No level revises a constraint registered under the physical constraint mechanism. A physical constraint is refused or satisfied; it is not adjusted by observation, and an observation that appears to contradict one enters the contradiction index rather than relaxing it.</w:t>
      </w:r>
    </w:p>
    <w:p>
      <w:pPr>
        <w:pStyle w:val="Heading1"/>
        <w:spacing w:after="120" w:before="280" w:line="288" w:lineRule="auto"/>
      </w:pPr>
      <w:r>
        <w:t xml:space="preserve">Chapter 123</w:t>
      </w:r>
    </w:p>
    <w:p>
      <w:pPr>
        <w:pStyle w:val="Heading2"/>
        <w:spacing w:after="100" w:before="220" w:line="288" w:lineRule="auto"/>
      </w:pPr>
      <w:r>
        <w:t xml:space="preserve">123.1 Differentiated propagation by edge class</w:t>
      </w:r>
    </w:p>
    <w:p>
      <w:pPr>
        <w:spacing w:after="120" w:line="288" w:lineRule="auto"/>
      </w:pPr>
      <w:r>
        <w:t xml:space="preserve">Associative recall pre-activates records semantically proximate to a query. Every edge presently costs the same to traverse, so a traversal budget is spent uniformly across edge classes that differ substantially in how far a useful association extends.</w:t>
      </w:r>
    </w:p>
    <w:p>
      <w:pPr>
        <w:spacing w:after="120" w:line="288" w:lineRule="auto"/>
      </w:pPr>
      <w:r>
        <w:t xml:space="preserve">Each edge class is assigned a traversal cost, and a pre-activation is bounded by a budget rather than by a hop count. A semantic edge is cheap because semantic proximity remains informative over several hops; an editorial edge is dearer because relevance across edition boundaries decays faster; a temporal edge is dearest because two records adjacent in time are frequently unrelated in substance, and a long temporal walk gathers noise rather than context.</w:t>
      </w:r>
    </w:p>
    <w:p>
      <w:pPr>
        <w:spacing w:after="120" w:line="288" w:lineRule="auto"/>
      </w:pPr>
      <w:r>
        <w:t xml:space="preserve">A traversal apportions its budget across classes and stops when the budget is exhausted, so a query reaching widely through meaning and shallowly through time costs the same as one doing the reverse. By way of example, twelve semantic hops at cost 1, two editorial hops at cost 3, and no temporal hop consumes 18 of a 24-unit budget.</w:t>
      </w:r>
    </w:p>
    <w:p>
      <w:pPr>
        <w:spacing w:after="120" w:line="288" w:lineRule="auto"/>
      </w:pPr>
      <w:r>
        <w:t xml:space="preserve">Two properties follow and both matter. Traversal is bounded by construction rather than by a stopping heuristic, so pre-activation terminates on a stated quantity. And the costs are registered configuration rather than learned parameters: the same query over the same records under the same cost table pre-activates the same set on every execution, which is the determinism already claimed, preserved through a mechanism that could easily have broken it.</w:t>
      </w:r>
    </w:p>
    <w:p>
      <w:pPr>
        <w:spacing w:after="120" w:line="288" w:lineRule="auto"/>
      </w:pPr>
      <w:r>
        <w:t xml:space="preserve">Costs are operator-configurable within a registered range and are recorded with the response, so a result is reproducible from its recorded cost table. No cost is adjusted by the system from its own experience: a class of edge does not become cheap because traversing it has been useful, which would make the reach of a query a function of accumulated history rather than of a decision.</w:t>
      </w:r>
    </w:p>
    <w:p>
      <w:pPr>
        <w:pStyle w:val="Heading2"/>
        <w:spacing w:after="100" w:before="220" w:line="288" w:lineRule="auto"/>
      </w:pPr>
      <w:r>
        <w:t xml:space="preserve">123.2 Tri-temporal scope</w:t>
      </w:r>
    </w:p>
    <w:p>
      <w:pPr>
        <w:spacing w:after="120" w:line="288" w:lineRule="auto"/>
      </w:pPr>
      <w:r>
        <w:t xml:space="preserve">Three temporal postures over the same knowledge structure are already specified separately and are unified here, because a requester is entitled to know which one produced an answer and the distinction is not currently visible in the output.</w:t>
      </w:r>
    </w:p>
    <w:p>
      <w:pPr>
        <w:spacing w:after="120" w:line="288" w:lineRule="auto"/>
      </w:pPr>
      <w:r>
        <w:t xml:space="preserve">The postures are not interchangeable and a response states which it used. An answer resolved in the attested-past posture is an answer about what was known then; the same query in the live-present posture may differ, and both may be correct. Presenting either without saying which would make a difference between two answers look like an inconsistency when it is a difference of posture.</w:t>
      </w:r>
    </w:p>
    <w:p>
      <w:pPr>
        <w:spacing w:after="120" w:line="288" w:lineRule="auto"/>
      </w:pPr>
      <w:r>
        <w:t xml:space="preserve">A single response may not mix postures within one assertion. Where a response draws on more than one, each proposition carries the posture that produced it, and a proposition resolved in the projected-future posture carries its label and its interval wherever it appears. The rule preventing a forecast from grounding a subsequent answer is unchanged and is not relaxed by the forecast appearing alongside attested material.</w:t>
      </w:r>
    </w:p>
    <w:p>
      <w:pPr>
        <w:pStyle w:val="Heading2"/>
        <w:spacing w:after="100" w:before="220" w:line="288" w:lineRule="auto"/>
      </w:pPr>
      <w:r>
        <w:t xml:space="preserve">123.3 What is not adopted from the proposal</w:t>
      </w:r>
    </w:p>
    <w:p>
      <w:pPr>
        <w:pStyle w:val="Heading2"/>
        <w:spacing w:after="100" w:before="220" w:line="288" w:lineRule="auto"/>
      </w:pPr>
      <w:r>
        <w:t xml:space="preserve">123.4 On the cited research</w:t>
      </w:r>
    </w:p>
    <w:p>
      <w:pPr>
        <w:spacing w:after="120" w:line="288" w:lineRule="auto"/>
      </w:pPr>
      <w:r>
        <w:t xml:space="preserve">The proposal rests on research suggesting that cellular microtubules function as structured computational substrates. The state of that literature is genuinely contested rather than settled: experimental work published in 2025 reports room-temperature quantum effects in microtubules and anaesthetic action upon them, while the standing decoherence objection holds that coherence in a warm cellular environment survives on the order of 10⁻¹³ seconds, and other work concludes that tubulins do not possess the properties the proposal requires.</w:t>
      </w:r>
    </w:p>
    <w:p>
      <w:pPr>
        <w:spacing w:after="120" w:line="288" w:lineRule="auto"/>
      </w:pPr>
      <w:r>
        <w:t xml:space="preserve">This chapter takes no position on that dispute, because the dispute does not need resolving for the present purpose. Two independent reasons exclude the correspondence irrespective of how the science settles, and they are stated at §123.5.</w:t>
      </w:r>
    </w:p>
    <w:p>
      <w:pPr>
        <w:pStyle w:val="Heading2"/>
        <w:spacing w:after="100" w:before="220" w:line="288" w:lineRule="auto"/>
      </w:pPr>
      <w:r>
        <w:t xml:space="preserve">123.5 Why the correspondence is excluded under Chapter 101</w:t>
      </w:r>
    </w:p>
    <w:p>
      <w:pPr>
        <w:spacing w:after="120" w:line="288" w:lineRule="auto"/>
      </w:pPr>
      <w:r>
        <w:t xml:space="preserve">Chapter 101 admits a neuroscience correspondence on four conditions: the primary publication is verified, the correspondence is identified in an existing mechanism rather than invented for it, a deterministic structural principle is extracted, and any trained or stochastic component is excluded. The proposed correspondence fails the first and the fourth.</w:t>
      </w:r>
    </w:p>
    <w:p>
      <w:pPr>
        <w:spacing w:after="120" w:line="288" w:lineRule="auto"/>
      </w:pPr>
      <w:r>
        <w:t xml:space="preserve">It fails the first because the finding is contested at the level of whether the phenomenon occurs, not merely of how to interpret it. The correspondences this specification does claim — attractor dynamics and the associative-memory capacity bound, biased competition, intersensory redundancy, object permanence, developmental word learning — each rest on a primary result that is not in dispute. Citing a contested result alongside them would place the settled ones under the doubt attaching to the contested one, which is a cost paid across the whole specification for a single citation.</w:t>
      </w:r>
    </w:p>
    <w:p>
      <w:pPr>
        <w:spacing w:after="120" w:line="288" w:lineRule="auto"/>
      </w:pPr>
      <w:r>
        <w:t xml:space="preserve">It fails the fourth more decisively, and this is the reason that does not depend on the science settling either way. The cited theory describes a quantum superposition terminating in an objective reduction of the quantum state — a collapse. That is a stochastic process. The proposal invokes it to justify deterministic, non-probabilistic computation, which is the opposite of what the theory describes. A correspondence cannot support a property by pointing at a mechanism that lacks it.</w:t>
      </w:r>
    </w:p>
    <w:p>
      <w:pPr>
        <w:spacing w:after="120" w:line="288" w:lineRule="auto"/>
      </w:pPr>
      <w:r>
        <w:t xml:space="preserve">The two mechanisms specified at §123.1 and §123.2 require no biological justification and are not offered with one. A traversal cost table is a traversal cost table whether or not a microtubule resembles it.</w:t>
      </w:r>
    </w:p>
    <w:p>
      <w:pPr>
        <w:spacing w:after="120" w:line="288" w:lineRule="auto"/>
      </w:pPr>
      <w:r>
        <w:t xml:space="preserve">Row 261 evaluates the reach of the most expensive edge class within a 24-unit budget, returning 3 hops against 24 for the cheapest.</w:t>
      </w:r>
    </w:p>
    <w:p>
      <w:pPr>
        <w:pStyle w:val="Heading1"/>
        <w:spacing w:after="120" w:before="280" w:line="288" w:lineRule="auto"/>
      </w:pPr>
      <w:r>
        <w:t xml:space="preserve">Chapter 124</w:t>
      </w:r>
    </w:p>
    <w:p>
      <w:pPr>
        <w:pStyle w:val="Heading2"/>
        <w:spacing w:after="100" w:before="220" w:line="288" w:lineRule="auto"/>
      </w:pPr>
      <w:r>
        <w:t xml:space="preserve">124.1 Coherence classification</w:t>
      </w:r>
    </w:p>
    <w:p>
      <w:pPr>
        <w:spacing w:after="120" w:line="288" w:lineRule="auto"/>
      </w:pPr>
      <w:r>
        <w:t xml:space="preserve">A coherence value is computed for a knowledge record, a concept or a reasoning path across six dimensions, each already measurable from mechanisms specified elsewhere. What this section adds is the classification over them and the rule for combining them.</w:t>
      </w:r>
    </w:p>
    <w:p>
      <w:pPr>
        <w:spacing w:after="120" w:line="288" w:lineRule="auto"/>
      </w:pPr>
      <w:r>
        <w:t xml:space="preserve">The governing coherence is the least of the six, not their mean.</w:t>
      </w:r>
    </w:p>
    <w:p>
      <w:pPr>
        <w:spacing w:after="120" w:line="288" w:lineRule="auto"/>
      </w:pPr>
      <w:r>
        <w:rPr>
          <w:rFonts w:ascii="Consolas" w:hAnsi="Consolas" w:cs="Consolas"/>
          <w:sz w:val="19"/>
        </w:rPr>
        <w:t xml:space="preserve">coherence = min( c_semantic, c_temporal, c_spatial, c_editorial, c_media, c_evidential )</w:t>
      </w:r>
    </w:p>
    <w:p>
      <w:pPr>
        <w:spacing w:after="120" w:line="288" w:lineRule="auto"/>
      </w:pPr>
      <w:r>
        <w:t xml:space="preserve">A mean would let five strong dimensions conceal one weak one, and the weak dimension is the finding. By way of example, values of 0.94, 0.88, 0.91, 0.62, 0.90 and 0.86 have a mean of 0.85 and a governing coherence of 0.62, and the useful statement is not the mean but that editorial coherence is 0.62 while the rest are near 0.9 — the record says something materially different in one edition.</w:t>
      </w:r>
    </w:p>
    <w:p>
      <w:pPr>
        <w:spacing w:after="120" w:line="288" w:lineRule="auto"/>
      </w:pPr>
      <w:r>
        <w:t xml:space="preserve">Classification follows from the governing value against configured floors, and the classification always names the dimension that produced it. Stable at or above the upper floor; drifting between the floors; misaligned below the lower. Two further states are distinguished from these three because they have different causes and different remedies: incomplete, where a dimension cannot be computed for want of data, which is not the same as computing a low value; and contradictory, where two records assert incompatible content, which is recorded in the contradiction index and is not a low score but a specific pair.</w:t>
      </w:r>
    </w:p>
    <w:p>
      <w:pPr>
        <w:spacing w:after="120" w:line="288" w:lineRule="auto"/>
      </w:pPr>
      <w:r>
        <w:t xml:space="preserve">A coherence value informs and does not gate. It adjusts no confidence value, admits and excludes no record, and blocks no output. Where a response rests on a record classified drifting or misaligned, the classification and the dimension are stated with the response; the answer is still given, because a record with weak editorial coherence is a record about which something specific is known, and withholding it would be less informative than delivering it with what is known.</w:t>
      </w:r>
    </w:p>
    <w:p>
      <w:pPr>
        <w:pStyle w:val="Heading2"/>
        <w:spacing w:after="100" w:before="220" w:line="288" w:lineRule="auto"/>
      </w:pPr>
      <w:r>
        <w:t xml:space="preserve">124.2 The context lock</w:t>
      </w:r>
    </w:p>
    <w:p>
      <w:pPr>
        <w:spacing w:after="120" w:line="288" w:lineRule="auto"/>
      </w:pPr>
      <w:r>
        <w:t xml:space="preserve">The determinism this specification claims is that an identical query over identical knowledge records in an identical state yields an identical output. Chapter 109 modulates output by context, so the claim requires a definition of when two contexts are identical, and this section supplies it.</w:t>
      </w:r>
    </w:p>
    <w:p>
      <w:pPr>
        <w:spacing w:after="120" w:line="288" w:lineRule="auto"/>
      </w:pPr>
      <w:r>
        <w:t xml:space="preserve">A context lock is the enumerated set of dimensions whose values must agree for the determinism guarantee to be asserted between two executions. The locked dimensions are: device class; the entitlement set resolved for the requester; the declared locale; the expressive register; the audience level; the temporal posture; the traversal cost table; and the convergence regime. A key is computed over the locked dimensions and returned with the output.</w:t>
      </w:r>
    </w:p>
    <w:p>
      <w:pPr>
        <w:spacing w:after="120" w:line="288" w:lineRule="auto"/>
      </w:pPr>
      <w:r>
        <w:t xml:space="preserve">Two properties make this worth stating rather than leaving implicit. The claim becomes testable: the trial architecture's determinism measurement holds the locked dimensions constant and varies nothing else, so a measured value below unity is a defect rather than an artifact of a context that quietly differed. And the claim becomes honest: a requester comparing two answers can see from the keys whether they were entitled to be identical, rather than inferring an inconsistency from a legitimate difference of context.</w:t>
      </w:r>
    </w:p>
    <w:p>
      <w:pPr>
        <w:spacing w:after="120" w:line="288" w:lineRule="auto"/>
      </w:pPr>
      <w:r>
        <w:t xml:space="preserve">A dimension is locked where it modulates output and unlocked where it does not. The set is registered configuration, is versioned, and is a member of the permanently-excluded subsystem set: a mechanism able to unlock a dimension could restore an apparent determinism by narrowing what determinism means, which is the failure this section exists to prevent.</w:t>
      </w:r>
    </w:p>
    <w:p>
      <w:pPr>
        <w:spacing w:after="120" w:line="288" w:lineRule="auto"/>
      </w:pPr>
      <w:r>
        <w:t xml:space="preserve">The entitlement set is a locked dimension, and the consequence is intended. Two requesters with differing entitlements resolve differing scope descriptions and may receive differing answers, correctly, and their differing keys record that the difference is one of entitlement rather than of inconsistency.</w:t>
      </w:r>
    </w:p>
    <w:p>
      <w:pPr>
        <w:pStyle w:val="Heading2"/>
        <w:spacing w:after="100" w:before="220" w:line="288" w:lineRule="auto"/>
      </w:pPr>
      <w:r>
        <w:t xml:space="preserve">124.3 Relevance gradient, in place of micro-adjacency fields</w:t>
      </w:r>
    </w:p>
    <w:p>
      <w:pPr>
        <w:spacing w:after="120" w:line="288" w:lineRule="auto"/>
      </w:pPr>
      <w:r>
        <w:t xml:space="preserve">The proposed micro-adjacency field is a vector field attached to each record computing semantic, temporal, spatial and edition micro-distance. Three of those four are already computed and are not duplicated here: semantic distance from the embedding vector, temporal distance from the temporal anchors, spatial distance from the spatial anchors, and edition difference from the version chain under the threshold rule.</w:t>
      </w:r>
    </w:p>
    <w:p>
      <w:pPr>
        <w:spacing w:after="120" w:line="288" w:lineRule="auto"/>
      </w:pPr>
      <w:r>
        <w:t xml:space="preserve">What is not presently computed is the one genuinely new element in the proposal: a direction. Relevance is currently a scalar on an edge, and a traversal knows how relevant a neighbour is but not how quickly relevance is changing as it moves. A relevance gradient supplies that: for a record and an edge class, the rate of change of relevance across the neighbours in that class.</w:t>
      </w:r>
    </w:p>
    <w:p>
      <w:pPr>
        <w:spacing w:after="120" w:line="288" w:lineRule="auto"/>
      </w:pPr>
      <w:r>
        <w:t xml:space="preserve">Traversal prefers a direction of low gradient magnitude over one of high, because a region where relevance changes slowly is a region of stable meaning while a sharp change marks a boundary at which further traversal gathers material of a different kind. By way of example, a gradient magnitude of 0.29 between a spatial coherence of 0.91 and an editorial coherence of 0.62 identifies a boundary rather than a neighbourhood. The gradient is computed at traversal time from values the records already carry, is not stored, and adds no field to the record schema.</w:t>
      </w:r>
    </w:p>
    <w:p>
      <w:pPr>
        <w:spacing w:after="120" w:line="288" w:lineRule="auto"/>
      </w:pPr>
      <w:r>
        <w:t xml:space="preserve">The gradient orders traversal within the budget of §123.1 and does not extend it. A high-gradient direction is traversed later rather than excluded, so the mechanism affects the order in which a bounded traversal spends its budget and never what is reachable.</w:t>
      </w:r>
    </w:p>
    <w:p>
      <w:pPr>
        <w:pStyle w:val="Heading2"/>
        <w:spacing w:after="100" w:before="220" w:line="288" w:lineRule="auto"/>
      </w:pPr>
      <w:r>
        <w:t xml:space="preserve">124.4 Corrections to the submitted definitions</w:t>
      </w:r>
    </w:p>
    <w:p>
      <w:pPr>
        <w:pStyle w:val="Heading1"/>
        <w:spacing w:after="120" w:before="280" w:line="288" w:lineRule="auto"/>
      </w:pPr>
      <w:r>
        <w:t xml:space="preserve">Chapter 125</w:t>
      </w:r>
    </w:p>
    <w:p>
      <w:pPr>
        <w:pStyle w:val="Heading2"/>
        <w:spacing w:after="100" w:before="220" w:line="288" w:lineRule="auto"/>
      </w:pPr>
      <w:r>
        <w:t xml:space="preserve">4.10.1 Substrate output is a modality</w:t>
      </w:r>
    </w:p>
    <w:p>
      <w:pPr>
        <w:spacing w:after="120" w:line="288" w:lineRule="auto"/>
      </w:pPr>
      <w:r>
        <w:t xml:space="preserve">A computational substrate external to the system — a neuromorphic processor, a memristive array, a multi-electrode array carrying a neuronal culture, or any other device producing a measurable output in response to a stimulus — is registered as a source under the Source Connector Registry with a declared capability, exactly as any other external system is.</w:t>
      </w:r>
    </w:p>
    <w:p>
      <w:pPr>
        <w:spacing w:after="120" w:line="288" w:lineRule="auto"/>
      </w:pPr>
      <w:r>
        <w:t xml:space="preserve">Its output is registered as a modality, and a modality-specific extractor is registered for it. Where the substrate produces a spike train, the extractor is a spike-train extractor; where it produces a filament or resistance state, the extractor reads that. The extractor fails independently of every other extractor, so a substrate that becomes unavailable or begins producing unintelligible output removes one modality and leaves the remaining eight operating, on the terms already specified.</w:t>
      </w:r>
    </w:p>
    <w:p>
      <w:pPr>
        <w:spacing w:after="120" w:line="288" w:lineRule="auto"/>
      </w:pPr>
      <w:r>
        <w:t xml:space="preserve">A substrate output is reduced to concept-level knowledge records before admission and is not retained as a raw episode, exactly as sensor content from any other source is. It passes the safety evaluation gate. It receives a confidence calibration incorporating the substrate's registered reliability. It is attributed to the substrate as its source, and the substrate is a source class for the diversity measure, so a hundred readings from one array do not carry the weight of readings from many.</w:t>
      </w:r>
    </w:p>
    <w:p>
      <w:pPr>
        <w:pStyle w:val="Heading2"/>
        <w:spacing w:after="100" w:before="220" w:line="288" w:lineRule="auto"/>
      </w:pPr>
      <w:r>
        <w:t xml:space="preserve">4.10.2 What a substrate output is evidence of</w:t>
      </w:r>
    </w:p>
    <w:p>
      <w:pPr>
        <w:spacing w:after="120" w:line="288" w:lineRule="auto"/>
      </w:pPr>
      <w:r>
        <w:t xml:space="preserve">A substrate output is evidence of what the substrate produced. It is not thereby evidence of anything the substrate was asked about, and the distinction is the one that keeps this mechanism honest.</w:t>
      </w:r>
    </w:p>
    <w:p>
      <w:pPr>
        <w:spacing w:after="120" w:line="288" w:lineRule="auto"/>
      </w:pPr>
      <w:r>
        <w:t xml:space="preserve">A neuromorphic array stimulated with a pattern and producing a response has produced a measurement of that array's behaviour under that stimulus. Whether the response bears on a proposition about the world depends entirely on an interpretation registered in advance — a mapping from substrate output to semantic content, registered with its own provenance and its own reliability, and revisable by an operator. Absent a registered interpretation the output is admitted as a measurement of the substrate and nothing further.</w:t>
      </w:r>
    </w:p>
    <w:p>
      <w:pPr>
        <w:spacing w:after="120" w:line="288" w:lineRule="auto"/>
      </w:pPr>
      <w:r>
        <w:t xml:space="preserve">The confidence of a knowledge record derived through a registered interpretation is bounded above by the lesser of the substrate's registered reliability and the interpretation's, since a reading is no better than the weaker of the instrument and the reading of it. By way of example, a substrate at 0.71 under an interpretation at 0.55 yields 0.55.</w:t>
      </w:r>
    </w:p>
    <w:p>
      <w:pPr>
        <w:pStyle w:val="Heading2"/>
        <w:spacing w:after="100" w:before="220" w:line="288" w:lineRule="auto"/>
      </w:pPr>
      <w:r>
        <w:t xml:space="preserve">4.10.3 Stimulation of a substrate</w:t>
      </w:r>
    </w:p>
    <w:p>
      <w:pPr>
        <w:spacing w:after="120" w:line="288" w:lineRule="auto"/>
      </w:pPr>
      <w:r>
        <w:t xml:space="preserve">Where a deployment stimulates a registered substrate rather than only reading it, the stimulation is an operation upon an external system and is governed accordingly: it is dispatched through the connector under a declared capability, it is recorded in the Provenance Ledger with the dispatching identity and the stimulus, and a capability not declared is refused at the boundary.</w:t>
      </w:r>
    </w:p>
    <w:p>
      <w:pPr>
        <w:spacing w:after="120" w:line="288" w:lineRule="auto"/>
      </w:pPr>
      <w:r>
        <w:t xml:space="preserve">Two constraints follow from mechanisms already specified and are restated because a substrate is an unusual target. No stimulation is emitted on the strength of an inference that stimulation would be useful; it is emitted in response to a request, as every state-changing operation in this specification is. And the substrate's response does not adjust the parameters governing when a substrate may be stimulated, so a substrate's own output cannot widen the terms on which it is used.</w:t>
      </w:r>
    </w:p>
    <w:p>
      <w:pPr>
        <w:spacing w:after="120" w:line="288" w:lineRule="auto"/>
      </w:pPr>
      <w:r>
        <w:t xml:space="preserve">Where a substrate comprises living tissue, stimulation is subject to the governance of the institution operating it and to whatever review that institution's jurisdiction requires. This specification describes how such a substrate's output is admitted and how a stimulus is dispatched and recorded; it does not authorise the operation of any substrate, and no provision of this chapter substitutes for a review that would otherwise be required.</w:t>
      </w:r>
    </w:p>
    <w:p>
      <w:pPr>
        <w:pStyle w:val="Heading2"/>
        <w:spacing w:after="100" w:before="220" w:line="288" w:lineRule="auto"/>
      </w:pPr>
      <w:r>
        <w:t xml:space="preserve">4.10.4 Not adopted</w:t>
      </w:r>
    </w:p>
    <w:p>
      <w:pPr>
        <w:pStyle w:val="Heading1"/>
        <w:spacing w:after="120" w:before="280" w:line="288" w:lineRule="auto"/>
      </w:pPr>
      <w:r>
        <w:t xml:space="preserve">Chapter 126</w:t>
      </w:r>
    </w:p>
    <w:p>
      <w:pPr>
        <w:pStyle w:val="Heading2"/>
        <w:spacing w:after="100" w:before="220" w:line="288" w:lineRule="auto"/>
      </w:pPr>
      <w:r>
        <w:t xml:space="preserve">126.1 The module and what distinguishes it</w:t>
      </w:r>
    </w:p>
    <w:p>
      <w:pPr>
        <w:spacing w:after="120" w:line="288" w:lineRule="auto"/>
      </w:pPr>
      <w:r>
        <w:t xml:space="preserve">The AI-Engine Ingestion Module admits content generated by an external machine-learning system into the knowledge record store, converting it into records of the ordinary schema and integrating it into the ordinary structure. The module comprises seven layers operating in sequence: prompt construction, engine interface, output capture, output translation, record integration, output evaluation and audit.</w:t>
      </w:r>
    </w:p>
    <w:p>
      <w:pPr>
        <w:spacing w:after="120" w:line="288" w:lineRule="auto"/>
      </w:pPr>
      <w:r>
        <w:t xml:space="preserve">What distinguishes the module from an arrangement that submits a query to an external model and displays the reply is that the reply does not remain a reply. It is segmented into individual assertions, each becomes a knowledge record carrying the schema every other record carries, each enters the same store and the same concept structure, and each is thereafter queryable, citable, evaluable against records drawn from other sources, and traceable to the prompt that elicited it. The system does not consume the model's output; it ingests it.</w:t>
      </w:r>
    </w:p>
    <w:p>
      <w:pPr>
        <w:spacing w:after="120" w:line="288" w:lineRule="auto"/>
      </w:pPr>
      <w:r>
        <w:t xml:space="preserve">The chain from prompt to record is recorded in its entirety, so that a record derived from a model resolves not merely to that model but to the specific prompt that produced it, the engine and version that answered, the time of the exchange, and the position of the assertion within the reply. An assertion so recorded can be re-elicited, compared against a later elicitation, and shown to have changed — which is a property no arrangement that merely displays a reply can offer.</w:t>
      </w:r>
    </w:p>
    <w:p>
      <w:pPr>
        <w:pStyle w:val="Heading2"/>
        <w:spacing w:after="100" w:before="220" w:line="288" w:lineRule="auto"/>
      </w:pPr>
      <w:r>
        <w:t xml:space="preserve">126.2 Prompt construction</w:t>
      </w:r>
    </w:p>
    <w:p>
      <w:pPr>
        <w:spacing w:after="120" w:line="288" w:lineRule="auto"/>
      </w:pPr>
      <w:r>
        <w:t xml:space="preserve">A prompt is composed by the regeneration mechanism already specified, from the same knowledge records and under the same vocabulary constraint that governs a response to a requester. It is not assembled from free text. Three elements are added for this purpose: the semantic markers identifying the concepts the reply is to address, extraction instructions specifying the form in which assertions are to be returned, and alignment constraints stating the record schema into which the reply will be converted.</w:t>
      </w:r>
    </w:p>
    <w:p>
      <w:pPr>
        <w:spacing w:after="120" w:line="288" w:lineRule="auto"/>
      </w:pPr>
      <w:r>
        <w:t xml:space="preserve">A prompt is composed for the specific engine to which it is dispatched, from a profile registered for that engine recording its accepted input form, its context bound, its declared capabilities and its registered reliability. The same request to two engines therefore produces two prompts, and each is recorded with the record it produced.</w:t>
      </w:r>
    </w:p>
    <w:p>
      <w:pPr>
        <w:spacing w:after="120" w:line="288" w:lineRule="auto"/>
      </w:pPr>
      <w:r>
        <w:t xml:space="preserve">Prompt composition is deterministic: the same request over the same records under the same engine profile produces an identical prompt, so that an elicitation may be repeated exactly and a difference in the reply attributed to the engine rather than to the asking.</w:t>
      </w:r>
    </w:p>
    <w:p>
      <w:pPr>
        <w:pStyle w:val="Heading2"/>
        <w:spacing w:after="100" w:before="220" w:line="288" w:lineRule="auto"/>
      </w:pPr>
      <w:r>
        <w:t xml:space="preserve">126.3 Dispatch, capture and translation</w:t>
      </w:r>
    </w:p>
    <w:p>
      <w:pPr>
        <w:spacing w:after="120" w:line="288" w:lineRule="auto"/>
      </w:pPr>
      <w:r>
        <w:t xml:space="preserve">The prompt is dispatched through the connector mechanism under a declared capability, and an engine not registered, or a capability not declared, is refused at the boundary rather than attempted. Dispatch is rate-limited and batched under the compute-accounting mechanism, and a dispatch exceeding the budget configured for its category is deferred rather than served at reduced priority. A failed dispatch, a malformed reply and a reply exceeding its expected bound each terminate the operation and are recorded; none produces a partial record.</w:t>
      </w:r>
    </w:p>
    <w:p>
      <w:pPr>
        <w:spacing w:after="120" w:line="288" w:lineRule="auto"/>
      </w:pPr>
      <w:r>
        <w:t xml:space="preserve">A reply is normalized to a common form, segmented into individual assertions, and converted into candidate knowledge records. Each candidate is validated against the machine definition of its type and refused at construction where a required field is absent. Each receives a temporal anchor from the time of elicitation, a semantic fingerprint computed over its canonicalized triple, and a provenance reference into the chain recording the prompt, the engine, the version and the position of the assertion within the reply.</w:t>
      </w:r>
    </w:p>
    <w:p>
      <w:pPr>
        <w:spacing w:after="120" w:line="288" w:lineRule="auto"/>
      </w:pPr>
      <w:r>
        <w:t xml:space="preserve">Deduplication proceeds on the semantic fingerprint as for any other record, with one qualification stated at §126.5: a model-derived assertion that duplicates an assertion already held from an authored source does not merge into it, because the two differ in a property the schema records.</w:t>
      </w:r>
    </w:p>
    <w:p>
      <w:pPr>
        <w:pStyle w:val="Heading2"/>
        <w:spacing w:after="100" w:before="220" w:line="288" w:lineRule="auto"/>
      </w:pPr>
      <w:r>
        <w:t xml:space="preserve">126.4 Integration into the record structure</w:t>
      </w:r>
    </w:p>
    <w:p>
      <w:pPr>
        <w:spacing w:after="120" w:line="288" w:lineRule="auto"/>
      </w:pPr>
      <w:r>
        <w:t xml:space="preserve">A converted record is admitted to the ordinary store and takes its place in the ordinary concept structure. Adjacency edges are established to the concepts its assertion concerns. Relations to other records are established where the assertion states one. Cross-document links are established where the assertion refers to a work the store holds. The record is traversable within a scope description that admits it, is retrievable, is citable, and is subject to every mechanism that governs any other record: confidence accumulation, contradiction detection, precision-weighted propagation, temporal decay, supersession and erasure.</w:t>
      </w:r>
    </w:p>
    <w:p>
      <w:pPr>
        <w:spacing w:after="120" w:line="288" w:lineRule="auto"/>
      </w:pPr>
      <w:r>
        <w:t xml:space="preserve">The admission is therefore genuine rather than nominal. A model-derived record is not held in a separate store, is not filtered from ordinary results, and is not excluded from the concept structure. What distinguishes it is a property its schema carries and a rule that property triggers, both stated next.</w:t>
      </w:r>
    </w:p>
    <w:p>
      <w:pPr>
        <w:pStyle w:val="Heading2"/>
        <w:spacing w:after="100" w:before="220" w:line="288" w:lineRule="auto"/>
      </w:pPr>
      <w:r>
        <w:t xml:space="preserve">126.5 The three constraints</w:t>
      </w:r>
    </w:p>
    <w:p>
      <w:pPr>
        <w:spacing w:after="120" w:line="288" w:lineRule="auto"/>
      </w:pPr>
      <w:r>
        <w:t xml:space="preserve">Three constraints attach to a model-derived record. Each exists because its absence would defeat a property the remainder of this specification establishes, and each is stated with the failure it prevents.</w:t>
      </w:r>
    </w:p>
    <w:p>
      <w:pPr>
        <w:spacing w:after="120" w:line="288" w:lineRule="auto"/>
      </w:pPr>
      <w:r>
        <w:t xml:space="preserve">A record derived from a model carries a derivation marking identifying the engine, and the marking is a field of the record rather than an annotation upon it. A citation resolving to such a record discloses the marking, so that a reader is told that a cited assertion was generated by a named engine in response to a recorded prompt rather than asserted by an authored source. The marking is not removable by any operation, and a record cannot be re-typed to shed it.</w:t>
      </w:r>
    </w:p>
    <w:p>
      <w:pPr>
        <w:spacing w:after="120" w:line="288" w:lineRule="auto"/>
      </w:pPr>
      <w:r>
        <w:t xml:space="preserve">The failure prevented is that a reader receives a cited assertion, follows the citation, and finds that the authority for it is that a language model produced it when asked. A citation that does not disclose this is a citation that misrepresents what stands behind the claim.</w:t>
      </w:r>
    </w:p>
    <w:p>
      <w:pPr>
        <w:spacing w:after="120" w:line="288" w:lineRule="auto"/>
      </w:pPr>
      <w:r>
        <w:t xml:space="preserve">Each registered engine constitutes one source class for the diversity measure, and every record derived from that engine is attributed to it. Repeated elicitation therefore raises the accumulated evidence count without raising the diversity measure: three assertions from one engine yield an effective source-class count of 1.0000, where three from three distinct engines yield 3.0000. A corroboration offered by a record derived from the same engine as the record it corroborates is refused.</w:t>
      </w:r>
    </w:p>
    <w:p>
      <w:pPr>
        <w:spacing w:after="120" w:line="288" w:lineRule="auto"/>
      </w:pPr>
      <w:r>
        <w:t xml:space="preserve">The failure prevented is confidence manufactured from nothing. Without this constraint a deployment could elicit an assertion a hundred times from one model and accumulate a hundred units of supporting evidence for a proposition that rests upon a single generative process, and the confidence value — which the whole system treats as meaningful — would report near-certainty for a claim no source ever made.</w:t>
      </w:r>
    </w:p>
    <w:p>
      <w:pPr>
        <w:spacing w:after="120" w:line="288" w:lineRule="auto"/>
      </w:pPr>
      <w:r>
        <w:t xml:space="preserve">The confidence of a model-derived record is bounded above by the reliability registered for the engine that produced it, and where the assertion is obtained through a registered extraction instruction, by the lesser of the engine's reliability and that instruction's. An engine registered at 0.88 answering under an instruction registered at 0.62 yields a record whose confidence does not exceed 0.62. An engine's registered reliability is set by an operator, is recorded, and is not adjusted by the engine's own output.</w:t>
      </w:r>
    </w:p>
    <w:p>
      <w:pPr>
        <w:spacing w:after="120" w:line="288" w:lineRule="auto"/>
      </w:pPr>
      <w:r>
        <w:t xml:space="preserve">The failure prevented is a model-derived record outranking an authored one on a contested question by force of a confidence value the model's own fluency produced.</w:t>
      </w:r>
    </w:p>
    <w:p>
      <w:pPr>
        <w:pStyle w:val="Heading2"/>
        <w:spacing w:after="100" w:before="220" w:line="288" w:lineRule="auto"/>
      </w:pPr>
      <w:r>
        <w:t xml:space="preserve">126.6 Evaluation and audit</w:t>
      </w:r>
    </w:p>
    <w:p>
      <w:pPr>
        <w:spacing w:after="120" w:line="288" w:lineRule="auto"/>
      </w:pPr>
      <w:r>
        <w:t xml:space="preserve">A converted record is evaluated on admission against the records already held. A contradiction between a model-derived assertion and an authored one is recorded in the contradiction index as any contradiction is, and neither is discarded in favour of the other; where the two differ in derivation, the index records that difference, so that a reviewer examining a conflict knows that one side of it originated from a model.</w:t>
      </w:r>
    </w:p>
    <w:p>
      <w:pPr>
        <w:spacing w:after="120" w:line="288" w:lineRule="auto"/>
      </w:pPr>
      <w:r>
        <w:t xml:space="preserve">Where a model-derived assertion cites a source, the citation is verified against the store: a citation resolving to a record held is recorded as verified, a citation resolving to nothing is recorded as unverified, and an unverified citation does not prevent admission of the assertion but is carried with it. This is the mechanism by which a fabricated citation becomes a recorded fact about the assertion rather than an undetected defect within it.</w:t>
      </w:r>
    </w:p>
    <w:p>
      <w:pPr>
        <w:spacing w:after="120" w:line="288" w:lineRule="auto"/>
      </w:pPr>
      <w:r>
        <w:t xml:space="preserve">The audit chain records, for every model-derived record, the prompt that elicited it, the engine and version that produced it, the time of elicitation, the position of the assertion within the reply, the derivation marking, the confidence bound applied and its basis, and the outcome of the citation verification. The chain is queryable, so that a question of the form ‘which of our records came from a model, from which model, and on what prompt’ has a recorded answer rather than an estimate.</w:t>
      </w:r>
    </w:p>
    <w:p>
      <w:pPr>
        <w:spacing w:after="120" w:line="288" w:lineRule="auto"/>
      </w:pPr>
      <w:r>
        <w:t xml:space="preserve">An elicitation may be repeated. Because prompt composition is deterministic, a repeated elicitation differing from the original is a difference attributable to the engine, and the difference is recorded as a probe result under the behavioural probing mechanism already specified. A deployment may therefore measure the stability of an engine it depends upon using the same instrument the specification already provides for evaluating an external system.</w:t>
      </w:r>
    </w:p>
    <w:p>
      <w:pPr>
        <w:pStyle w:val="Heading2"/>
        <w:spacing w:after="100" w:before="220" w:line="288" w:lineRule="auto"/>
      </w:pPr>
      <w:r>
        <w:t xml:space="preserve">126.7 What is narrowed, and what it costs</w:t>
      </w:r>
    </w:p>
    <w:p>
      <w:pPr>
        <w:spacing w:after="120" w:line="288" w:lineRule="auto"/>
      </w:pPr>
      <w:r>
        <w:t xml:space="preserve">Before this chapter, the transfer matrix denied a transfer from the domain owning evaluation of external output to the domain owning retrieval, and analysis records were excluded from every scope description not directed at the analysis. That denial is narrowed here and is not abolished.</w:t>
      </w:r>
    </w:p>
    <w:p>
      <w:pPr>
        <w:spacing w:after="120" w:line="288" w:lineRule="auto"/>
      </w:pPr>
      <w:r>
        <w:t xml:space="preserve">The cost of the narrowing is stated plainly rather than minimised. Before this chapter, every record in the store originated from a source that asserted something about the world, and the groundedness property therefore meant that an answer traced to an assertion somebody made. After it, an answer may trace to an assertion a model generated in response to a prompt this system composed. The chain is complete, recorded and auditable at every step, and the derivation is disclosed at the point of citation — but the assertion at the end of it was produced rather than reported.</w:t>
      </w:r>
    </w:p>
    <w:p>
      <w:pPr>
        <w:spacing w:after="120" w:line="288" w:lineRule="auto"/>
      </w:pPr>
      <w:r>
        <w:t xml:space="preserve">The three constraints are what make the narrowing survivable. Disclosure ensures the reader knows what they are relying upon. The self-corroboration bar ensures confidence cannot be manufactured by repetition. The reliability bound ensures a generated assertion cannot outrank a reported one by fluency. A deployment electing to disable any of the three would obtain a system in which a model's output is indistinguishable from a source's, and this specification does not describe such a configuration.</w:t>
      </w:r>
    </w:p>
    <w:p>
      <w:pPr>
        <w:spacing w:after="120" w:line="288" w:lineRule="auto"/>
      </w:pPr>
      <w:r>
        <w:t xml:space="preserve">A deployment may operate without this module entirely, in which case the prohibition stands as it stood and no record in the store is model-derived. The module is elected per deployment, the election is recorded, and a response indicates whether any record it relied upon was model-derived.</w:t>
      </w:r>
    </w:p>
    <w:p>
      <w:pPr>
        <w:pStyle w:val="Heading2"/>
        <w:spacing w:after="100" w:before="220" w:line="288" w:lineRule="auto"/>
      </w:pPr>
      <w:r>
        <w:t xml:space="preserve">Amendment to claim 162</w:t>
      </w:r>
    </w:p>
    <w:p>
      <w:pPr>
        <w:spacing w:after="120" w:line="288" w:lineRule="auto"/>
      </w:pPr>
      <w:r>
        <w:t xml:space="preserve">Claim 162 presently denies a transfer from the domain owning evaluation of an output of an external system to the domain owning retrieval. It is amended to preserve that denial for a forensically-evaluated output and for a probe result, and to except a reply converted under claim 330, as follows: the words ‘such that neither said output nor an analysis thereof is admissible to said admitted set’ become ‘such that neither said output nor an analysis thereof is admissible to said admitted set, excepting a knowledge record converted from a reply elicited by a prompt composed by the method and carrying a derivation marking’.</w:t>
      </w:r>
    </w:p>
    <w:p>
      <w:pPr>
        <w:spacing w:after="120" w:line="288" w:lineRule="auto"/>
      </w:pPr>
      <w:r>
        <w:t xml:space="preserve">Row 277 evaluates the diversity measure for three assertions elicited from one engine, returning an effective source-class count of 1.0000 against the 3.0000 that three distinct engines would yield.</w:t>
      </w:r>
    </w:p>
    <w:p>
      <w:pPr>
        <w:pStyle w:val="Heading1"/>
        <w:spacing w:after="120" w:before="280" w:line="288" w:lineRule="auto"/>
      </w:pPr>
      <w:r>
        <w:t xml:space="preserve">Chapter 7 — addition</w:t>
      </w:r>
    </w:p>
    <w:p>
      <w:pPr>
        <w:pStyle w:val="Heading2"/>
        <w:spacing w:after="100" w:before="220" w:line="288" w:lineRule="auto"/>
      </w:pPr>
      <w:r>
        <w:t xml:space="preserve">7.7.1 The update as a physical operation</w:t>
      </w:r>
    </w:p>
    <w:p>
      <w:pPr>
        <w:spacing w:after="120" w:line="288" w:lineRule="auto"/>
      </w:pPr>
      <w:r>
        <w:t xml:space="preserve">The activation update already specified takes the form of a weighted sum over the other activations, compared against a threshold.</w:t>
      </w:r>
    </w:p>
    <w:p>
      <w:pPr>
        <w:spacing w:after="120" w:line="288" w:lineRule="auto"/>
      </w:pPr>
      <w:r>
        <w:rPr>
          <w:rFonts w:ascii="Consolas" w:hAnsi="Consolas" w:cs="Consolas"/>
          <w:sz w:val="19"/>
        </w:rPr>
        <w:t xml:space="preserve">a_i(t+1) = sgn( Σ_j W_ij · a_j(t) − θ_i )</w:t>
      </w:r>
    </w:p>
    <w:p>
      <w:pPr>
        <w:spacing w:after="120" w:line="288" w:lineRule="auto"/>
      </w:pPr>
      <w:r>
        <w:t xml:space="preserve">An array of variable-conductance elements arranged at the intersections of a set of rows and a set of columns performs the summation without computing it. Applying the activation vector as voltages on the rows produces at each column a current that is the sum over rows of voltage multiplied by conductance, by the ordinary laws governing current in a resistive network. The weight matrix is the conductance matrix, the summation is the current summation, and comparing the column current against a reference completes the threshold.</w:t>
      </w:r>
    </w:p>
    <w:p>
      <w:pPr>
        <w:spacing w:after="120" w:line="288" w:lineRule="auto"/>
      </w:pPr>
      <w:r>
        <w:t xml:space="preserve">The consequence is a difference of order rather than of speed. For a network of 8,192 units, one digital update performs 67,108,864 multiply-accumulate operations; one analog settling performs a single physical operation whose duration does not scale with the network size. The mechanism specified in Chapter 7 is unchanged: what changes is that the sum is measured rather than calculated.</w:t>
      </w:r>
    </w:p>
    <w:p>
      <w:pPr>
        <w:pStyle w:val="Heading2"/>
        <w:spacing w:after="100" w:before="220" w:line="288" w:lineRule="auto"/>
      </w:pPr>
      <w:r>
        <w:t xml:space="preserve">7.7.2 Why the convergence regime becomes a precondition</w:t>
      </w:r>
    </w:p>
    <w:p>
      <w:pPr>
        <w:spacing w:after="120" w:line="288" w:lineRule="auto"/>
      </w:pPr>
      <w:r>
        <w:t xml:space="preserve">A conductance element cannot be manufactured to an exact value. Two arrays built to the same specification hold weight matrices that differ by the tolerance of their fabrication, and an array's conductances drift with temperature and with use. The question this raises is not whether an analog array converges — it does, by the same energy descent — but whether two arrays converge to the same state.</w:t>
      </w:r>
    </w:p>
    <w:p>
      <w:pPr>
        <w:spacing w:after="120" w:line="288" w:lineRule="auto"/>
      </w:pPr>
      <w:r>
        <w:t xml:space="preserve">Under the capacity bound alone they need not. A network holding a number of configurations below the retrieval-phase boundary has several stable states, and which one an array reaches depends on where it began and on the exact weights it holds. Two arrays differing by fabrication tolerance may therefore settle differently on the same input, and both would be behaving correctly under the specification as it stands.</w:t>
      </w:r>
    </w:p>
    <w:p>
      <w:pPr>
        <w:spacing w:after="120" w:line="288" w:lineRule="auto"/>
      </w:pPr>
      <w:r>
        <w:t xml:space="preserve">Under the monotone parameterization of §116.2 they cannot. The equilibrium exists and is unique independently of the initial configuration, so an array whose weights differ slightly settles to the same equilibrium as one whose weights do not, within the tolerance to which the equilibrium is read. An analog realization is therefore permitted only in the unique-equilibrium regime, and an array operated under the capacity bound is refused for this purpose.</w:t>
      </w:r>
    </w:p>
    <w:p>
      <w:pPr>
        <w:spacing w:after="120" w:line="288" w:lineRule="auto"/>
      </w:pPr>
      <w:r>
        <w:t xml:space="preserve">This is the point at which a property specified for its own sake becomes the property on which a hardware realization depends. On conventional hardware uniqueness is a strengthening of a guarantee that already held statistically. On an analog substrate it is the difference between two devices agreeing and two devices being separately correct.</w:t>
      </w:r>
    </w:p>
    <w:p>
      <w:pPr>
        <w:pStyle w:val="Heading2"/>
        <w:spacing w:after="100" w:before="220" w:line="288" w:lineRule="auto"/>
      </w:pPr>
      <w:r>
        <w:t xml:space="preserve">7.7.3 Registration, read-out and verification</w:t>
      </w:r>
    </w:p>
    <w:p>
      <w:pPr>
        <w:spacing w:after="120" w:line="288" w:lineRule="auto"/>
      </w:pPr>
      <w:r>
        <w:t xml:space="preserve">An analog element is registered as a computational substrate under §4.10, with its array dimensions, its conductance range, its fabrication tolerance and the tolerance to which its settled state is read. An element whose registration lacks any of these is not usable for this purpose.</w:t>
      </w:r>
    </w:p>
    <w:p>
      <w:pPr>
        <w:spacing w:after="120" w:line="288" w:lineRule="auto"/>
      </w:pPr>
      <w:r>
        <w:t xml:space="preserve">A settled state is read by comparing each column against the threshold and taking the sign, yielding the same discrete activation vector the digital update yields. The read-out tolerance is registered, and a column falling within the tolerance of the threshold rather than clearly on one side of it is resolved by a further settling rather than by rounding; where a further settling does not resolve it, the state is reported unresolved and the query falls back to the digital path.</w:t>
      </w:r>
    </w:p>
    <w:p>
      <w:pPr>
        <w:spacing w:after="120" w:line="288" w:lineRule="auto"/>
      </w:pPr>
      <w:r>
        <w:t xml:space="preserve">Two arrays operating on a common input under a common weight specification are required to agree within the registered tolerance, and a divergence beyond it raises a fault rather than being averaged. Averaging two disagreeing analog results would produce a state neither array reached, and a state no array reached is not an attractor of either.</w:t>
      </w:r>
    </w:p>
    <w:p>
      <w:pPr>
        <w:spacing w:after="120" w:line="288" w:lineRule="auto"/>
      </w:pPr>
      <w:r>
        <w:t xml:space="preserve">The trial architecture's determinism measurement applies to an analog realization without modification and is the mechanism by which agreement is established rather than assumed. A deployment electing the analog path records that election with the convergence regime, so a result carries which substrate produced it alongside which regime governed it.</w:t>
      </w:r>
    </w:p>
    <w:p>
      <w:pPr>
        <w:pStyle w:val="Heading2"/>
        <w:spacing w:after="100" w:before="220" w:line="288" w:lineRule="auto"/>
      </w:pPr>
      <w:r>
        <w:t xml:space="preserve">7.7.4 What is not specified here</w:t>
      </w:r>
    </w:p>
    <w:p>
      <w:pPr>
        <w:spacing w:after="120" w:line="288" w:lineRule="auto"/>
      </w:pPr>
      <w:r>
        <w:t xml:space="preserve">Row 270 evaluates the multiply-accumulate count a digital update performs for a network of 8,192 units, which one settling of a correspondingly-dimensioned array performs as a single physical operation.</w:t>
      </w:r>
    </w:p>
    <w:p>
      <w:pPr>
        <w:pStyle w:val="Heading1"/>
        <w:spacing w:after="120" w:before="280" w:line="288" w:lineRule="auto"/>
      </w:pPr>
      <w:r>
        <w:t xml:space="preserve">Chapter 127</w:t>
      </w:r>
    </w:p>
    <w:p>
      <w:pPr>
        <w:pStyle w:val="Heading2"/>
        <w:spacing w:after="100" w:before="220" w:line="288" w:lineRule="auto"/>
      </w:pPr>
      <w:r>
        <w:t xml:space="preserve">127.1 Feed registration</w:t>
      </w:r>
    </w:p>
    <w:p>
      <w:pPr>
        <w:spacing w:after="120" w:line="288" w:lineRule="auto"/>
      </w:pPr>
      <w:r>
        <w:t xml:space="preserve">A specialized live data feed is registered as a source under the Source Connector Registry with the ordinary declared capability, and additionally with the properties this chapter requires: a publication authority, a refresh interval, a staleness bound, a value class, a unit and its dimension, a restatement policy, and a redistribution entitlement. A feed whose registration omits any of these is connectable and is not admissible as a query source, because each of the omitted properties governs a decision the system must otherwise make by assumption.</w:t>
      </w:r>
    </w:p>
    <w:p>
      <w:pPr>
        <w:pStyle w:val="Heading2"/>
        <w:spacing w:after="100" w:before="220" w:line="288" w:lineRule="auto"/>
      </w:pPr>
      <w:r>
        <w:t xml:space="preserve">127.2 Publication authority, and why calibration is bypassed</w:t>
      </w:r>
    </w:p>
    <w:p>
      <w:pPr>
        <w:spacing w:after="120" w:line="288" w:lineRule="auto"/>
      </w:pPr>
      <w:r>
        <w:t xml:space="preserve">A value published by a registered authority is admitted at that authority rather than calibrated from an extraction confidence. The reason is that the ordinary calibration would invent an uncertainty that does not exist: a price published by an exchange is not eighty-seven per cent likely to be the price, it is the price the exchange published, and a confidence value below unity would misdescribe it. Where a value is admitted at publication authority, the extraction-confidence term, the modality coefficient and the source-reliability term are not applied.</w:t>
      </w:r>
    </w:p>
    <w:p>
      <w:pPr>
        <w:spacing w:after="120" w:line="288" w:lineRule="auto"/>
      </w:pPr>
      <w:r>
        <w:t xml:space="preserve">Two qualifications bound this, and they are what keep the bypass honest. The value admitted is the value published, and the record asserts that the authority published it — not that it is correct. A published price that the exchange later restates was published, and the record of its publication remains true after the restatement. And a value whose class is a forecast is not admitted at publication authority in this sense: a forecast carries genuine uncertainty, the publisher ordinarily states it, and that stated uncertainty is admitted as the confidence rather than being replaced by certainty about the act of publication.</w:t>
      </w:r>
    </w:p>
    <w:p>
      <w:pPr>
        <w:spacing w:after="120" w:line="288" w:lineRule="auto"/>
      </w:pPr>
      <w:r>
        <w:t xml:space="preserve">Where a publisher states an interval rather than a point — a forecast range, a bid and an ask, a confidence band — the interval is recorded as published and the point value, where one is required, is computed by a registered rule rather than selected. By way of example, a stated range of 18.2 to 21.6 yields a midpoint of 19.9, and the interval is retained alongside it so that a response may state the range rather than the midpoint where the range is what the requester needs.</w:t>
      </w:r>
    </w:p>
    <w:p>
      <w:pPr>
        <w:pStyle w:val="Heading2"/>
        <w:spacing w:after="100" w:before="220" w:line="288" w:lineRule="auto"/>
      </w:pPr>
      <w:r>
        <w:t xml:space="preserve">127.3 Staleness</w:t>
      </w:r>
    </w:p>
    <w:p>
      <w:pPr>
        <w:spacing w:after="120" w:line="288" w:lineRule="auto"/>
      </w:pPr>
      <w:r>
        <w:t xml:space="preserve">A value from a registered feed carries the time at which it was published, and is served only where its age at the time of the query is within the registered staleness bound. By way of example, a value published 47 seconds before a query, against a bound of 60 seconds, is served; the same value queried 61 seconds after publication is not.</w:t>
      </w:r>
    </w:p>
    <w:p>
      <w:pPr>
        <w:spacing w:after="120" w:line="288" w:lineRule="auto"/>
      </w:pPr>
      <w:r>
        <w:t xml:space="preserve">A value outside the bound is not served with a caveat, is not extrapolated forward, and is not replaced by the nearest available. The response states that the most recent value is older than the bound and states its age, together with the value and its publication time where the requester's entitlement permits. This is the boundary-statement behaviour the specification already applies to retrieval generally, applied to time rather than to scope.</w:t>
      </w:r>
    </w:p>
    <w:p>
      <w:pPr>
        <w:spacing w:after="120" w:line="288" w:lineRule="auto"/>
      </w:pPr>
      <w:r>
        <w:t xml:space="preserve">The distinction from temporal decay is stated because the two would otherwise be conflated. Temporal decay widens a credible interval for an assertion that remains true and becomes less certain as it ages. A quoted value does not become less certain as it ages — it becomes superseded, and answering from it is not answering with lower confidence but answering wrongly. A feed value therefore does not decay; it expires.</w:t>
      </w:r>
    </w:p>
    <w:p>
      <w:pPr>
        <w:spacing w:after="120" w:line="288" w:lineRule="auto"/>
      </w:pPr>
      <w:r>
        <w:t xml:space="preserve">A missed publication is detectable because the refresh interval is registered: where no value arrives within a configured multiple of the interval, the feed is marked interrupted and a query against it returns the interruption rather than the last value. A feed that has stopped publishing is distinguishable from a feed whose value has not changed.</w:t>
      </w:r>
    </w:p>
    <w:p>
      <w:pPr>
        <w:pStyle w:val="Heading2"/>
        <w:spacing w:after="100" w:before="220" w:line="288" w:lineRule="auto"/>
      </w:pPr>
      <w:r>
        <w:t xml:space="preserve">127.4 Restatement, which is not correction</w:t>
      </w:r>
    </w:p>
    <w:p>
      <w:pPr>
        <w:spacing w:after="120" w:line="288" w:lineRule="auto"/>
      </w:pPr>
      <w:r>
        <w:t xml:space="preserve">A publisher of a specialized feed frequently issues a revised value for a period already reported: an economic series is restated as fuller returns arrive, a forecast is reissued as the model is rerun, an index is recomputed as a constituent is corrected. The ordinary supersession chain treats a new version as replacing an erroneous predecessor, and applying it here would record that the earlier value was wrong. It was not. It was the value correctly published on the information then available.</w:t>
      </w:r>
    </w:p>
    <w:p>
      <w:pPr>
        <w:spacing w:after="120" w:line="288" w:lineRule="auto"/>
      </w:pPr>
      <w:r>
        <w:t xml:space="preserve">A restatement is therefore recorded as a distinct relation. The prior value is retained, is not marked erroneous, and remains queryable as the value published at its publication time; the restating value is linked to it as a restatement rather than as a correction. A query about the period returns the restated value; a query about what was published at a time returns what was published at that time; and a query about the difference returns both with their publication times, which is the question an auditor of a decision taken on the earlier value actually asks.</w:t>
      </w:r>
    </w:p>
    <w:p>
      <w:pPr>
        <w:spacing w:after="120" w:line="288" w:lineRule="auto"/>
      </w:pPr>
      <w:r>
        <w:t xml:space="preserve">A correction remains available and remains distinct. Where a publisher issues a value as a correction of an error rather than as a restatement on fuller information, the ordinary supersession chain applies and the prior value is marked erroneous. The registered restatement policy determines which relation a given publisher's revisions take, and a revision arriving under a policy that does not admit it is held for a named human rather than being classified by inference.</w:t>
      </w:r>
    </w:p>
    <w:p>
      <w:pPr>
        <w:pStyle w:val="Heading2"/>
        <w:spacing w:after="100" w:before="220" w:line="288" w:lineRule="auto"/>
      </w:pPr>
      <w:r>
        <w:t xml:space="preserve">127.5 Redistribution entitlement</w:t>
      </w:r>
    </w:p>
    <w:p>
      <w:pPr>
        <w:spacing w:after="120" w:line="288" w:lineRule="auto"/>
      </w:pPr>
      <w:r>
        <w:t xml:space="preserve">A specialized feed is commonly licensed on terms permitting a subscriber to see a value and not to republish it, and permitting a derived or delayed value where the value itself is withheld. The ordinary entitlement model expresses what a requester may reach; it does not express what a requester may do with what they reached, and this section adds that dimension.</w:t>
      </w:r>
    </w:p>
    <w:p>
      <w:pPr>
        <w:spacing w:after="120" w:line="288" w:lineRule="auto"/>
      </w:pPr>
      <w:r>
        <w:t xml:space="preserve">Enforcement is at composition rather than at export. A response that would carry a value beyond its redistribution entitlement is composed without it, the omission being reported to the requester with the entitlement that produced it, so that a requester is told they are not entitled rather than left to infer it from an absence. An export operation upon a response is evaluated against the same entitlement and refused where it exceeds it.</w:t>
      </w:r>
    </w:p>
    <w:p>
      <w:pPr>
        <w:spacing w:after="120" w:line="288" w:lineRule="auto"/>
      </w:pPr>
      <w:r>
        <w:t xml:space="preserve">A derived value carries the derivation and the entitlement of the feed it derives from, so an entitlement cannot be escaped by computing upon a value and then redistributing the result. Where a derivation is registered as sufficient to discharge the entitlement — a classification into bands, an aggregation across many values — the derived value carries the discharge and its basis.</w:t>
      </w:r>
    </w:p>
    <w:p>
      <w:pPr>
        <w:pStyle w:val="Heading2"/>
        <w:spacing w:after="100" w:before="220" w:line="288" w:lineRule="auto"/>
      </w:pPr>
      <w:r>
        <w:t xml:space="preserve">127.6 Standing queries against a feed</w:t>
      </w:r>
    </w:p>
    <w:p>
      <w:pPr>
        <w:spacing w:after="120" w:line="288" w:lineRule="auto"/>
      </w:pPr>
      <w:r>
        <w:t xml:space="preserve">The continuous query mechanism already specified applies to a registered feed without modification: a standing query registers a trigger clause and re-evaluates upon each relevant update, re-checking the Prime Directive at each firing. Three properties of a specialized feed bear upon it and are stated.</w:t>
      </w:r>
    </w:p>
    <w:p>
      <w:pPr>
        <w:spacing w:after="120" w:line="288" w:lineRule="auto"/>
      </w:pPr>
      <w:r>
        <w:t xml:space="preserve">A trigger fires upon a published value and not upon the passage of time, so a feed that has stopped publishing produces no firings rather than firing upon a stale value. A trigger evaluated against a value outside the staleness bound does not fire. And a firing rate is bounded per standing query, an exceeded bound suspending the query and notifying its owner rather than continuing to fire, because a feed entering a volatile period would otherwise generate firings faster than they can be acted upon.</w:t>
      </w:r>
    </w:p>
    <w:p>
      <w:pPr>
        <w:spacing w:after="120" w:line="288" w:lineRule="auto"/>
      </w:pPr>
      <w:r>
        <w:t xml:space="preserve">A standing query against a feed is metered under the ordinary compute accounting in its own category, scheduled below safety evaluation and below requester-serving, so a feed in a volatile period degrades the standing-query category and not the answering of a reader's question.</w:t>
      </w:r>
    </w:p>
    <w:p>
      <w:pPr>
        <w:pStyle w:val="Heading2"/>
        <w:spacing w:after="100" w:before="220" w:line="288" w:lineRule="auto"/>
      </w:pPr>
      <w:r>
        <w:t xml:space="preserve">127.7 What is not admitted</w:t>
      </w:r>
    </w:p>
    <w:p>
      <w:pPr>
        <w:spacing w:after="120" w:line="288" w:lineRule="auto"/>
      </w:pPr>
      <w:r>
        <w:t xml:space="preserve">Row 281 evaluates the registered midpoint rule over a published interval of 18.2 to 21.6, returning 19.9, the interval being retained alongside it.</w:t>
      </w:r>
    </w:p>
    <w:p>
      <w:pPr>
        <w:pStyle w:val="Heading1"/>
        <w:spacing w:after="120" w:before="280" w:line="288" w:lineRule="auto"/>
      </w:pPr>
      <w:r>
        <w:t xml:space="preserve">Chapter 128</w:t>
      </w:r>
    </w:p>
    <w:p>
      <w:pPr>
        <w:pStyle w:val="Heading2"/>
        <w:spacing w:after="100" w:before="220" w:line="288" w:lineRule="auto"/>
      </w:pPr>
      <w:r>
        <w:t xml:space="preserve">128.1 Definition, and the six phases</w:t>
      </w:r>
    </w:p>
    <w:p>
      <w:pPr>
        <w:spacing w:after="120" w:line="288" w:lineRule="auto"/>
      </w:pPr>
      <w:r>
        <w:t xml:space="preserve">A defined agent is registered only where its definition is complete. Six phases are required, and a definition lacking any element of any phase is refused at registration rather than registered with a default supplied. The refusal is stated first because it is the property from which the remainder follows: an agent whose behaviour is not fully determined before it runs cannot be evaluated before it runs.</w:t>
      </w:r>
    </w:p>
    <w:p>
      <w:pPr>
        <w:spacing w:after="120" w:line="288" w:lineRule="auto"/>
      </w:pPr>
      <w:r>
        <w:t xml:space="preserve">An agent's declared capability set is bounded above by the capabilities of the identity registering it. An agent cannot be given authority its author does not hold, and cannot acquire authority by operating: a capability not declared at registration is refused at the boundary at execution time, as it is for any connector.</w:t>
      </w:r>
    </w:p>
    <w:p>
      <w:pPr>
        <w:pStyle w:val="Heading2"/>
        <w:spacing w:after="100" w:before="220" w:line="288" w:lineRule="auto"/>
      </w:pPr>
      <w:r>
        <w:t xml:space="preserve">128.2 Execution</w:t>
      </w:r>
    </w:p>
    <w:p>
      <w:pPr>
        <w:spacing w:after="120" w:line="288" w:lineRule="auto"/>
      </w:pPr>
      <w:r>
        <w:t xml:space="preserve">An agent executes as a bounded program under the program layer already specified, compiled from its operational function into a representation that is not Turing-complete: it admits sequence, conditional evaluation, bounded iteration over a set whose cardinality is known before entry, and typed operations over knowledge records. It admits no unbounded loop, no recursion without a bound, and no operation whose termination is not decidable before execution. Termination is therefore a property of the representation rather than a hope about the program.</w:t>
      </w:r>
    </w:p>
    <w:p>
      <w:pPr>
        <w:spacing w:after="120" w:line="288" w:lineRule="auto"/>
      </w:pPr>
      <w:r>
        <w:t xml:space="preserve">Execution is triggered by a condition over admitted records or by a registered schedule, and the trigger is evaluated rather than assumed: a scheduled agent whose trigger condition does not obtain does not execute. Every execution resolves the agent's scope description before any traversal, and no parameter supplied at execution widens it. Execution is metered as a bounded compute-accounting unit in its own category, scheduled below safety evaluation, below requester-serving and below ingestion, so an agent campaign cannot displace a reader's answer.</w:t>
      </w:r>
    </w:p>
    <w:p>
      <w:pPr>
        <w:spacing w:after="120" w:line="288" w:lineRule="auto"/>
      </w:pPr>
      <w:r>
        <w:t xml:space="preserve">The governance evaluation is performed at each execution rather than at registration. An agent does not accumulate authority by having been approved once, and an agent whose execution would produce an output the Prime Directive excludes does not produce it, the exclusion being recorded and the agent's owner notified.</w:t>
      </w:r>
    </w:p>
    <w:p>
      <w:pPr>
        <w:pStyle w:val="Heading2"/>
        <w:spacing w:after="100" w:before="220" w:line="288" w:lineRule="auto"/>
      </w:pPr>
      <w:r>
        <w:t xml:space="preserve">128.3 What an agent may write</w:t>
      </w:r>
    </w:p>
    <w:p>
      <w:pPr>
        <w:spacing w:after="120" w:line="288" w:lineRule="auto"/>
      </w:pPr>
      <w:r>
        <w:t xml:space="preserve">An agent's output is subject to the same disposition rules as any other derivation, and the rules are restated here because an agent is easily assumed to be an exception to them.</w:t>
      </w:r>
    </w:p>
    <w:p>
      <w:pPr>
        <w:spacing w:after="120" w:line="288" w:lineRule="auto"/>
      </w:pPr>
      <w:r>
        <w:t xml:space="preserve">An agent therefore reads widely within its scope and writes narrowly outside it. The asymmetry is deliberate: the value of an agent is that it operates unattended, and the risk of an agent is precisely the same property, so what it may do unattended is bounded to what follows necessarily from what it read.</w:t>
      </w:r>
    </w:p>
    <w:p>
      <w:pPr>
        <w:pStyle w:val="Heading2"/>
        <w:spacing w:after="100" w:before="220" w:line="288" w:lineRule="auto"/>
      </w:pPr>
      <w:r>
        <w:t xml:space="preserve">128.4 Lifecycle</w:t>
      </w:r>
    </w:p>
    <w:p>
      <w:pPr>
        <w:spacing w:after="120" w:line="288" w:lineRule="auto"/>
      </w:pPr>
      <w:r>
        <w:t xml:space="preserve">An agent's lifecycle is defined before registration and is enforced rather than tracked. Six stages are recognised.</w:t>
      </w:r>
    </w:p>
    <w:p>
      <w:pPr>
        <w:spacing w:after="120" w:line="288" w:lineRule="auto"/>
      </w:pPr>
      <w:r>
        <w:t xml:space="preserve">A lifecycle expiry is a bound and not a reminder: an agent registered for fourteen days terminates on the fourteenth day whether or not anyone attends to it. Renewal is a fresh registration carrying a fresh review and a fresh approval, so an agent cannot persist indefinitely by inattention.</w:t>
      </w:r>
    </w:p>
    <w:p>
      <w:pPr>
        <w:pStyle w:val="Heading2"/>
        <w:spacing w:after="100" w:before="220" w:line="288" w:lineRule="auto"/>
      </w:pPr>
      <w:r>
        <w:t xml:space="preserve">128.5 Audit</w:t>
      </w:r>
    </w:p>
    <w:p>
      <w:pPr>
        <w:spacing w:after="120" w:line="288" w:lineRule="auto"/>
      </w:pPr>
      <w:r>
        <w:t xml:space="preserve">Each execution writes a decision trace recording the trigger that fired, the scope description resolved, the records read, the rules evaluated and the branch each took, the outputs produced, every refusal and its cause, and the compute consumed. The trace is queryable, so a question of the form ‘why did this agent do that’ has a recorded answer rather than an inference.</w:t>
      </w:r>
    </w:p>
    <w:p>
      <w:pPr>
        <w:spacing w:after="120" w:line="288" w:lineRule="auto"/>
      </w:pPr>
      <w:r>
        <w:t xml:space="preserve">Two properties of the trace are stated because they are what make it evidence rather than a log. It is written by the execution mechanism rather than by the agent, so an agent cannot omit from its own trace what it would prefer not to record. And it is written to the provenance chain under the ordinary keyed-checksum discipline, so a trace that has been altered after the fact is detectable.</w:t>
      </w:r>
    </w:p>
    <w:p>
      <w:pPr>
        <w:spacing w:after="120" w:line="288" w:lineRule="auto"/>
      </w:pPr>
      <w:r>
        <w:t xml:space="preserve">A capability violation, a governance exclusion and a terminated execution are each recorded with equal prominence to a successful one. An agent's record is not a record of its successes.</w:t>
      </w:r>
    </w:p>
    <w:p>
      <w:pPr>
        <w:pStyle w:val="Heading2"/>
        <w:spacing w:after="100" w:before="220" w:line="288" w:lineRule="auto"/>
      </w:pPr>
      <w:r>
        <w:t xml:space="preserve">128.6 Review, advisory, and the distinction between them</w:t>
      </w:r>
    </w:p>
    <w:p>
      <w:pPr>
        <w:spacing w:after="120" w:line="288" w:lineRule="auto"/>
      </w:pPr>
      <w:r>
        <w:t xml:space="preserve">The submitted specification provides that the agent, before creation, analyses its own definition, warns of risks, confirms feasibility and confirms compliance. The analysis and the warning are adopted. The confirmations are not, and the distinction is the subject of this section.</w:t>
      </w:r>
    </w:p>
    <w:p>
      <w:pPr>
        <w:spacing w:after="120" w:line="288" w:lineRule="auto"/>
      </w:pPr>
      <w:r>
        <w:t xml:space="preserve">A completed definition is analysed before registration and the analysis is presented to the registering identity. It identifies a scope exceeding the registrant's entitlement, a capability exceeding it, a termination condition that cannot obtain, a trigger condition that cannot be evaluated within the scope, a duration bound inconsistent with the work the function implies, and a rule admitting a non-deterministic resolution. Each finding is presented with what it would take to resolve it, and an unresolved finding blocks registration rather than accompanying it.</w:t>
      </w:r>
    </w:p>
    <w:p>
      <w:pPr>
        <w:spacing w:after="120" w:line="288" w:lineRule="auto"/>
      </w:pPr>
      <w:r>
        <w:t xml:space="preserve">What the analysis does not do is confirm compliance. A mechanism cannot establish its own compliance, and an arrangement in which it purports to is worse than one in which nothing is checked, because it produces a confirmation on which a reader relies. Compliance is established by the governance evaluation, which is performed by the governance domain upon the agent rather than by the agent upon itself, and by the named human whose approval registration requires. The analysis informs that human; it does not stand in their place.</w:t>
      </w:r>
    </w:p>
    <w:p>
      <w:pPr>
        <w:spacing w:after="120" w:line="288" w:lineRule="auto"/>
      </w:pPr>
      <w:r>
        <w:t xml:space="preserve">The same distinction governs the advisory stage during operation. An agent reports findings, warnings and anomalies to its owner, and those reports are advisory: they inform a decision and do not constitute one. Where an agent's report bears upon whether the agent should continue, the decision is the owner's or an operator's, recorded as theirs. An agent does not renew itself, does not widen its own scope, does not extend its own lifecycle, and does not clear its own findings.</w:t>
      </w:r>
    </w:p>
    <w:p>
      <w:pPr>
        <w:pStyle w:val="Heading2"/>
        <w:spacing w:after="100" w:before="220" w:line="288" w:lineRule="auto"/>
      </w:pPr>
      <w:r>
        <w:t xml:space="preserve">128.7 Provisions implemented differently, and why</w:t>
      </w:r>
    </w:p>
    <w:p>
      <w:pPr>
        <w:spacing w:after="120" w:line="288" w:lineRule="auto"/>
      </w:pPr>
      <w:r>
        <w:t xml:space="preserve">Row 288 evaluates the confidence of a deductive conclusion an agent may admit, as the product-bounded lesser of the traversed edge confidences, returning 0.55.</w:t>
      </w:r>
    </w:p>
    <w:p>
      <w:pPr>
        <w:pStyle w:val="Heading1"/>
        <w:spacing w:after="120" w:before="280" w:line="288" w:lineRule="auto"/>
      </w:pPr>
      <w:r>
        <w:t xml:space="preserve">Chapter 129</w:t>
      </w:r>
    </w:p>
    <w:p>
      <w:pPr>
        <w:pStyle w:val="Heading2"/>
        <w:spacing w:after="100" w:before="220" w:line="288" w:lineRule="auto"/>
      </w:pPr>
      <w:r>
        <w:t xml:space="preserve">129.1 Deployment topology by purchaser class</w:t>
      </w:r>
    </w:p>
    <w:p>
      <w:pPr>
        <w:spacing w:after="120" w:line="288" w:lineRule="auto"/>
      </w:pPr>
      <w:r>
        <w:t xml:space="preserve">The five topologies specified at §107.1 are not equally suitable to every purchaser, and the multi-tenant hosted mode is unsuitable to every class treated in this chapter. The properties that make a topology suitable are stated alongside it, because a purchaser evaluating this system will test the property rather than the label.</w:t>
      </w:r>
    </w:p>
    <w:p>
      <w:pPr>
        <w:spacing w:after="120" w:line="288" w:lineRule="auto"/>
      </w:pPr>
      <w:r>
        <w:t xml:space="preserve">Civilian government is served by a single-tenant customer-hosted deployment with tenant-scoped key custody under §107.5. Content and key material remain within the purchaser's infrastructure; accessible equivalents are produced at the same production stage as the content they accompany rather than as a subsequent remediation; erasure operates at session, work and account scope, serving a records-management obligation; and every access is recorded against an entitlement, serving a disclosure obligation.</w:t>
      </w:r>
    </w:p>
    <w:p>
      <w:pPr>
        <w:spacing w:after="120" w:line="288" w:lineRule="auto"/>
      </w:pPr>
      <w:r>
        <w:t xml:space="preserve">Defence and intelligence are served by a single-device or fully disconnected deployment under §107.1 and the substrate independence of §107.7. Ingestion, retrieval, inference and generation all execute without a network at any point. No claim recites an external system as an element, no transfer-matrix entry permits a domain to require an external resource to complete an operation, and determinism is established by the vocabulary constraint and the bounded stable-state capacity rather than by any external property. The independence is structural rather than asserted and is therefore testable by the purchaser.</w:t>
      </w:r>
    </w:p>
    <w:p>
      <w:pPr>
        <w:spacing w:after="120" w:line="288" w:lineRule="auto"/>
      </w:pPr>
      <w:r>
        <w:t xml:space="preserve">Scientific and research purchasers are served by a customer-hosted or edge deployment, and the property purchased is reproducibility rather than efficiency: an identical query over identical records under an identical context key yields an identical result, the key being returned with the output so that a result is re-derivable at a later date and demonstrably the same result. Every proposition resolves to a cited source, and a disagreement among sources is recorded rather than resolved by selection.</w:t>
      </w:r>
    </w:p>
    <w:p>
      <w:pPr>
        <w:spacing w:after="120" w:line="288" w:lineRule="auto"/>
      </w:pPr>
      <w:r>
        <w:t xml:space="preserve">Regulated industry is served by a customer-hosted deployment with hardware key custody where configured, in which the system holds a handle rather than the key and every use is a call across the custody boundary. The provenance chain is signed under a deployment key, so a third party holding the verification key confirms that a recorded operation and its recorded safety evaluation are as written, without access to the system.</w:t>
      </w:r>
    </w:p>
    <w:p>
      <w:pPr>
        <w:spacing w:after="120" w:line="288" w:lineRule="auto"/>
      </w:pPr>
      <w:r>
        <w:t xml:space="preserve">Education and public institutions are served by a customer-hosted deployment, or by an edge deployment where a campus concentration warrants one. An edge node holds no authority, answers from cache only where the requester's scope admits every cached record consulted, and escalates otherwise. Per-individual predictive records are refused at construction, which is the condition such purchasers examine first.</w:t>
      </w:r>
    </w:p>
    <w:p>
      <w:pPr>
        <w:pStyle w:val="Heading2"/>
        <w:spacing w:after="100" w:before="220" w:line="288" w:lineRule="auto"/>
      </w:pPr>
      <w:r>
        <w:t xml:space="preserve">129.2 Licence form</w:t>
      </w:r>
    </w:p>
    <w:p>
      <w:pPr>
        <w:spacing w:after="120" w:line="288" w:lineRule="auto"/>
      </w:pPr>
      <w:r>
        <w:t xml:space="preserve">A per-seat licence is unsuitable to every class above, for two reasons stated together. It creates a counting obligation the purchaser must administer and the operator must audit, in institutions where headcount is variable and where an audit of it is itself sensitive; and it prices a system whose cost is driven by corpus scale and query volume by a quantity related to neither.</w:t>
      </w:r>
    </w:p>
    <w:p>
      <w:pPr>
        <w:spacing w:after="120" w:line="288" w:lineRule="auto"/>
      </w:pPr>
      <w:r>
        <w:t xml:space="preserve">Three terms are common to every form. A licence is scoped to a deployment and to a corpus rather than to a set of named individuals. A licence does not condition operation upon a connection to the operator, because four of the five topologies do not have one. And a licence termination does not render an already-composed output invalid, because an output is a record of what the records supported at a time and its validity does not depend upon a commercial relationship subsisting afterwards.</w:t>
      </w:r>
    </w:p>
    <w:p>
      <w:pPr>
        <w:spacing w:after="120" w:line="288" w:lineRule="auto"/>
      </w:pPr>
      <w:r>
        <w:t xml:space="preserve">A per-deployment licence with a corpus-scale tier suits civilian government, regulated industry and education. The tier is a function of admitted record count and query volume, both of which the compute-accounting mechanism already meters, and a tier boundary crossed mid-term is reported rather than enforced retrospectively.</w:t>
      </w:r>
    </w:p>
    <w:p>
      <w:pPr>
        <w:spacing w:after="120" w:line="288" w:lineRule="auto"/>
      </w:pPr>
      <w:r>
        <w:t xml:space="preserve">A per-deployment perpetual licence with a maintenance term suits defence and intelligence and any purchaser operating disconnected. A disconnected deployment cannot be licence-checked, and a licence whose enforcement requires a connection is unenforceable in the topology that class requires; the licence is therefore perpetual as to operation and term-limited as to maintenance and updates.</w:t>
      </w:r>
    </w:p>
    <w:p>
      <w:pPr>
        <w:spacing w:after="120" w:line="288" w:lineRule="auto"/>
      </w:pPr>
      <w:r>
        <w:t xml:space="preserve">A site or consortium licence suits scientific and research programmes spanning several institutions. Entitlement is resolved per requester against the consortium's registered membership, so a member institution's departure narrows entitlement at the next query rather than at the next renewal.</w:t>
      </w:r>
    </w:p>
    <w:p>
      <w:pPr>
        <w:spacing w:after="120" w:line="288" w:lineRule="auto"/>
      </w:pPr>
      <w:r>
        <w:t xml:space="preserve">A source-available or escrow arrangement suits defence, intelligence and any purchaser requiring inspection, in which classes inspectability is frequently a precondition rather than a preference. This system tolerates it better than most, because its guarantees are structural properties of the specification rather than properties of an unpublished implementation: a purchaser who reads the source learns how the guarantees are met and learns nothing that weakens them.</w:t>
      </w:r>
    </w:p>
    <w:p>
      <w:pPr>
        <w:pStyle w:val="Heading2"/>
        <w:spacing w:after="100" w:before="220" w:line="288" w:lineRule="auto"/>
      </w:pPr>
      <w:r>
        <w:t xml:space="preserve">129.3 Six conditions unmet at the date of this chapter</w:t>
      </w:r>
    </w:p>
    <w:p>
      <w:pPr>
        <w:spacing w:after="120" w:line="288" w:lineRule="auto"/>
      </w:pPr>
      <w:r>
        <w:t xml:space="preserve">The following are recorded as unmet. Each is stated with what it blocks and with whether it is a matter of engineering, of assessment by a competent party, or of measurement. The distinction matters, because a condition requiring measurement can be addressed by the applicant alone whereas a condition requiring assessment cannot.</w:t>
      </w:r>
    </w:p>
    <w:p>
      <w:pPr>
        <w:spacing w:after="120" w:line="288" w:lineRule="auto"/>
      </w:pPr>
      <w:r>
        <w:t xml:space="preserve">First, no FedRAMP or StateRAMP authorization is held. This is a matter of assessment, requiring a third-party assessment organisation and a sponsoring agency, and it blocks United States federal civilian procurement generally, where it is a threshold rather than a preference. A customer-hosted deployment upon the purchaser's own authorised infrastructure may in some circumstances proceed under the purchaser's own authorization; that determination belongs to the purchaser's authorising official and not to this document.</w:t>
      </w:r>
    </w:p>
    <w:p>
      <w:pPr>
        <w:spacing w:after="120" w:line="288" w:lineRule="auto"/>
      </w:pPr>
      <w:r>
        <w:t xml:space="preserve">Second, no validated cryptographic module is specified. This is a matter of engineering followed by validation. The specification states encryption, key scoping and hardware custody, and states no validated module; the term appears nowhere in the corpus. It blocks federal deployments generally and a number of regulated-industry deployments. A deployment must use a module validated under the applicable programme, and the specification must name the requirement rather than leaving the choice to an implementer.</w:t>
      </w:r>
    </w:p>
    <w:p>
      <w:pPr>
        <w:spacing w:after="120" w:line="288" w:lineRule="auto"/>
      </w:pPr>
      <w:r>
        <w:t xml:space="preserve">Third, multi-level security is not specified. This is a matter of engineering. The entitlement model resolves per requester and per record; it does not resolve per classification level, and the handling of material at differing classifications within one deployment is not specified. It blocks any deployment holding material at more than one classification. A deployment at a single level is unaffected, which is the configuration a first defence engagement would sensibly take.</w:t>
      </w:r>
    </w:p>
    <w:p>
      <w:pPr>
        <w:spacing w:after="120" w:line="288" w:lineRule="auto"/>
      </w:pPr>
      <w:r>
        <w:t xml:space="preserve">Fourth, no certification of any kind is held. This is a matter of assessment. §115.8 states the position expressly for assistive equipment and the position is the same system-wide: conformity is established by hazard analysis, verification and testing performed upon a specific configuration by a party competent to certify, and no provision of this specification substitutes for it. It blocks any procurement conditioned upon a named standard, and a purchaser asking which standard this system is certified against receives the answer none, which should be given plainly.</w:t>
      </w:r>
    </w:p>
    <w:p>
      <w:pPr>
        <w:spacing w:after="120" w:line="288" w:lineRule="auto"/>
      </w:pPr>
      <w:r>
        <w:t xml:space="preserve">Fifth, nothing has been measured at scale. This is a matter of measurement and is therefore within the applicant's own control. It affects every purchaser class. Determinism, refusal integrity and calibration are claimed, are testable, and are untested. Chapter 117 specifies the instrument — coverage against an enumerated trial space with the residue listed, determinism over an unchanged corpus state where any value below unity is a defect, and adversarial trials measuring whether a stated refusal actually fires. A purchaser will ask for the results and not for the design.</w:t>
      </w:r>
    </w:p>
    <w:p>
      <w:pPr>
        <w:spacing w:after="120" w:line="288" w:lineRule="auto"/>
      </w:pPr>
      <w:r>
        <w:t xml:space="preserve">Sixth, this system's export control status is unassessed. This is a matter of assessment. Export control is referred to at many points in the corpus in relation to content and territory, and this system's own classification has not been determined. It blocks any engagement with a defence purchaser and any deployment outside the applicant's jurisdiction, and the determination should be obtained before such a conversation is opened rather than during one, because opening it is itself a disclosure.</w:t>
      </w:r>
    </w:p>
    <w:p>
      <w:pPr>
        <w:pStyle w:val="Heading2"/>
        <w:spacing w:after="100" w:before="220" w:line="288" w:lineRule="auto"/>
      </w:pPr>
      <w:r>
        <w:t xml:space="preserve">129.4 Sequencing</w:t>
      </w:r>
    </w:p>
    <w:p>
      <w:pPr>
        <w:spacing w:after="120" w:line="288" w:lineRule="auto"/>
      </w:pPr>
      <w:r>
        <w:t xml:space="preserve">The five conditions requiring assessment or engineering are addressed on timescales the applicant does not wholly control. The fifth — measurement — is within the applicant's control entirely, requires no external party, and should be addressed first.</w:t>
      </w:r>
    </w:p>
    <w:p>
      <w:pPr>
        <w:spacing w:after="120" w:line="288" w:lineRule="auto"/>
      </w:pPr>
      <w:r>
        <w:t xml:space="preserve">The reason is not that it is the easiest. It is that it is the condition every purchaser in every class asks about, and the only one whose absence undermines the others. An authorization obtained for a system whose central properties have never been measured is an authorization of a design. A certification of an unmeasured system certifies a process. A purchaser who is told that output is deterministic, that a refusal is structural, and that confidence is calibrated, and who then asks what those properties measure at, currently receives an architectural argument in place of a figure.</w:t>
      </w:r>
    </w:p>
    <w:p>
      <w:pPr>
        <w:spacing w:after="120" w:line="288" w:lineRule="auto"/>
      </w:pPr>
      <w:r>
        <w:t xml:space="preserve">Running the trial architecture converts the claims of this specification from properties asserted to properties measured, and the measurement is itself evidence of the discipline a government or regulated purchaser is assessing. It also has an internal value independent of procurement: a refusal that has never been exercised is an assumption, and this specification contains a large number of claimed refusals none of which has been adversarially tested.</w:t>
      </w:r>
    </w:p>
    <w:p>
      <w:pPr>
        <w:spacing w:after="120" w:line="288" w:lineRule="auto"/>
      </w:pPr>
      <w:r>
        <w:t xml:space="preserve">The recommended order is therefore: measurement first; then cryptographic module selection and multi-level security, both being engineering within the applicant's control; then export classification, which should precede any defence engagement; then authorization and certification, both of which are assisted by the measurement results and impeded by their absence.</w:t>
      </w:r>
    </w:p>
    <w:p>
      <w:pPr>
        <w:pStyle w:val="Heading2"/>
        <w:spacing w:after="100" w:before="220" w:line="288" w:lineRule="auto"/>
      </w:pPr>
      <w:r>
        <w:t xml:space="preserve">129.5 What this chapter does not establish</w:t>
      </w:r>
    </w:p>
    <w:p>
      <w:pPr>
        <w:spacing w:after="120" w:line="288" w:lineRule="auto"/>
      </w:pPr>
      <w:r>
        <w:t xml:space="preserve">It establishes no authorization, no validation, no certification and no export classification. It records that none is held. It does not constitute legal advice, and the licence forms it describes are engineering and commercial recommendations upon which counsel's own drafting supersedes.</w:t>
      </w:r>
    </w:p>
    <w:p>
      <w:pPr>
        <w:spacing w:after="120" w:line="288" w:lineRule="auto"/>
      </w:pPr>
      <w:r>
        <w:t xml:space="preserve">And it makes no representation that a topology suitable to a purchaser class is sufficient for a particular procurement. Suitability is a property of the architecture; sufficiency is a determination of the purchaser's own authorising official, made against requirements this document has not seen.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adiMa5x7nBPc4RUF69WX9</dc:title>
  <dc:creator>Un-named</dc:creator>
  <dc:description>Generated document</dc:description>
  <cp:lastModifiedBy>Un-named</cp:lastModifiedBy>
  <cp:revision>1</cp:revision>
  <dcterms:created xsi:type="dcterms:W3CDTF">2026-08-07T13:32:08.637Z</dcterms:created>
  <dcterms:modified xsi:type="dcterms:W3CDTF">2026-08-07T13:32:08.637Z</dcterms:modified>
</cp:coreProperties>
</file>

<file path=docProps/custom.xml><?xml version="1.0" encoding="utf-8"?>
<Properties xmlns="http://schemas.openxmlformats.org/officeDocument/2006/custom-properties" xmlns:vt="http://schemas.openxmlformats.org/officeDocument/2006/docPropsVTypes"/>
</file>