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v11 (Pass 116: §1.4 Record-Fused Encoding and Database Neutrality; §1.3 Enhanced Fact Unit Record; §1.2 Post-Baconian Layered Definition) · 291 registry features · 341 claims · Confidential</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2"/>
        <w:spacing w:after="140" w:before="300"/>
      </w:pPr>
      <w:r>
        <w:rPr>
          <w:b/>
          <w:bCs/>
          <w:color w:val="1A1714"/>
          <w:sz w:val="24"/>
          <w:szCs w:val="24"/>
        </w:rPr>
        <w:t xml:space="preserve">1.3  The Enhanced Record</w:t>
      </w:r>
    </w:p>
    <w:p>
      <w:pPr>
        <w:spacing w:after="170" w:line="300"/>
      </w:pPr>
      <w:r>
        <w:rPr>
          <w:b/>
          <w:bCs/>
          <w:color w:val="1A1714"/>
          <w:sz w:val="22"/>
          <w:szCs w:val="22"/>
        </w:rPr>
        <w:t xml:space="preserve">Seven additional field families enrich the record, each an additive extension of the definitions above: no field of §1.1 and no layer of §1.2 is removed or altered, concepts continue to belong to the World-View Model, and every new field is a deterministic function of record content and the observation stream, so the determinism guarantee is preserved without qualification. First, uncertainty decomposition: residual uncertainty on the evidence pair is classified deterministically as epistemic — reducible by further observation — or aleatory — the world's own irreducible variability — with the source-reliability weighting, measurement precision, and consensus breadth carried as explicit sub-parameters; the classification gives the Baconian feedback loop a principled stopping condition, iterating while uncertainty is epistemic and standing down when only the world's variance remains. Second, assertion polarity: every record is explicitly affirmative or negative, so a negative finding is a first-class record, contradiction detection gains a structural fast path — same assertion core, opposite polarity — and the Without-Information Rule distinguishes the absence of any record, which obliges refusal, from a known negative, which is an answer. Third, native n-ary assertion structure: one record carries one assertion with multiple typed argument slots — subject, value, unit, instrument, method, condition, observer — with one FUID, one fingerprint computed over the complete argument structure, and one evidence pair, rather than a constellation of binary statements joined by synthetic nodes. Fourth, applicability scope: the record states the conditions under which its assertion holds — temporal interval, jurisdiction, edition, parameter range, population — the record-side complement of the context lock, disciplining both retrieval and contradiction detection, since assertions under disjoint scopes do not conflict. Fifth, the Baconian adjustment history: every pass of the feedback loop appends an immutable entry — observation, source class, weighting applied, movement of the evidence pair and credible interval — so a record's confidence is replayable from first observation to present state, deterministically and exactly. Sixth, a cryptographic integrity chain: each record hashes its immutable core and each supersession link carries the hash of the record it supersedes, so version chains are tamper-evident by standard hashing alone — integrity machinery internal to the Fact Graph, with no distributed ledger, no token, and no ownership identity node. Seventh, a canonical compact encoding: a lossless, bidirectional binary serialization with required fields at fixed positions and optional fields tagged, under which FUID and fingerprint are identical in either form, making micro-embedded and offline deployment concrete and giving semantic media compression a specified record-level mechanism. These fields are consumed across the architecture: precision-weighted error propagation reads the decomposed uncertainty, contradiction detection and Competitive Candidate Resolution read polarity and scope, ingestion computes fingerprints over n-ary structure, supersession maintains the integrity chain, and deployment serializes to canonical form. Specified at §3.8.</w:t>
      </w:r>
    </w:p>
    <w:p>
      <w:pPr>
        <w:pStyle w:val="Heading2"/>
        <w:spacing w:after="140" w:before="300"/>
      </w:pPr>
      <w:r>
        <w:rPr>
          <w:b/>
          <w:bCs/>
          <w:color w:val="1A1714"/>
          <w:sz w:val="24"/>
          <w:szCs w:val="24"/>
        </w:rPr>
        <w:t xml:space="preserve">1.4  Record-Fused Encoding and Database Neutrality</w:t>
      </w:r>
    </w:p>
    <w:p>
      <w:pPr>
        <w:spacing w:after="170" w:line="300"/>
      </w:pPr>
      <w:r>
        <w:rPr>
          <w:b/>
          <w:bCs/>
          <w:color w:val="1A1714"/>
          <w:sz w:val="22"/>
          <w:szCs w:val="22"/>
        </w:rPr>
        <w:t xml:space="preserve">The canonical compact encoding of §1.3 is the Fact Unit's own at-rest and wire form, fused to the record rather than to any store, and this fusion is what lets the system operate over any database while carrying its guarantees across the storage boundary. A record is carried as itself — required fields at fixed offsets, optional fields tagged, FUID and semantic fingerprint identical to the full form — so the encoded record is self-describing without an external schema. A host database, content repository, or e-reader platform holds the encoded record as an opaque value — a blob in a column, a file, an object, or a key's payload — and is never required to parse it, index its interior, or understand its fields; its only obligations are to accept bytes and return them unchanged. This is the invariant that preserves database neutrality: because the store is asked only to hold and return bytes, any database qualifies, and no proprietary format, schema migration, or query-engine capability is imposed on it, while the record's own FUID and fingerprint are exposed as plain opaque keys where an index is wanted, so retrieval by identity needs no reading of the record's meaning. Queries over Fact Units are expressed internally in terms of the record — its identifiers, fingerprint, typed adjacency, confidence, and applicability scope — and resolved against the Fact Graph by the system's own retrieval; where raw material must be drawn from an external store, an adapter translates the request into that store's native language (a relational query, an object lookup, a key fetch), and the external store never receives the internal fact-query form. An external store is thereby a source and a repository, never the reasoning engine, which is the position that keeps it replaceable and the determinism and groundedness guarantees independent of it. Because the store holds the record as an opaque blob, the properties the record carries travel with it: the integrity hash chain makes any alteration detectable on read, the in-record safety classification and access-control list keep entitlement a property of the record rather than a filter the store is trusted to apply, and under the zero-knowledge and key-custody provisions an encoded record written to an external store is unreadable by that store. Database neutrality is therefore not merely preserved but strengthened — any store will hold the record, and no store can read, reorder, or leak its meaning. The design invariant is stated plainly: the encoding and the query interface are fused to the Fact Unit and never to a host system's storage or query interface, so no host store is ever required to understand the record's format or speak its query language in order to store or return it. Specified at §3.9.</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2026-09-06T02:17:55.224Z</dcterms:created>
  <dcterms:modified xsi:type="dcterms:W3CDTF">2026-09-06T02:17:55.236Z</dcterms:modified>
</cp:coreProperties>
</file>

<file path=docProps/custom.xml><?xml version="1.0" encoding="utf-8"?>
<Properties xmlns="http://schemas.openxmlformats.org/officeDocument/2006/custom-properties" xmlns:vt="http://schemas.openxmlformats.org/officeDocument/2006/docPropsVTypes"/>
</file>