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341.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highlight w:val="yellow"/>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 (Added September 2, 2026, from Bible §3.6–§3.7, Pass 114; unnumbered pending renumbering by counsel.)</w:t>
      </w:r>
    </w:p>
    <w:p>
      <w:r>
        <w:rPr>
          <w:highlight w:val="yellow"/>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 (Added September 2, 2026, from Bible §3.8, Pass 115; unnumbered pending renumbering by counsel.)</w:t>
      </w:r>
    </w:p>
    <w:p>
      <w:r>
        <w:rPr>
          <w:highlight w:val="yellow"/>
        </w:rPr>
        <w:t xml:space="preserve">The compact form of the record additionally serves as its canonical at-rest and wire form, fused to the record rather than to any store: required fields at fixed offsets and optional fields tagged, with the identifier and semantic fingerprint identical to the full form, so the encoded record is self-describing without an external schema. A host database, content repository, or reader platform holds the encoded record as an opaque value it is never required to parse, index, or interpret, its only obligations being to accept and return the bytes unchanged, which is what preserves the system’s operation over any database while imposing no proprietary format, schema, or query capability upon it; queries over records are expressed internally and, where external material is drawn from such a store, translated at an adapter into that store’s native language, the store never receiving the internal query form. Because the record is held as an opaque encoded value, its integrity chain, its in-record safety classification and access-control list, and, where elected, its zero-knowledge encryption travel with it across the storage boundary, so any store will hold the record and no store can read, reorder, or leak its meaning. (Added September 6, 2026, from Bible §3.9, Pass 116; the encoding and query interface are fused to the record and not to any host store; no mandatory external transport or query standard is reintroduced; unnumbered pending renumbering by counsel.)</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279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279 functions, 279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279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