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DeepInfer 对昇腾推理平台的影响与应对</w:t>
      </w:r>
    </w:p>
    <w:p>
      <w:pPr>
        <w:spacing w:after="100"/>
      </w:pPr>
      <w:r>
        <w:rPr>
          <w:rFonts w:ascii="Arial" w:hAnsi="Arial" w:eastAsia="Songti SC"/>
          <w:b w:val="0"/>
          <w:color w:val="000000"/>
          <w:sz w:val="18"/>
        </w:rPr>
        <w:t>领导汇报版 第八版    2026 年 10 月 26 日    DeepInfer 实现归属与通用框架吸收路径</w:t>
      </w: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当前证据不支持因 DeepInfer 开源就整体替换团队的 vLLM-Ascend 主线。</w:t>
      </w:r>
      <w:r>
        <w:rPr>
          <w:rFonts w:ascii="Arial" w:hAnsi="Arial" w:eastAsia="Songti SC"/>
          <w:b w:val="0"/>
          <w:color w:val="000000"/>
          <w:sz w:val="22"/>
        </w:rPr>
        <w:t>DeepInfer 已交付实质性的模型执行、算子接入和运行时优化；其中一部分利用 V4.1 的共同模型能力，一部分已被通用框架吸收，另一部分仍需按 A5 的瓶颈适配。三组性能证据支持现有路线在已测场景具备竞争力，尚未证明完整生产成本相同。[S01、S03、S39–S41]</w:t>
      </w:r>
    </w:p>
    <w:p>
      <w:r>
        <w:rPr>
          <w:rFonts w:ascii="Arial" w:hAnsi="Arial" w:eastAsia="Songti SC"/>
          <w:b w:val="0"/>
          <w:color w:val="000000"/>
          <w:sz w:val="22"/>
        </w:rPr>
        <w:t>DeepInfer 对我们的直接影响，主要是提供更明确的实现参照、提高性能要求，并加快有效优化的集成与验证。整体替代压力有限，不等于技术影响小；通用框架有同类机制，也不等于团队当前版本已充分兑现。本报告逐项说明 DeepInfer 做了什么、收益来自哪里，以及我们应复用、适配还是联合建设。</w:t>
      </w:r>
    </w:p>
    <w:p>
      <w:r>
        <w:rPr>
          <w:rFonts w:ascii="Arial" w:hAnsi="Arial" w:eastAsia="Songti SC"/>
          <w:b w:val="0"/>
          <w:color w:val="000000"/>
          <w:sz w:val="22"/>
        </w:rPr>
        <w:t>本报告区分三种主体：DeepInfer 本次开源引擎、DeepSeek 外部算子库与生产系统，以及 vLLM、SGLang、vLLM-Ascend 的对应实现。第 2 章解释核心技术及迁移关系，第 3–5 章展开主机执行和长期缓存，第 6 章保留全部测试图表及点评，第 8 章给出团队行动与汇报结论。</w:t>
      </w:r>
    </w:p>
    <w:p>
      <w:pPr>
        <w:pStyle w:val="Heading1"/>
      </w:pPr>
      <w:r>
        <w:t>1 先理解一套推理服务在做什么</w:t>
      </w:r>
    </w:p>
    <w:p>
      <w:r>
        <w:rPr>
          <w:rFonts w:ascii="Arial" w:hAnsi="Arial" w:eastAsia="Songti SC"/>
          <w:b w:val="0"/>
          <w:color w:val="000000"/>
          <w:sz w:val="22"/>
        </w:rPr>
        <w:t>一次请求大致经过四个环节：服务接收问题并转换成模型输入；模型读取输入，生成可供后续使用的状态；模型逐步生成回答；服务将输出转换成文字或工具调用返回。模型按 token 处理内容，可把它理解为文字等内容经过编码后的片段。系统还要决定每个请求由哪台机器处理、哪些请求合成一批，以及旧状态是否可以复用。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819"/>
        <w:gridCol w:w="2721"/>
      </w:tblGrid>
      <w:tr>
        <w:trPr>
          <w:cantSplit/>
          <w:tblHeader/>
        </w:trPr>
        <w:tc>
          <w:tcPr>
            <w:tcW w:type="dxa" w:w="204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常见术语</w:t>
            </w:r>
          </w:p>
        </w:tc>
        <w:tc>
          <w:tcPr>
            <w:tcW w:type="dxa" w:w="4819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通俗解释</w:t>
            </w:r>
          </w:p>
        </w:tc>
        <w:tc>
          <w:tcPr>
            <w:tcW w:type="dxa" w:w="272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主要影响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Prefill 预填充</w:t>
            </w:r>
          </w:p>
        </w:tc>
        <w:tc>
          <w:tcPr>
            <w:tcW w:type="dxa" w:w="4819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一次处理已经知道的输入，例如完整对话历史，建立后续生成要用的状态。</w:t>
            </w:r>
          </w:p>
        </w:tc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首个回答出现得多快；重复输入要花多少计算。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Decode 解码</w:t>
            </w:r>
          </w:p>
        </w:tc>
        <w:tc>
          <w:tcPr>
            <w:tcW w:type="dxa" w:w="4819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基于已有状态持续生成新内容，反复执行模型。</w:t>
            </w:r>
          </w:p>
        </w:tc>
        <w:tc>
          <w:tcPr>
            <w:tcW w:type="dxa" w:w="272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回答输出速度；每张卡能同时服务多少用户。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KV Cache</w:t>
            </w:r>
          </w:p>
        </w:tc>
        <w:tc>
          <w:tcPr>
            <w:tcW w:type="dxa" w:w="4819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模型已计算出的历史中间状态，供注意力计算复用；它不是文字摘要。</w:t>
            </w:r>
          </w:p>
        </w:tc>
        <w:tc>
          <w:tcPr>
            <w:tcW w:type="dxa" w:w="272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内存、传输、存储以及重复计算成本。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算子与运行时</w:t>
            </w:r>
          </w:p>
        </w:tc>
        <w:tc>
          <w:tcPr>
            <w:tcW w:type="dxa" w:w="4819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算子是在卡上执行的计算程序；运行时负责准备数据、安排执行并维护状态。</w:t>
            </w:r>
          </w:p>
        </w:tc>
        <w:tc>
          <w:tcPr>
            <w:tcW w:type="dxa" w:w="272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卡算得是否高效，是否因等数据或等下一批任务而空闲。</w:t>
            </w:r>
          </w:p>
        </w:tc>
      </w:tr>
    </w:tbl>
    <w:p>
      <w:pPr>
        <w:spacing w:after="20"/>
      </w:pPr>
    </w:p>
    <w:p>
      <w:r>
        <w:rPr>
          <w:rFonts w:ascii="Arial" w:hAnsi="Arial" w:eastAsia="Songti SC"/>
          <w:b w:val="0"/>
          <w:color w:val="000000"/>
          <w:sz w:val="22"/>
        </w:rPr>
        <w:t>P/D 分离是把读输入和生成回答放到不同资源池，分别配置机器与并行方式。它可以避免长输入拖慢正在输出的请求，但会增加状态传输和调度工作。这是一种资源组织方法，GPU 和昇腾都可能受益，不能把它看成只用于弥补某种芯片短板。</w:t>
      </w:r>
    </w:p>
    <w:p>
      <w:r>
        <w:rPr>
          <w:rFonts w:ascii="Arial" w:hAnsi="Arial" w:eastAsia="Songti SC"/>
          <w:b w:val="0"/>
          <w:color w:val="000000"/>
          <w:sz w:val="22"/>
        </w:rPr>
        <w:t>衡量服务不能只看每卡每秒 token 数。还要看首 token 等待时间、连续输出间隔、忙时的尾延迟，以及满足这些要求时的总成本。本文所说“有效吞吐”，指在约定质量和响应时间内完成的服务量。</w:t>
      </w:r>
    </w:p>
    <w:p>
      <w:pPr>
        <w:pStyle w:val="Heading1"/>
      </w:pPr>
      <w:r>
        <w:t>2 DeepInfer 核心优化及其与通用框架的关系</w:t>
      </w: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DeepInfer 本次公开的重点，是把 V4.1 模型允许的节省落实为高效执行。</w:t>
      </w:r>
      <w:r>
        <w:rPr>
          <w:rFonts w:ascii="Arial" w:hAnsi="Arial" w:eastAsia="Songti SC"/>
          <w:b w:val="0"/>
          <w:color w:val="000000"/>
          <w:sz w:val="22"/>
        </w:rPr>
        <w:t>它实现跨层状态共享和有限重放，接入 DeepSeek 的融合算子库，并提供 C++ 热路径、异步调度、投机验证和 EPLB。下表按模型、算子、框架、系统梳理归属；最后一层主要来自 DeepSeek 生产实践披露，不能全部视为开源引擎已经交付。[S01–S02]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4195"/>
        <w:gridCol w:w="4195"/>
      </w:tblGrid>
      <w:tr>
        <w:trPr>
          <w:cantSplit/>
          <w:tblHeader/>
        </w:trPr>
        <w:tc>
          <w:tcPr>
            <w:tcW w:type="dxa" w:w="119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4195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DeepInfer 或 DeepSeek 实际提供了什么</w:t>
            </w:r>
          </w:p>
        </w:tc>
        <w:tc>
          <w:tcPr>
            <w:tcW w:type="dxa" w:w="4195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与通用框架的关系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模型</w:t>
            </w:r>
          </w:p>
        </w:tc>
        <w:tc>
          <w:tcPr>
            <w:tcW w:type="dxa" w:w="419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DeepInfer 实现 V4.1 的 KV 共享、CED、SWA 重放、低精度及 DSpark；结构和权重来自模型。</w:t>
            </w:r>
          </w:p>
        </w:tc>
        <w:tc>
          <w:tcPr>
            <w:tcW w:type="dxa" w:w="419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同模型可获得共同收益；Ascend 已有部分共享和裁剪，需核对兑现程度。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算子</w:t>
            </w:r>
          </w:p>
        </w:tc>
        <w:tc>
          <w:tcPr>
            <w:tcW w:type="dxa" w:w="419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DeepInfer 接入外部融合库，并有仓内 TileLang 等专用实现；GPU 与 A5 路径不同。</w:t>
            </w:r>
          </w:p>
        </w:tc>
        <w:tc>
          <w:tcPr>
            <w:tcW w:type="dxa" w:w="419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vLLM、SGLang 已复用部分 GPU 库；A5 需比较后端、布局和完整执行链。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框架</w:t>
            </w:r>
          </w:p>
        </w:tc>
        <w:tc>
          <w:tcPr>
            <w:tcW w:type="dxa" w:w="419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DeepInfer 开源 C++ 状态管理、异步调度、变长验证、EP/EPLB 和图执行等。</w:t>
            </w:r>
          </w:p>
        </w:tc>
        <w:tc>
          <w:tcPr>
            <w:tcW w:type="dxa" w:w="419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同类机制已有；专用状态组织和调度细节按接口、精度与收益吸收。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系统</w:t>
            </w:r>
          </w:p>
        </w:tc>
        <w:tc>
          <w:tcPr>
            <w:tcW w:type="dxa" w:w="419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DeepSeek 披露长期 KV、分离部署及请求调度；完整配套服务未随引擎交付。</w:t>
            </w:r>
          </w:p>
        </w:tc>
        <w:tc>
          <w:tcPr>
            <w:tcW w:type="dxa" w:w="419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参考架构，复用已有 KV Pool、P/D 和路由基础，结合业务联合设计。</w:t>
            </w:r>
          </w:p>
        </w:tc>
      </w:tr>
    </w:tbl>
    <w:p>
      <w:pPr>
        <w:spacing w:after="20"/>
      </w:pPr>
    </w:p>
    <w:p>
      <w:r>
        <w:rPr>
          <w:rFonts w:ascii="Arial" w:hAnsi="Arial" w:eastAsia="Songti SC"/>
          <w:b w:val="0"/>
          <w:color w:val="000000"/>
          <w:sz w:val="22"/>
        </w:rPr>
        <w:t>下文每项先解释 DeepInfer 的具体做法，再说明与通用框架的关系。“已有同类机制”不表示代码或性能相同；“已接入同一库”仅限对应平台和版本；“值得迁移”仍需精度、接口和整步收益验证。源码证明实现存在，不证明该技术由 DeepInfer 首创。</w:t>
      </w:r>
    </w:p>
    <w:p>
      <w:pPr>
        <w:pStyle w:val="Heading2"/>
      </w:pPr>
      <w:r>
        <w:t>2.1 DeepInfer 如何兑现 V4.1 的模型能力</w:t>
      </w:r>
    </w:p>
    <w:p>
      <w:pPr>
        <w:pStyle w:val="Heading3"/>
      </w:pPr>
      <w:r>
        <w:t>2.1.1 DeepInfer 执行的模型结构</w:t>
      </w:r>
    </w:p>
    <w:p>
      <w:r>
        <w:rPr>
          <w:rFonts w:ascii="Arial" w:hAnsi="Arial" w:eastAsia="Songti SC"/>
          <w:b w:val="0"/>
          <w:color w:val="000000"/>
          <w:sz w:val="22"/>
        </w:rPr>
        <w:t>DeepInfer 的专用执行路径围绕 V4.1 设计。</w:t>
      </w:r>
      <w:r>
        <w:rPr>
          <w:rFonts w:ascii="Arial" w:hAnsi="Arial" w:eastAsia="Heiti SC"/>
          <w:b/>
          <w:color w:val="000000"/>
          <w:sz w:val="22"/>
        </w:rPr>
        <w:t>模型结构规定要算什么，DeepInfer 决定怎样安排这些计算和状态。</w:t>
      </w:r>
      <w:r>
        <w:rPr>
          <w:rFonts w:ascii="Arial" w:hAnsi="Arial" w:eastAsia="Songti SC"/>
          <w:b w:val="0"/>
          <w:color w:val="000000"/>
          <w:sz w:val="22"/>
        </w:rPr>
        <w:t>下面先画出模型语义，再标出实际代码中的复用、裁剪与融合；其他框架运行同一模型也应遵循这些语义，不能把全部结构性收益都记作 DeepInfer 的独占优势。</w:t>
      </w:r>
    </w:p>
    <w:p>
      <w:r>
        <w:rPr>
          <w:rFonts w:ascii="Arial" w:hAnsi="Arial" w:eastAsia="Songti SC"/>
          <w:b w:val="0"/>
          <w:color w:val="000000"/>
          <w:sz w:val="22"/>
        </w:rPr>
        <w:t>DeepInfer 仓库默认匹配 DeepSeek V4.1 Flash 1017：主干 40 层，每层包含 Attention 与 MoE，mHC 管理 4 路信息的混合与回写。每个主模型 MoE 层有 384 个路由专家，每 token 选择 6 个，另有 1 个共享专家。前 20 层和后 20 层构成 CED 两段。这些是模型配置，不是引擎新增的结构。[S24]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35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Songti SC"/>
          <w:b w:val="0"/>
          <w:color w:val="000000"/>
          <w:sz w:val="18"/>
        </w:rPr>
        <w:t>图 1  DeepInfer 所执行的 V4.1 模型语义结构  框不代表独立 kernel  省略视觉编码等细节</w:t>
      </w:r>
    </w:p>
    <w:p>
      <w:r>
        <w:rPr>
          <w:rFonts w:ascii="Arial" w:hAnsi="Arial" w:eastAsia="Songti SC"/>
          <w:b w:val="0"/>
          <w:color w:val="000000"/>
          <w:sz w:val="22"/>
        </w:rPr>
        <w:t>mHC 是模型保留多路中间信息并按规则混合、回写的机制。DeepInfer 为其实现 shifted 路径：本次输入混合可使用前一子层产生的系数，Post 可延后到下一边界，给融合创造条件。模型要求四路信息，不意味着 Attention 要算四遍；图中按语义职责排列，也不表示每个框都独立下发一个算子。[S25–S26]</w:t>
      </w:r>
    </w:p>
    <w:p>
      <w:r>
        <w:rPr>
          <w:rFonts w:ascii="Arial" w:hAnsi="Arial" w:eastAsia="Songti SC"/>
          <w:b w:val="0"/>
          <w:color w:val="000000"/>
          <w:sz w:val="22"/>
        </w:rPr>
        <w:t>DeepInfer 按模型配置在零基层号 1、14 插入 Engram 记忆查询，位置在上一子层 Post 与当前 Attention Pre 之间。它还让 DSpark 草稿读取主模型指定层的特征。这些模块不是每层都会执行；通用框架应实现相同模型语义，数据组织与执行方法可不同。[S24–S25]</w:t>
      </w:r>
    </w:p>
    <w:p>
      <w:pPr>
        <w:pStyle w:val="Heading3"/>
      </w:pPr>
      <w:r>
        <w:t>2.1.2 理解 DeepInfer 前先区分三种 KV 复用</w:t>
      </w:r>
    </w:p>
    <w:p>
      <w:r>
        <w:rPr>
          <w:rFonts w:ascii="Arial" w:hAnsi="Arial" w:eastAsia="Songti SC"/>
          <w:b w:val="0"/>
          <w:color w:val="000000"/>
          <w:sz w:val="22"/>
        </w:rPr>
        <w:t>注意力可粗略理解为“拿当前问题去查历史资料”。Q 是当前要查询什么；K 帮助判断历史位置是否相关，V 提供对应内容。真实实现可能将 K、V 压缩或合并，但这个解释有助于理解依赖。KV 是模型算出的数值状态，不是原始文字，也不是人工摘要。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252"/>
        <w:gridCol w:w="3288"/>
      </w:tblGrid>
      <w:tr>
        <w:trPr>
          <w:cantSplit/>
          <w:tblHeader/>
        </w:trPr>
        <w:tc>
          <w:tcPr>
            <w:tcW w:type="dxa" w:w="204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4252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复用发生在哪里</w:t>
            </w:r>
          </w:p>
        </w:tc>
        <w:tc>
          <w:tcPr>
            <w:tcW w:type="dxa" w:w="3288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主要省什么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普通 KV Cache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同一层生成下一 token 时，继续利用之前 token 的 KV。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不必每生成一个 token 都重算全部历史的 KV。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跨层 KV 共享</w:t>
            </w:r>
          </w:p>
        </w:tc>
        <w:tc>
          <w:tcPr>
            <w:tcW w:type="dxa" w:w="4252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同一个请求内，模型多个层按训练好的规则读取同一份 KV。</w:t>
            </w:r>
          </w:p>
        </w:tc>
        <w:tc>
          <w:tcPr>
            <w:tcW w:type="dxa" w:w="328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减少不同层重复生成和保存的历史状态。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前缀缓存</w:t>
            </w:r>
          </w:p>
        </w:tc>
        <w:tc>
          <w:tcPr>
            <w:tcW w:type="dxa" w:w="425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后续请求的开头与旧请求相同，复用之前已经建立的 KV。</w:t>
            </w:r>
          </w:p>
        </w:tc>
        <w:tc>
          <w:tcPr>
            <w:tcW w:type="dxa" w:w="328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减少跨请求、跨轮对话的重复 Prefill。</w:t>
            </w:r>
          </w:p>
        </w:tc>
      </w:tr>
    </w:tbl>
    <w:p>
      <w:pPr>
        <w:spacing w:after="20"/>
      </w:pPr>
    </w:p>
    <w:p>
      <w:r>
        <w:rPr>
          <w:rFonts w:ascii="Arial" w:hAnsi="Arial" w:eastAsia="Songti SC"/>
          <w:b w:val="0"/>
          <w:color w:val="000000"/>
          <w:sz w:val="22"/>
        </w:rPr>
        <w:t>DeepInfer 的跨层 KV 共享属于模型内部实现；DeepSeek 生产服务的跨天前缀复用属于跨请求系统能力。三种复用可以并存，但不能互相替代。开源引擎有内部 KV 管理，不代表已交付完整跨天缓存服务；后者在第 5 章单独讨论。</w:t>
      </w:r>
    </w:p>
    <w:p>
      <w:pPr>
        <w:pStyle w:val="Heading3"/>
      </w:pPr>
      <w:r>
        <w:t>2.1.3 作为对照的普通模型 Prefill 过程</w:t>
      </w:r>
    </w:p>
    <w:p>
      <w:r>
        <w:rPr>
          <w:rFonts w:ascii="Arial" w:hAnsi="Arial" w:eastAsia="Songti SC"/>
          <w:b w:val="0"/>
          <w:color w:val="000000"/>
          <w:sz w:val="22"/>
        </w:rPr>
        <w:t>先看没有可复用前缀的长冷输入和普通完整 Prefill 路径。假设输入有 1 万个 token，模型有 40 层。我们只想让它回答接下来的问题，为什么还要让那些旧 token 经过深层计算？关键在于：普通模型第 30 层要保存的历史 KV，通常来自每个旧 token 经过前面 29 层得到的中间表示。要准备第 30 层的历史资料，就得先把旧 token 算到那里。</w:t>
      </w:r>
    </w:p>
    <w:p>
      <w:r>
        <w:rPr>
          <w:rFonts w:ascii="Arial" w:hAnsi="Arial" w:eastAsia="Songti SC"/>
          <w:b w:val="0"/>
          <w:color w:val="000000"/>
          <w:sz w:val="22"/>
        </w:rPr>
        <w:t>因此，长输入的 Prefill 通常需要让所有输入位置走过各层主要计算，建立之后生成时所需的缓存。各层会逐步改变 token 的表示；不能直接拿浅层 KV 冒充深层 KV，因为模型并没有按这种替代方式学习。这里忽略只计算末位置输出等细节，重点是深层历史状态对前面计算的依赖。</w:t>
      </w:r>
    </w:p>
    <w:p>
      <w:pPr>
        <w:pStyle w:val="Heading3"/>
      </w:pPr>
      <w:r>
        <w:t>2.1.4 DeepInfer 怎样实现跨层 KV 共享</w:t>
      </w:r>
    </w:p>
    <w:p>
      <w:r>
        <w:rPr>
          <w:rFonts w:ascii="Arial" w:hAnsi="Arial" w:eastAsia="Songti SC"/>
          <w:b w:val="0"/>
          <w:color w:val="000000"/>
          <w:sz w:val="22"/>
        </w:rPr>
        <w:t>DeepInfer 按 V4.1 配置让来源层生成 global KV，消费层读取同一份状态，避免重复分配和投影。先用一个教学例子解释：假设第 5 至第 8 层共用第 5 层生成的 KV，第 6、7、8 层仍用自己的 Q 查询，分别产生 Attention 结果并执行自己的 MoE；共享历史资料不会取消各层计算。</w:t>
      </w:r>
    </w:p>
    <w:p>
      <w:r>
        <w:rPr>
          <w:rFonts w:ascii="Arial" w:hAnsi="Arial" w:eastAsia="Songti SC"/>
          <w:b w:val="0"/>
          <w:color w:val="000000"/>
          <w:sz w:val="22"/>
        </w:rPr>
        <w:t>可以把它理解为几位分析人员读同一份资料，但各自提出不同的问题、完成不同的分析。</w:t>
      </w:r>
      <w:r>
        <w:rPr>
          <w:rFonts w:ascii="Arial" w:hAnsi="Arial" w:eastAsia="Heiti SC"/>
          <w:b/>
          <w:color w:val="000000"/>
          <w:sz w:val="22"/>
        </w:rPr>
        <w:t>共享资料不等于共享结论，更不等于把四层计算变成一层。</w:t>
      </w:r>
      <w:r>
        <w:rPr>
          <w:rFonts w:ascii="Arial" w:hAnsi="Arial" w:eastAsia="Songti SC"/>
          <w:b w:val="0"/>
          <w:color w:val="000000"/>
          <w:sz w:val="22"/>
        </w:rPr>
        <w:t>这也解释了为什么“KV 少了很多”不能直接换算为“模型计算量同比例下降”。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262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v-shar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6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Songti SC"/>
          <w:b w:val="0"/>
          <w:color w:val="000000"/>
          <w:sz w:val="18"/>
        </w:rPr>
        <w:t>图 2  DeepInfer 跨层共享的教学示意  四层均保留自己的计算  并非真实层号或收益比例</w:t>
      </w:r>
    </w:p>
    <w:p>
      <w:r>
        <w:rPr>
          <w:rFonts w:ascii="Arial" w:hAnsi="Arial" w:eastAsia="Songti SC"/>
          <w:b w:val="0"/>
          <w:color w:val="000000"/>
          <w:sz w:val="22"/>
        </w:rPr>
        <w:t>DeepInfer 的 V4.1 代码分别管理主 KV 共享、索引 K 共享，以及已选历史位置的复用。前两者减少重复生成和存储，最后一项还可省去重复打分与选择。各层的最近窗口状态另行管理，不能理解成全模型物理上只有一份缓存。[S21]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325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v-layer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5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Songti SC"/>
          <w:b w:val="0"/>
          <w:color w:val="000000"/>
          <w:sz w:val="18"/>
        </w:rPr>
        <w:t>图 3  DeepInfer 默认配置的 global KV 分组  局部 SWA 与各层主计算仍存在</w:t>
      </w:r>
    </w:p>
    <w:p>
      <w:r>
        <w:rPr>
          <w:rFonts w:ascii="Arial" w:hAnsi="Arial" w:eastAsia="Songti SC"/>
          <w:b w:val="0"/>
          <w:color w:val="000000"/>
          <w:sz w:val="22"/>
        </w:rPr>
        <w:t>上图显示主干 global KV 的来源层为 2、8、14、20，共四组，并不是整个模型物理上只有一份缓存。后半部分的 24、28、32、36 层会重新选择历史位置，其余相应层继续复用结果。层号从 0 开始；这些层在生成新 token 时仍执行各自的主计算。[S21、S24]</w:t>
      </w: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通用框架关系：</w:t>
      </w:r>
      <w:r>
        <w:rPr>
          <w:rFonts w:ascii="Arial" w:hAnsi="Arial" w:eastAsia="Songti SC"/>
          <w:b w:val="0"/>
          <w:color w:val="000000"/>
          <w:sz w:val="22"/>
        </w:rPr>
        <w:t>vLLM-Ascend 也按 V4.1 的来源层与消费层组织共享，这不是必须换成 DeepInfer 才能获得的收益。值得对照的是物理 KV 是否重复分配、索引能否跳过，以及缓存生命周期如何兼容其他功能。[S35–S36]</w:t>
      </w:r>
    </w:p>
    <w:p>
      <w:pPr>
        <w:pStyle w:val="Heading3"/>
      </w:pPr>
      <w:r>
        <w:t>2.1.5 DeepInfer 怎样利用 CED 减少 Prefill 工作</w:t>
      </w:r>
    </w:p>
    <w:p>
      <w:r>
        <w:rPr>
          <w:rFonts w:ascii="Arial" w:hAnsi="Arial" w:eastAsia="Songti SC"/>
          <w:b w:val="0"/>
          <w:color w:val="000000"/>
          <w:sz w:val="22"/>
        </w:rPr>
        <w:t>CED 是 DeepSeek V4.1 的模型设计，DeepInfer 实现其对应执行路径。Causal Encoder-Decoder 可理解为同一因果模型的前后两段：前 20 层为 encoder，后 20 层为 decoder。这不是两台服务，也不是 P/D 分离；生成每个新 token 时仍经过完整 40 层。</w:t>
      </w:r>
    </w:p>
    <w:p>
      <w:r>
        <w:rPr>
          <w:rFonts w:ascii="Arial" w:hAnsi="Arial" w:eastAsia="Songti SC"/>
          <w:b w:val="0"/>
          <w:color w:val="000000"/>
          <w:sz w:val="22"/>
        </w:rPr>
        <w:t>模型允许后半部分的 global KV 从前 20 层处理后的表示生成。</w:t>
      </w:r>
      <w:r>
        <w:rPr>
          <w:rFonts w:ascii="Arial" w:hAnsi="Arial" w:eastAsia="Heiti SC"/>
          <w:b/>
          <w:color w:val="000000"/>
          <w:sz w:val="22"/>
        </w:rPr>
        <w:t>DeepInfer 在这个边界保留全长历史表示及 KV 写入支路，再裁剪后续不需要的主计算行。</w:t>
      </w:r>
      <w:r>
        <w:rPr>
          <w:rFonts w:ascii="Arial" w:hAnsi="Arial" w:eastAsia="Songti SC"/>
          <w:b w:val="0"/>
          <w:color w:val="000000"/>
          <w:sz w:val="22"/>
        </w:rPr>
        <w:t>这样，建立历史资料不再要求每个旧 token 完整经过后半部分各层。[S04、S22]</w:t>
      </w:r>
    </w:p>
    <w:p>
      <w:r>
        <w:rPr>
          <w:rFonts w:ascii="Arial" w:hAnsi="Arial" w:eastAsia="Songti SC"/>
          <w:b w:val="0"/>
          <w:color w:val="000000"/>
          <w:sz w:val="22"/>
        </w:rPr>
        <w:t>仍以 1 万 token 为例，可以分三步理解。第一步，全部输入经过前 20 层，得到覆盖整段历史的中间表示。第二步，从这份完整表示生成后半部分要读的 global KV。第三步，只让必要的尾部位置继续经过后 20 层，建立局部状态并得到用于生成回答的结果。旧历史没有消失，它仍通过 global KV 被查询。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359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d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9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Songti SC"/>
          <w:b w:val="0"/>
          <w:color w:val="000000"/>
          <w:sz w:val="18"/>
        </w:rPr>
        <w:t>图 4  DeepInfer 利用 CED 保留全长 KV 并裁剪尾部主计算  N 为输入长度  R 为尾部长度</w:t>
      </w:r>
    </w:p>
    <w:p>
      <w:r>
        <w:rPr>
          <w:rFonts w:ascii="Arial" w:hAnsi="Arial" w:eastAsia="Songti SC"/>
          <w:b w:val="0"/>
          <w:color w:val="000000"/>
          <w:sz w:val="22"/>
        </w:rPr>
        <w:t>为什么可以省旧 token 的深层计算？因为这些计算原本的重要用途之一，是为更深层准备历史 KV；CED 改变了这条来源依赖，而我们又不需要为每个旧位置输出一个新的预测。因此可以保留后续所需状态，省去大量旧位置的后半段主计算。全长度 KV 的投影和写入仍要做，不能说后半段对旧历史完全零工作。</w:t>
      </w: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CED 与跨层共享是两个不同维度。</w:t>
      </w:r>
      <w:r>
        <w:rPr>
          <w:rFonts w:ascii="Arial" w:hAnsi="Arial" w:eastAsia="Songti SC"/>
          <w:b w:val="0"/>
          <w:color w:val="000000"/>
          <w:sz w:val="22"/>
        </w:rPr>
        <w:t>即使后半部分各层从同一份前段表示生成各自不同的 KV，仍可能利用 CED 减少深层历史计算；让多个层进一步共用一份 KV，才又减少了重复投影与存储。反过来，只有跨层共享、却保留其他深层历史依赖，也不能自动跳过整段后半计算。</w:t>
      </w:r>
    </w:p>
    <w:p>
      <w:pPr>
        <w:pStyle w:val="Heading3"/>
      </w:pPr>
      <w:r>
        <w:t>2.1.6 DeepInfer 的 SWA 有限重放为什么保留尾部</w:t>
      </w:r>
    </w:p>
    <w:p>
      <w:r>
        <w:rPr>
          <w:rFonts w:ascii="Arial" w:hAnsi="Arial" w:eastAsia="Songti SC"/>
          <w:b w:val="0"/>
          <w:color w:val="000000"/>
          <w:sz w:val="22"/>
        </w:rPr>
        <w:t>DeepInfer 没有在 CED 边界把所有历史计算直接丢掉。V4.1 除全局历史外还使用 SWA 滑动窗口保留近期细节，因此 DeepInfer 仍让有限尾部进入后 20 层，建立继续生成需要的局部状态。CED 解除 global KV 的深层依赖，并未自动消除所有 SWA 依赖。</w:t>
      </w:r>
    </w:p>
    <w:p>
      <w:r>
        <w:rPr>
          <w:rFonts w:ascii="Arial" w:hAnsi="Arial" w:eastAsia="Songti SC"/>
          <w:b w:val="0"/>
          <w:color w:val="000000"/>
          <w:sz w:val="22"/>
        </w:rPr>
        <w:t>如果严格恢复完整前向的局部状态，依赖会逐层向更早位置扩展。DeepInfer 开源的 bounded replay 路径只计算有限尾部，以近似恢复状态；DeepSeek 后训练使模型适应这种执行。官方用约 128 token 解释窗口，README 默认建议保留 140，以覆盖窗口和投机回退。它不是模型可见上下文的上限。[S02、S04、S23]</w:t>
      </w:r>
    </w:p>
    <w:p>
      <w:r>
        <w:rPr>
          <w:rFonts w:ascii="Arial" w:hAnsi="Arial" w:eastAsia="Songti SC"/>
          <w:b w:val="0"/>
          <w:color w:val="000000"/>
          <w:sz w:val="22"/>
        </w:rPr>
        <w:t>用工作量粗略估算：原来约为“40 层 × 1 万个位置”；现在主要主干工作约为“20 层 × 1 万个位置 + 20 层 × 140 个尾部位置”，再加全长 KV 构建等工作。这个估算解释了为什么长输入 Prefill 有接近减半的潜力；各层成本不相等，真实延迟还受通信、投影和调度影响，不能据此保证整套服务快一倍。</w:t>
      </w:r>
    </w:p>
    <w:p>
      <w:r>
        <w:rPr>
          <w:rFonts w:ascii="Arial" w:hAnsi="Arial" w:eastAsia="Songti SC"/>
          <w:b w:val="0"/>
          <w:color w:val="000000"/>
          <w:sz w:val="22"/>
        </w:rPr>
        <w:t>后续生成时，新 token 需要完整模型的逐层处理，所以仍走 40 层。这里省的是大量旧输入位置在 Prefill 阶段的后半段计算；不是永久删掉后 20 层，也不是生成时只调用半个模型。</w:t>
      </w: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通用框架关系：这组节省可以共享，执行细节需要适配。</w:t>
      </w:r>
      <w:r>
        <w:rPr>
          <w:rFonts w:ascii="Arial" w:hAnsi="Arial" w:eastAsia="Songti SC"/>
          <w:b w:val="0"/>
          <w:color w:val="000000"/>
          <w:sz w:val="22"/>
        </w:rPr>
        <w:t>取得匹配模型权重后，更换引擎不必因此重训。vLLM-Ascend 已有 source/consumer KV 共享和 decoder 行裁剪；需比较物理共享、裁剪边界、窗口及并行组合，不能将“已支持 V4.1”当作全部节省都自动生效。[S05、S22–S23、S35–S36]</w:t>
      </w:r>
    </w:p>
    <w:p>
      <w:pPr>
        <w:pStyle w:val="Heading3"/>
      </w:pPr>
      <w:r>
        <w:t>2.1.7 DeepInfer 对其他模型机制做了哪些执行优化</w:t>
      </w: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压缩与稀疏注意力。</w:t>
      </w:r>
      <w:r>
        <w:rPr>
          <w:rFonts w:ascii="Arial" w:hAnsi="Arial" w:eastAsia="Songti SC"/>
          <w:b w:val="0"/>
          <w:color w:val="000000"/>
          <w:sz w:val="22"/>
        </w:rPr>
        <w:t>V4.1 模型决定历史状态的压缩与查询方式，DeepInfer 按该结构组织索引、压缩 KV 和注意力执行，并接入 FlashMLA。MLA 可理解为用更紧凑的表示保存多头注意力需要的历史信息，但 V4.1 仍须按其具体压缩、稀疏和共享结构理解；FlashMLA 是实现库，不是模型结构的同义词。[S04、S06–S07、S27]</w:t>
      </w: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低精度。</w:t>
      </w:r>
      <w:r>
        <w:rPr>
          <w:rFonts w:ascii="Arial" w:hAnsi="Arial" w:eastAsia="Songti SC"/>
          <w:b w:val="0"/>
          <w:color w:val="000000"/>
          <w:sz w:val="22"/>
        </w:rPr>
        <w:t>DeepInfer 加载匹配模型的权重和缩放因子，进行布局转换与 KV 打包，再选择对应算子。其 A5 MegaMoE 高速入口要求 FP4 权重与 FP8 激活，不能与所有 W4A8 路线等同。W4A8 只说明位宽，还需区分浮点或整数；主 KV、索引 K 与 SWA 也并非都用同一格式。模型质量适应与高效执行共同产生收益。[S02、S08、S28–S30]</w:t>
      </w: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DSpark、mHC 与 Engram。</w:t>
      </w:r>
      <w:r>
        <w:rPr>
          <w:rFonts w:ascii="Arial" w:hAnsi="Arial" w:eastAsia="Songti SC"/>
          <w:b w:val="0"/>
          <w:color w:val="000000"/>
          <w:sz w:val="22"/>
        </w:rPr>
        <w:t>DSpark 模型提供草稿和置信度，DeepInfer 据此分配验证量并处理接受或回退；具体运行时见 2.3 节。mHC 的多路残差属于模型，DeepInfer 的延迟处理和融合属于执行选择。Engram 是模型记忆表，不是跨天对话 KV；DeepInfer 优化其加载、分片与访问，本次核查的 A5 路径强制设备存放。[S02、S10、S25–S26]</w:t>
      </w:r>
    </w:p>
    <w:p>
      <w:pPr>
        <w:pStyle w:val="Heading3"/>
      </w:pPr>
      <w:r>
        <w:t>2.1.8 这些模型优化与通用框架是什么关系</w:t>
      </w: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DeepInfer 将模型收益兑现为一套具体实现，通用框架可以兑现相同语义，并继续优化执行。</w:t>
      </w:r>
      <w:r>
        <w:rPr>
          <w:rFonts w:ascii="Arial" w:hAnsi="Arial" w:eastAsia="Songti SC"/>
          <w:b w:val="0"/>
          <w:color w:val="000000"/>
          <w:sz w:val="22"/>
        </w:rPr>
        <w:t>以下关系只针对匹配模型，不能把 CED、mHC 或 DSpark 草稿直接套到任意 Kimi、GLM 模型。对本团队，优先核对已经存在的实现，再定位未兑现的工作量节省。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572"/>
        <w:gridCol w:w="3969"/>
      </w:tblGrid>
      <w:tr>
        <w:trPr>
          <w:cantSplit/>
          <w:tblHeader/>
        </w:trPr>
        <w:tc>
          <w:tcPr>
            <w:tcW w:type="dxa" w:w="204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DeepInfer 利用的模型机制</w:t>
            </w:r>
          </w:p>
        </w:tc>
        <w:tc>
          <w:tcPr>
            <w:tcW w:type="dxa" w:w="3572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通用框架已有关系</w:t>
            </w:r>
          </w:p>
        </w:tc>
        <w:tc>
          <w:tcPr>
            <w:tcW w:type="dxa" w:w="3969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本团队应核对什么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跨层 KV 与 CED</w:t>
            </w:r>
          </w:p>
        </w:tc>
        <w:tc>
          <w:tcPr>
            <w:tcW w:type="dxa" w:w="35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同模型共同能力；Ascend 已有共享与裁剪。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物理缓存是否共用，边界层和后段是否真正减少主计算。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SWA 有限重放</w:t>
            </w:r>
          </w:p>
        </w:tc>
        <w:tc>
          <w:tcPr>
            <w:tcW w:type="dxa" w:w="3572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vLLM、SGLang 已有对应执行；Ascend 有重放路径。</w:t>
            </w:r>
          </w:p>
        </w:tc>
        <w:tc>
          <w:tcPr>
            <w:tcW w:type="dxa" w:w="3969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匹配权重、尾部长度、质量，以及 CP、P/D、KV Pool 组合。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压缩注意力与低精度</w:t>
            </w:r>
          </w:p>
        </w:tc>
        <w:tc>
          <w:tcPr>
            <w:tcW w:type="dxa" w:w="35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模型规定表示；GPU 已有库接入，Ascend 有专用实现。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数值格式、scale、布局及实际算子，不能只比较 W4A8 或 FP4 名称。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mHC 与 Engram</w:t>
            </w:r>
          </w:p>
        </w:tc>
        <w:tc>
          <w:tcPr>
            <w:tcW w:type="dxa" w:w="3572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模型语义共同，融合与记忆表存放可不同。</w:t>
            </w:r>
          </w:p>
        </w:tc>
        <w:tc>
          <w:tcPr>
            <w:tcW w:type="dxa" w:w="3969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混合与注入位置、内存占用、访问成本；融合关系见 2.2 节。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DSpark 草稿与置信度</w:t>
            </w:r>
          </w:p>
        </w:tc>
        <w:tc>
          <w:tcPr>
            <w:tcW w:type="dxa" w:w="35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通用框架已有草稿路径；验证预算策略未必相同。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实际接受量、变长验证、回退与图执行；不能把静态基准当作策略等价。</w:t>
            </w:r>
          </w:p>
        </w:tc>
      </w:tr>
    </w:tbl>
    <w:p>
      <w:pPr>
        <w:spacing w:after="20"/>
      </w:pPr>
    </w:p>
    <w:p>
      <w:r>
        <w:rPr>
          <w:rFonts w:ascii="Arial" w:hAnsi="Arial" w:eastAsia="Songti SC"/>
          <w:b w:val="0"/>
          <w:color w:val="000000"/>
          <w:sz w:val="22"/>
        </w:rPr>
        <w:t>“共同模型收益”不等于“实现已同样高效”。例如 DeepInfer 在 CED 边界保留全量 KV 支路再裁剪主计算，已核查的 Ascend 消费层裁剪边界和组合限制不同。vLLM 的边界层改动也说明：支持同一结构后，仍可继续缩小真正参与主计算的行数。这是框架兑现程度的差异，应作为 A5 的具体对照项。[S22、S35–S36、S42]</w:t>
      </w:r>
    </w:p>
    <w:p>
      <w:pPr>
        <w:pStyle w:val="Heading2"/>
      </w:pPr>
      <w:r>
        <w:t>2.2 DeepInfer 在模型算子流中融合了什么</w:t>
      </w:r>
    </w:p>
    <w:p>
      <w:r>
        <w:rPr>
          <w:rFonts w:ascii="Arial" w:hAnsi="Arial" w:eastAsia="Songti SC"/>
          <w:b w:val="0"/>
          <w:color w:val="000000"/>
          <w:sz w:val="22"/>
        </w:rPr>
        <w:t>DeepInfer 的算子优化由两部分组成：本仓库的专用实现，以及接入 FlashMLA、DeepGEMM、DeepEP、DeepSelect 等 DeepSeek 外部开源库。下面标出它实际合并的计算与数据路径。合并投影、局部融合、跨层复用和异步重叠是不同手段，不能都称为一个“大融合算子”。[S01、S30]</w:t>
      </w:r>
    </w:p>
    <w:p>
      <w:pPr>
        <w:pStyle w:val="Heading3"/>
      </w:pPr>
      <w:r>
        <w:t>2.2.1 DeepInfer 的 Attention 与索引优化</w:t>
      </w:r>
    </w:p>
    <w:p>
      <w:r>
        <w:rPr>
          <w:rFonts w:ascii="Arial" w:hAnsi="Arial" w:eastAsia="Songti SC"/>
          <w:b w:val="0"/>
          <w:color w:val="000000"/>
          <w:sz w:val="22"/>
        </w:rPr>
        <w:t>DeepInfer 的 V4.1 Attention 路径先做矩阵投影，生成查询 Q、历史 KV 或索引表示；再处理归一化、位置和低精度格式；索引器选择重要历史位置，主要 Attention 读取这些位置及最近窗口，最后投影回主干。Norm 调整数值尺度，RoPE 编入位置信息，cast 转换格式，GEMM 做矩阵乘法。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3729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ention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Songti SC"/>
          <w:b w:val="0"/>
          <w:color w:val="000000"/>
          <w:sz w:val="18"/>
        </w:rPr>
        <w:t>图 5  DeepInfer V4.1 Attention 的逻辑依赖  稀疏索引和 MoE 路由是不同的 Top-K</w:t>
      </w:r>
    </w:p>
    <w:p>
      <w:r>
        <w:rPr>
          <w:rFonts w:ascii="Arial" w:hAnsi="Arial" w:eastAsia="Songti SC"/>
          <w:b w:val="0"/>
          <w:color w:val="000000"/>
          <w:sz w:val="22"/>
        </w:rPr>
        <w:t>在 DeepInfer 中，稀疏索引 Top-K 选择历史位置，MoE router Top-K 选择专家，二者不能混同。其 global KV 与 SWA 按模型规则共同参与主要 Attention；共享层跳过部分 KV 或索引步骤，CED 进一步裁剪主计算行。这些是工作量减少，不等于整个 Attention 已合成一个 kernel。[S21–S22、S27]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742"/>
        <w:gridCol w:w="3572"/>
      </w:tblGrid>
      <w:tr>
        <w:trPr>
          <w:cantSplit/>
          <w:tblHeader/>
        </w:trPr>
        <w:tc>
          <w:tcPr>
            <w:tcW w:type="dxa" w:w="2268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算子流中的位置</w:t>
            </w:r>
          </w:p>
        </w:tc>
        <w:tc>
          <w:tcPr>
            <w:tcW w:type="dxa" w:w="3742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DeepInfer 的实际实现</w:t>
            </w:r>
          </w:p>
        </w:tc>
        <w:tc>
          <w:tcPr>
            <w:tcW w:type="dxa" w:w="3572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DeepInfer A5 路径与限制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输入矩阵投影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相同输入时可将 Q-A 与 SWA-KV-A 合并投影；主 Q-B 与索引 Q-B 也可合并。</w:t>
            </w:r>
          </w:p>
        </w:tc>
        <w:tc>
          <w:tcPr>
            <w:tcW w:type="dxa" w:w="35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模型路径决定能否合并。CED 后段 Q 与部分 KV 输入不同，不能机械合并。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逐行变换与写缓存</w:t>
            </w:r>
          </w:p>
        </w:tc>
        <w:tc>
          <w:tcPr>
            <w:tcW w:type="dxa" w:w="3742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按参数组合 Norm、RoPE、FP4/FP8 转换及缓存写入。</w:t>
            </w:r>
          </w:p>
        </w:tc>
        <w:tc>
          <w:tcPr>
            <w:tcW w:type="dxa" w:w="3572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DeepInfer A5 有局部融合设备实现；每次只执行实际启用的子步骤。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索引 score 与 Top-K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先计算历史位置分数，再进行 Top-K；某些层复用此前结果。</w:t>
            </w:r>
          </w:p>
        </w:tc>
        <w:tc>
          <w:tcPr>
            <w:tcW w:type="dxa" w:w="35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调用层仍是两步。测试中合成一个计时区间，不等于一个融合 kernel。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主 Attention 前后处理</w:t>
            </w:r>
          </w:p>
        </w:tc>
        <w:tc>
          <w:tcPr>
            <w:tcW w:type="dxa" w:w="3742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NVIDIA 条件满足时调用 FlashMLA 的大融合入口，组合 Q 变换、Attention 与输出变换。</w:t>
            </w:r>
          </w:p>
        </w:tc>
        <w:tc>
          <w:tcPr>
            <w:tcW w:type="dxa" w:w="3572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本地 A5 不启用该大融合；Q 变换、主要 Attention、输出变换仍有分段调用。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Attention 输出投影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分组 WV 与 O 投影把结果变回主干需要的维度。</w:t>
            </w:r>
          </w:p>
        </w:tc>
        <w:tc>
          <w:tcPr>
            <w:tcW w:type="dxa" w:w="357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不能因主 Attention 被融合，就把全部输出 GEMM 也算在同一融合内。</w:t>
            </w:r>
          </w:p>
        </w:tc>
      </w:tr>
    </w:tbl>
    <w:p>
      <w:pPr>
        <w:spacing w:after="20"/>
      </w:pP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通用框架关系：GPU 上已有库复用，A5 上按具体路径吸收。</w:t>
      </w:r>
      <w:r>
        <w:rPr>
          <w:rFonts w:ascii="Arial" w:hAnsi="Arial" w:eastAsia="Songti SC"/>
          <w:b w:val="0"/>
          <w:color w:val="000000"/>
          <w:sz w:val="22"/>
        </w:rPr>
        <w:t>vLLM 与 SGLang 已接入 DeepSeek 的 Attention 和索引相关实现；收益不专属于 DeepInfer。A5 应对照局部变换、索引和缓存访问，核对精度、布局与图执行，不能将 NVIDIA 的大融合入口当成可直接使用的 NPU 算子。[S27–S30、S39–S40]</w:t>
      </w:r>
    </w:p>
    <w:p>
      <w:pPr>
        <w:pStyle w:val="Heading3"/>
      </w:pPr>
      <w:r>
        <w:t>2.2.2 DeepInfer 的 mHC 融合跨过了哪些边界</w:t>
      </w:r>
    </w:p>
    <w:p>
      <w:r>
        <w:rPr>
          <w:rFonts w:ascii="Arial" w:hAnsi="Arial" w:eastAsia="Songti SC"/>
          <w:b w:val="0"/>
          <w:color w:val="000000"/>
          <w:sz w:val="22"/>
        </w:rPr>
        <w:t>DeepInfer 把相邻子层之间的 mHC 处理作为融合位置：Attention 写回主干后，下一步要为 MoE 混合并归一化输入；MoE 后也有类似边界。组合上一 Post 与下一 Pre，可以减少主干反复读写，但并未把 Attention 数学与 MoE 数学合成一个算子。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282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hc-fu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Songti SC"/>
          <w:b w:val="0"/>
          <w:color w:val="000000"/>
          <w:sz w:val="18"/>
        </w:rPr>
        <w:t>图 6  DeepInfer 的 mHC 融合边界  NVIDIA 大融合有条件  A5 不走同一整段入口</w:t>
      </w:r>
    </w:p>
    <w:p>
      <w:r>
        <w:rPr>
          <w:rFonts w:ascii="Arial" w:hAnsi="Arial" w:eastAsia="Songti SC"/>
          <w:b w:val="0"/>
          <w:color w:val="000000"/>
          <w:sz w:val="22"/>
        </w:rPr>
        <w:t>DeepInfer 的 NVIDIA 路径在满足条件时调用 DeepGEMM 的 mega_mhc，覆盖上一 Post、下一 Pre、RMSNorm，并按格式包含 FP8 转换。首层和 Engram 插入点等会回退。DeepInfer A5 不走该整段入口，但有 RMSNorm 与 FP8 转换等局部融合；默认 shifted Pre 仍含多步执行。Python 函数名含 fused，也未必对应单个设备程序。[S26、S29]</w:t>
      </w:r>
    </w:p>
    <w:p>
      <w:r>
        <w:rPr>
          <w:rFonts w:ascii="Arial" w:hAnsi="Arial" w:eastAsia="Songti SC"/>
          <w:b w:val="0"/>
          <w:color w:val="000000"/>
          <w:sz w:val="22"/>
        </w:rPr>
        <w:t>DeepInfer 还可把归一化后的量化结果直接写入 MegaMoE 接收缓冲区，省去中间复制；这并不等于 Norm 与整个 MoE 已合成一个 kernel。</w:t>
      </w:r>
      <w:r>
        <w:rPr>
          <w:rFonts w:ascii="Arial" w:hAnsi="Arial" w:eastAsia="Heiti SC"/>
          <w:b/>
          <w:color w:val="000000"/>
          <w:sz w:val="22"/>
        </w:rPr>
        <w:t>迁移判断：</w:t>
      </w:r>
      <w:r>
        <w:rPr>
          <w:rFonts w:ascii="Arial" w:hAnsi="Arial" w:eastAsia="Songti SC"/>
          <w:b w:val="0"/>
          <w:color w:val="000000"/>
          <w:sz w:val="22"/>
        </w:rPr>
        <w:t>vLLM、SGLang 已吸收 GPU 的 Mega-mHC 等能力；A5 应比较完整 Post–Pre 边界及数据搬运，用实际净收益选择局部融合，保留现有更优路径。[S08、S29、S39–S40]</w:t>
      </w:r>
    </w:p>
    <w:p>
      <w:pPr>
        <w:pStyle w:val="Heading3"/>
      </w:pPr>
      <w:r>
        <w:t>2.2.3 DeepInfer 接入的 MegaMoE 包住了哪一段</w:t>
      </w:r>
    </w:p>
    <w:p>
      <w:r>
        <w:rPr>
          <w:rFonts w:ascii="Arial" w:hAnsi="Arial" w:eastAsia="Songti SC"/>
          <w:b w:val="0"/>
          <w:color w:val="000000"/>
          <w:sz w:val="22"/>
        </w:rPr>
        <w:t>DeepInfer 使用 MegaMoE 将专家计算和通信紧密衔接。普通执行先由 router 选逻辑专家，再分发 token，完成专家内两次矩阵乘法及激活，最后合并结果；共享专家另有计算路径。MegaMoE 主要压缩后面的分发、专家计算与合并成本，其核心融合来自所接入的外部库。[S08、S30]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31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e-fu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Songti SC"/>
          <w:b w:val="0"/>
          <w:color w:val="000000"/>
          <w:sz w:val="18"/>
        </w:rPr>
        <w:t>图 7  DeepInfer 中 router 先于 MegaMoE  大框是外部库路径  内部 launch 数需按版本核实</w:t>
      </w:r>
    </w:p>
    <w:p>
      <w:r>
        <w:rPr>
          <w:rFonts w:ascii="Arial" w:hAnsi="Arial" w:eastAsia="Songti SC"/>
          <w:b w:val="0"/>
          <w:color w:val="000000"/>
          <w:sz w:val="22"/>
        </w:rPr>
        <w:t>DeepInfer 代码先调用 gate_forward，再调用 mega_moe_func。GPU 的 router 可走 MegaGate，A5 则先 gate GEMM、再专家 Top-K，因此不能说 MegaMoE 已包含全部路由。DeepInfer A5 的 MegaMoE 入口要求 FP8 激活、FP4 权重及兼容通信域；其他组合可能走分开路径。主模型与草稿的配置和工作量也不同。[S08]</w:t>
      </w: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通用框架关系：MegaMoE 已进入 vLLM、SGLang 的 GPU 路径，vLLM-Ascend 也有融合 MoE 路线。</w:t>
      </w:r>
      <w:r>
        <w:rPr>
          <w:rFonts w:ascii="Arial" w:hAnsi="Arial" w:eastAsia="Songti SC"/>
          <w:b w:val="0"/>
          <w:color w:val="000000"/>
          <w:sz w:val="22"/>
        </w:rPr>
        <w:t>需要比较实际后端和完整执行链，不能只比较同名功能。迁移涉及权重布局、通信缓冲区、EPLB 映射与前后格式；DeepInfer 主仓库只证明调用边界，库内 kernel 数还需依赖版本和 trace 核实。[S03、S08、S30、S39–S40、S54]</w:t>
      </w:r>
    </w:p>
    <w:p>
      <w:pPr>
        <w:pStyle w:val="Heading3"/>
      </w:pPr>
      <w:r>
        <w:t>2.2.4 用内部 profiling 判断应吸收哪段实现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3798"/>
      </w:tblGrid>
      <w:tr>
        <w:trPr>
          <w:cantSplit/>
          <w:tblHeader/>
        </w:trPr>
        <w:tc>
          <w:tcPr>
            <w:tcW w:type="dxa" w:w="2268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测试区间</w:t>
            </w:r>
          </w:p>
        </w:tc>
        <w:tc>
          <w:tcPr>
            <w:tcW w:type="dxa" w:w="3515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在模型中的位置</w:t>
            </w:r>
          </w:p>
        </w:tc>
        <w:tc>
          <w:tcPr>
            <w:tcW w:type="dxa" w:w="3798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应该怎样解释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mHC Pre / Post</w:t>
            </w:r>
          </w:p>
        </w:tc>
        <w:tc>
          <w:tcPr>
            <w:tcW w:type="dxa" w:w="351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围绕 Attention 与 MoE 的混合、回写和输入准备。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看相邻完整边界；不同平台可能把其中步骤分开或合并，行名不保证计时范围一致。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MoE 路由</w:t>
            </w:r>
          </w:p>
        </w:tc>
        <w:tc>
          <w:tcPr>
            <w:tcW w:type="dxa" w:w="351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从当前 token 表示中选择逻辑专家，并映射物理槽位。</w:t>
            </w:r>
          </w:p>
        </w:tc>
        <w:tc>
          <w:tcPr>
            <w:tcW w:type="dxa" w:w="379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区分 gate GEMM、专家 Top-K 与强制均衡路径。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QLI score + Top-K</w:t>
            </w:r>
          </w:p>
        </w:tc>
        <w:tc>
          <w:tcPr>
            <w:tcW w:type="dxa" w:w="351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若对应源码索引区间，则是选择历史位置，发生在主 Attention 前。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实际 trace 核对名称和范围；score 与选择在调用层分开。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FlashMLA 压缩注意力</w:t>
            </w:r>
          </w:p>
        </w:tc>
        <w:tc>
          <w:tcPr>
            <w:tcW w:type="dxa" w:w="351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按选中位置和窗口读取历史状态并计算。</w:t>
            </w:r>
          </w:p>
        </w:tc>
        <w:tc>
          <w:tcPr>
            <w:tcW w:type="dxa" w:w="379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不要把此前索引、缓存处理及此后输出投影自动算入该区间。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主模型 / 草稿 MoE</w:t>
            </w:r>
          </w:p>
        </w:tc>
        <w:tc>
          <w:tcPr>
            <w:tcW w:type="dxa" w:w="351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同类专家执行机制，但配置、矩阵大小和每专家任务量可能不同。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分别查看实际路径与整步净收益；主模型局部较快不能推出草稿也较快。</w:t>
            </w:r>
          </w:p>
        </w:tc>
      </w:tr>
    </w:tbl>
    <w:p>
      <w:pPr>
        <w:spacing w:after="20"/>
      </w:pPr>
    </w:p>
    <w:p>
      <w:r>
        <w:rPr>
          <w:rFonts w:ascii="Arial" w:hAnsi="Arial" w:eastAsia="Songti SC"/>
          <w:b w:val="0"/>
          <w:color w:val="000000"/>
          <w:sz w:val="22"/>
        </w:rPr>
        <w:t>内部 A5 对比显示 DeepInfer 与 vLLM-Ascend 各有局部优势，主模型 MoE 的差距也未等比例转为整步差距。迁移应对齐模型位置、实际分支、计时范围、精度与任务大小；图 15 给出全部数值。TileLang 能降低设备程序开发成本，但不能替代布局适配、依赖处理和整步验收。[S03]</w:t>
      </w:r>
    </w:p>
    <w:p>
      <w:pPr>
        <w:pStyle w:val="Heading2"/>
      </w:pPr>
      <w:r>
        <w:t>2.3 DeepInfer 的框架运行时具体优化了什么</w:t>
      </w:r>
    </w:p>
    <w:p>
      <w:r>
        <w:rPr>
          <w:rFonts w:ascii="Arial" w:hAnsi="Arial" w:eastAsia="Songti SC"/>
          <w:b w:val="0"/>
          <w:color w:val="000000"/>
          <w:sz w:val="22"/>
        </w:rPr>
        <w:t>DeepInfer 开源引擎把请求状态、模型与算子组织为跨多卡运行的执行单元。其调度器主要处理实例内部的批次和设备执行，不等于完整集群的请求分发系统。下表明确哪些是已有机制、哪些是值得比对的专用实现。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798"/>
        <w:gridCol w:w="3798"/>
      </w:tblGrid>
      <w:tr>
        <w:trPr>
          <w:cantSplit/>
          <w:tblHeader/>
        </w:trPr>
        <w:tc>
          <w:tcPr>
            <w:tcW w:type="dxa" w:w="1984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DeepInfer 开源项目</w:t>
            </w:r>
          </w:p>
        </w:tc>
        <w:tc>
          <w:tcPr>
            <w:tcW w:type="dxa" w:w="3798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DeepInfer 具体做法</w:t>
            </w:r>
          </w:p>
        </w:tc>
        <w:tc>
          <w:tcPr>
            <w:tcW w:type="dxa" w:w="3798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通用框架关系与 A5 动作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C++ 准备与异步调度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原生状态和元数据处理，主机准备与设备计算重叠。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vLLM、SGLang 已有减开销与重叠机制；先测 A5 等待，再吸收热点方法。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图执行</w:t>
            </w:r>
          </w:p>
        </w:tc>
        <w:tc>
          <w:tcPr>
            <w:tcW w:type="dxa" w:w="379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预先组织可复用的执行图与缓冲区；本次主模型路径用于非 Prefill 阶段。</w:t>
            </w:r>
          </w:p>
        </w:tc>
        <w:tc>
          <w:tcPr>
            <w:tcW w:type="dxa" w:w="379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已有同类机制；核对 A5 覆盖、动态状态与回退。SGLang 的 Prefill graph 另属其实现。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DSpark 变长验证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C++ 选择总验证预算，设备侧按置信度分配长度，维护接受与回退。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草稿支持不等于相同调度算法；匹配权重后比对预算、状态与实际接受量。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EPLB</w:t>
            </w:r>
          </w:p>
        </w:tc>
        <w:tc>
          <w:tcPr>
            <w:tcW w:type="dxa" w:w="379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负载统计、冗余专家选择、布局重排、权重搬运与映射更新。</w:t>
            </w:r>
          </w:p>
        </w:tc>
        <w:tc>
          <w:tcPr>
            <w:tcW w:type="dxa" w:w="379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通用框架已有 EPLB；比较真实负载、量化支持与迁移净收益。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DP CP EP 并行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组织请求、上下文和专家的多卡执行。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机制已有；移植组合经验需重测 A5 通信与主草稿开销。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KV 与局部状态管理</w:t>
            </w:r>
          </w:p>
        </w:tc>
        <w:tc>
          <w:tcPr>
            <w:tcW w:type="dxa" w:w="379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维护页表、共享映射、裁剪、回退及相关传输接口。</w:t>
            </w:r>
          </w:p>
        </w:tc>
        <w:tc>
          <w:tcPr>
            <w:tcW w:type="dxa" w:w="379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模型适配的共同要求；不等于完整持久 KV 服务已交付。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Songti SC"/>
          <w:b w:val="0"/>
          <w:color w:val="000000"/>
          <w:sz w:val="18"/>
        </w:rPr>
        <w:t>实现归属依据 S01、S09、S12、S31、S51；通用框架关系依据 S11、S39–S40、S52–S53。表中存在实现不代表所有模型、硬件与精度组合已验证。</w:t>
      </w:r>
    </w:p>
    <w:p>
      <w:r>
        <w:rPr>
          <w:rFonts w:ascii="Arial" w:hAnsi="Arial" w:eastAsia="Songti SC"/>
          <w:b w:val="0"/>
          <w:color w:val="000000"/>
          <w:sz w:val="22"/>
        </w:rPr>
        <w:t>DeepInfer 公开提供 Attention DP、balanced CP、MoE EP 与 EPLB。DP 分摊请求，CP 分摊上下文，EP 分布专家；这些并行思想也存在于通用框架。最优组合取决于工作量和通信。其 EPLB 不仅有接口，负载统计、布局策略和权重搬运也有开源代码，不能将未公开的跨实例路由与 EPLB 混为一谈。[S01、S09]</w:t>
      </w:r>
    </w:p>
    <w:p>
      <w:r>
        <w:rPr>
          <w:rFonts w:ascii="Arial" w:hAnsi="Arial" w:eastAsia="Songti SC"/>
          <w:b w:val="0"/>
          <w:color w:val="000000"/>
          <w:sz w:val="22"/>
        </w:rPr>
        <w:t>DeepInfer README 还列出批次不变性、确定性采样和结构化输出，主要提供一致性与输出约束，不应都算作加速收益。本次版本的前两者标注 NVIDIA only。通用框架已有相关能力方向，但仍需按后端和配置验收，不能把 README 的 GPU 支持直接列为 A5 已交付。[S01]</w:t>
      </w:r>
    </w:p>
    <w:p>
      <w:pPr>
        <w:pStyle w:val="Heading3"/>
      </w:pPr>
      <w:r>
        <w:t>DeepInfer 的 EPLB 做法及其与通用框架的关系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3595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lb-before-af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9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Songti SC"/>
          <w:b w:val="0"/>
          <w:color w:val="000000"/>
          <w:sz w:val="18"/>
        </w:rPr>
        <w:t>图 8  解释 DeepInfer 等框架 EPLB 的教学示意  两侧各 8 个物理槽位  非实测算法输出</w:t>
      </w:r>
    </w:p>
    <w:p>
      <w:r>
        <w:rPr>
          <w:rFonts w:ascii="Arial" w:hAnsi="Arial" w:eastAsia="Songti SC"/>
          <w:b w:val="0"/>
          <w:color w:val="000000"/>
          <w:sz w:val="22"/>
        </w:rPr>
        <w:t>DeepInfer 的 EPLB 根据专家负载窗口选择冗余副本、重排物理位置、搬运权重并更新映射。图 8 仅解释原理：把冷专家的两份冗余副本改给热门 E0，选中 E0 的 token 可交给任一同权重副本。实际策略还要考虑跨 step 的负载互补，不能按请求数简单平均分卡。[S09]</w:t>
      </w: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迁移判断：EPLB 是双方已有的优化方向，重点比较算法与执行成本。</w:t>
      </w:r>
      <w:r>
        <w:rPr>
          <w:rFonts w:ascii="Arial" w:hAnsi="Arial" w:eastAsia="Songti SC"/>
          <w:b w:val="0"/>
          <w:color w:val="000000"/>
          <w:sz w:val="22"/>
        </w:rPr>
        <w:t>vLLM-Ascend 已有 EPLB；其指南按 runner、量化与硬件设置支持边界，不能认为 A5 所有低精度路径均可用。应测主模型和草稿各自的热度、搬运及整步收益；DeepInfer GPU 的 NVLink/symm_mem 路径也不能直接搬到 A5。强制均衡测试不验证这些算法效果。[S09、S44–S45、S52]</w:t>
      </w:r>
    </w:p>
    <w:p>
      <w:pPr>
        <w:pStyle w:val="Heading2"/>
      </w:pPr>
      <w:r>
        <w:t>2.4 DeepSeek 生产系统披露了什么 未随引擎交付什么</w:t>
      </w: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这一节的主体是 DeepSeek 生产系统，不能全部归为本次 DeepInfer 开源功能。</w:t>
      </w:r>
      <w:r>
        <w:rPr>
          <w:rFonts w:ascii="Arial" w:hAnsi="Arial" w:eastAsia="Songti SC"/>
          <w:b w:val="0"/>
          <w:color w:val="000000"/>
          <w:sz w:val="22"/>
        </w:rPr>
        <w:t>官方披露用长期 KV、分离部署及请求调度降低重复计算和空闲。DeepInfer 交付了相关引擎基础，但 README 明确未包含完整 KV 系统、VE/P/D 分离服务和跨副本请求负载均衡。[S01–S02、S32]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515"/>
        <w:gridCol w:w="3912"/>
      </w:tblGrid>
      <w:tr>
        <w:trPr>
          <w:cantSplit/>
          <w:tblHeader/>
        </w:trPr>
        <w:tc>
          <w:tcPr>
            <w:tcW w:type="dxa" w:w="2154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DeepSeek 生产实践</w:t>
            </w:r>
          </w:p>
        </w:tc>
        <w:tc>
          <w:tcPr>
            <w:tcW w:type="dxa" w:w="3515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DeepInfer 本次交付边界</w:t>
            </w:r>
          </w:p>
        </w:tc>
        <w:tc>
          <w:tcPr>
            <w:tcW w:type="dxa" w:w="3912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通用框架可参考或接入的部分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跨天共享 KV</w:t>
            </w:r>
          </w:p>
        </w:tc>
        <w:tc>
          <w:tcPr>
            <w:tcW w:type="dxa" w:w="351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完整 KV 服务未交付；引擎内部 KV 与状态管理已存在。</w:t>
            </w:r>
          </w:p>
        </w:tc>
        <w:tc>
          <w:tcPr>
            <w:tcW w:type="dxa" w:w="391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参考缓存分层和恢复方法，复用 KV Pool；容量和淘汰由业务与存储配合。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VE/P/D 分离</w:t>
            </w:r>
          </w:p>
        </w:tc>
        <w:tc>
          <w:tcPr>
            <w:tcW w:type="dxa" w:w="351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多数必要引擎能力已有，完整分离部署与编排未交付。</w:t>
            </w:r>
          </w:p>
        </w:tc>
        <w:tc>
          <w:tcPr>
            <w:tcW w:type="dxa" w:w="3912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复用已有 P/D 和传输后端，验证模型状态交接与资源池配比。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跨实例请求均衡</w:t>
            </w:r>
          </w:p>
        </w:tc>
        <w:tc>
          <w:tcPr>
            <w:tcW w:type="dxa" w:w="351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完整生产路由未交付；开源 EPLB 平衡的是实例内专家。</w:t>
            </w:r>
          </w:p>
        </w:tc>
        <w:tc>
          <w:tcPr>
            <w:tcW w:type="dxa" w:w="391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参考缓存感知及负载选择；不能用 EPLB 替代服务路由。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弹性与故障恢复</w:t>
            </w:r>
          </w:p>
        </w:tc>
        <w:tc>
          <w:tcPr>
            <w:tcW w:type="dxa" w:w="351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官方披露方法，不代表离线引擎带完整运营系统。</w:t>
            </w:r>
          </w:p>
        </w:tc>
        <w:tc>
          <w:tcPr>
            <w:tcW w:type="dxa" w:w="3912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与平台团队设计容量和恢复，在真实业务回放中验收。</w:t>
            </w:r>
          </w:p>
        </w:tc>
      </w:tr>
    </w:tbl>
    <w:p>
      <w:pPr>
        <w:spacing w:after="20"/>
      </w:pP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通用框架关系：可借鉴架构并复用已有组件，无法直接搬运未交付的生产服务。</w:t>
      </w:r>
      <w:r>
        <w:rPr>
          <w:rFonts w:ascii="Arial" w:hAnsi="Arial" w:eastAsia="Songti SC"/>
          <w:b w:val="0"/>
          <w:color w:val="000000"/>
          <w:sz w:val="22"/>
        </w:rPr>
        <w:t>vLLM、SGLang 和 vLLM-Ascend 已有缓存、P/D 或路由基础；本团队应补模型状态与传输接口，由业务、存储团队设计容量和策略。DeepSeek 的长期命中率是生产结果，不是下载 DeepInfer 后自动获得的指标。[S14、S32–S34、S39–S40]</w:t>
      </w:r>
    </w:p>
    <w:p>
      <w:pPr>
        <w:pStyle w:val="Heading2"/>
      </w:pPr>
      <w:r>
        <w:t>2.5 DeepInfer 的组合优化为何能被通用框架吸收</w:t>
      </w:r>
    </w:p>
    <w:p>
      <w:r>
        <w:rPr>
          <w:rFonts w:ascii="Arial" w:hAnsi="Arial" w:eastAsia="Songti SC"/>
          <w:b w:val="0"/>
          <w:color w:val="000000"/>
          <w:sz w:val="22"/>
        </w:rPr>
        <w:t>DeepInfer 的 CED 执行链体现了配合关系：模型允许后半段 KV 来自前段表示；引擎保留全长 KV 支路、裁剪主计算；算子加速剩余工作。运行相同 V4.1 的 vLLM-Ascend 可以获得共同结构收益，差异在于裁剪位置、数据布局与组合完成度。DeepSeek 生产缓存系统再减少后续请求的重复 Prefill。</w:t>
      </w:r>
    </w:p>
    <w:p>
      <w:r>
        <w:rPr>
          <w:rFonts w:ascii="Arial" w:hAnsi="Arial" w:eastAsia="Songti SC"/>
          <w:b w:val="0"/>
          <w:color w:val="000000"/>
          <w:sz w:val="22"/>
        </w:rPr>
        <w:t>DeepInfer 的 MoE 执行链同样跨层配合：模型选择逻辑专家，EPLB 调整物理副本，MegaMoE 与通信库执行，再由上层服务供给合适流量。通用框架已有并行与 EPLB 等机制，可以接入相同库或实现适合 A5 的路径；最终收益取决于整条执行链，不能把各项局部收益直接相加。</w:t>
      </w:r>
    </w:p>
    <w:p>
      <w:r>
        <w:rPr>
          <w:rFonts w:ascii="Arial" w:hAnsi="Arial" w:eastAsia="Songti SC"/>
          <w:b w:val="0"/>
          <w:color w:val="000000"/>
          <w:sz w:val="22"/>
        </w:rPr>
        <w:t>因此，应把吸收工作分开处理：模型机制按匹配权重正确兑现；可用算子库按平台接入；调度与状态管理按现有接口改造；生产服务联合建设。DeepInfer 不是一个无法拆解的性能黑盒，也不是每个模块都能直接替换进 vLLM-Ascend。第 6 章的同平台数据用于决定具体投入。</w:t>
      </w:r>
    </w:p>
    <w:p>
      <w:pPr>
        <w:pStyle w:val="Heading1"/>
      </w:pPr>
      <w:r>
        <w:t>3 DeepInfer 的 C++ 与异步调度带来什么收益</w:t>
      </w:r>
    </w:p>
    <w:p>
      <w:pPr>
        <w:pStyle w:val="Heading2"/>
      </w:pPr>
      <w:r>
        <w:t>3.1 DeepInfer 已开源的两类具体改动</w:t>
      </w:r>
    </w:p>
    <w:p>
      <w:r>
        <w:rPr>
          <w:rFonts w:ascii="Arial" w:hAnsi="Arial" w:eastAsia="Songti SC"/>
          <w:b w:val="0"/>
          <w:color w:val="000000"/>
          <w:sz w:val="22"/>
        </w:rPr>
        <w:t>DeepInfer 开源版本将调度、序列状态和部分输入元数据准备放到 C++，保留 Python 模型编排和设备计算调用。采样输入准备与实际采样计算也要分开，不能概括为整个引擎和采样都已改成 C++。其目标是缩短高频主机工作，而不是仅以语言名称获得性能。[S01、S12]</w:t>
      </w:r>
    </w:p>
    <w:p>
      <w:r>
        <w:rPr>
          <w:rFonts w:ascii="Arial" w:hAnsi="Arial" w:eastAsia="Songti SC"/>
          <w:b w:val="0"/>
          <w:color w:val="000000"/>
          <w:sz w:val="22"/>
        </w:rPr>
        <w:t>DeepInfer 的另一项设计是异步调度：在满足依赖的前提下调整执行次序，让设备计算与主机准备重叠，并延后处理已完成轮次。对于推测解码，即使接受结果尚未回到 CPU，设备也需依据实际接受长度修正后续输入和状态。C++ 缩短任务，异步调度减少暴露的等待；两种收益不能全部归因于语言。[S02、S31]</w:t>
      </w:r>
    </w:p>
    <w:p>
      <w:r>
        <w:rPr>
          <w:rFonts w:ascii="Arial" w:hAnsi="Arial" w:eastAsia="Songti SC"/>
          <w:b w:val="0"/>
          <w:color w:val="000000"/>
          <w:sz w:val="22"/>
        </w:rPr>
        <w:t>DeepInfer 将该路径称为 zero-overhead batch scheduler，部署问答也说明借鉴了 SGLang 等框架。它不表示 CPU 零耗时或任何配置都零开销。公开材料没有给出可直接用于本团队 A5 的、仅将同一调度器由 Python 改为 C++ 的独立收益。[S02]</w:t>
      </w:r>
    </w:p>
    <w:p>
      <w:pPr>
        <w:pStyle w:val="Heading2"/>
      </w:pPr>
      <w:r>
        <w:t>3.2 为什么要看设备是否在等主机</w:t>
      </w:r>
    </w:p>
    <w:p>
      <w:r>
        <w:rPr>
          <w:rFonts w:ascii="Arial" w:hAnsi="Arial" w:eastAsia="Songti SC"/>
          <w:b w:val="0"/>
          <w:color w:val="000000"/>
          <w:sz w:val="22"/>
        </w:rPr>
        <w:t>理解 DeepInfer 采用 C++ 和异步执行的原因，需要看 CPU 工作是否暴露在关键路径。CPU 准备请求、位置与缓存地址并处理回退，设备执行主要张量计算。</w:t>
      </w:r>
      <w:r>
        <w:rPr>
          <w:rFonts w:ascii="Arial" w:hAnsi="Arial" w:eastAsia="Heiti SC"/>
          <w:b/>
          <w:color w:val="000000"/>
          <w:sz w:val="22"/>
        </w:rPr>
        <w:t>只有主机工作延误了设备执行或服务响应，缩短它才会直接改善相关指标；不能仅凭 vLLM 仍使用 Python 就认定存在瓶颈。</w:t>
      </w:r>
      <w:r>
        <w:rPr>
          <w:rFonts w:ascii="Arial" w:hAnsi="Arial" w:eastAsia="Songti SC"/>
          <w:b w:val="0"/>
          <w:color w:val="000000"/>
          <w:sz w:val="22"/>
        </w:rPr>
      </w:r>
    </w:p>
    <w:p>
      <w:r>
        <w:rPr>
          <w:rFonts w:ascii="Arial" w:hAnsi="Arial" w:eastAsia="Songti SC"/>
          <w:b w:val="0"/>
          <w:color w:val="000000"/>
          <w:sz w:val="22"/>
        </w:rPr>
        <w:t>传统同步执行可能是“CPU 准备完，设备开始算；设备结果回来，CPU 更新状态；再准备下一轮”。设备在 CPU 工作期间会等待。异步执行则尽量让 CPU 在设备算当前轮时，就准备下一轮。此时 CPU 仍在工作，但其耗时未必暴露在每轮完成时间里。[S02、S11]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312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ync-timeli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Songti SC"/>
          <w:b w:val="0"/>
          <w:color w:val="000000"/>
          <w:sz w:val="18"/>
        </w:rPr>
        <w:t>图 9  理解 DeepInfer 异步执行的时间线示意  长度不是实测  通用框架也有重叠机制</w:t>
      </w:r>
    </w:p>
    <w:p>
      <w:r>
        <w:rPr>
          <w:rFonts w:ascii="Arial" w:hAnsi="Arial" w:eastAsia="Songti SC"/>
          <w:b w:val="0"/>
          <w:color w:val="000000"/>
          <w:sz w:val="22"/>
        </w:rPr>
        <w:t>本次审查的 DeepInfer 开源路径可在设备执行第 N 轮时处理前一轮结果、准备后续轮次。推测接受长度尚未回到 CPU 时，设备侧仍需修正输入和状态；有依赖的任务不能任意并行。Prefill、结束和流水排空也有不同处理，图 9 只解释稳定生成阶段的重叠机制。[S02、S31]</w:t>
      </w:r>
    </w:p>
    <w:p>
      <w:r>
        <w:rPr>
          <w:rFonts w:ascii="Arial" w:hAnsi="Arial" w:eastAsia="Songti SC"/>
          <w:b w:val="0"/>
          <w:color w:val="000000"/>
          <w:sz w:val="22"/>
        </w:rPr>
        <w:t>下面用同一批请求、相同设备计算量举例。假设 CPU 工作从 2 毫秒缩短到 0.5 毫秒，且忽略传输与额外同步；数字只是解释原理，不是 DeepInfer 或 A5 实测。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1984"/>
        <w:gridCol w:w="2041"/>
        <w:gridCol w:w="2665"/>
      </w:tblGrid>
      <w:tr>
        <w:trPr>
          <w:cantSplit/>
          <w:tblHeader/>
        </w:trPr>
        <w:tc>
          <w:tcPr>
            <w:tcW w:type="dxa" w:w="289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情形</w:t>
            </w:r>
          </w:p>
        </w:tc>
        <w:tc>
          <w:tcPr>
            <w:tcW w:type="dxa" w:w="1984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优化前每轮</w:t>
            </w:r>
          </w:p>
        </w:tc>
        <w:tc>
          <w:tcPr>
            <w:tcW w:type="dxa" w:w="204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优化后每轮</w:t>
            </w:r>
          </w:p>
        </w:tc>
        <w:tc>
          <w:tcPr>
            <w:tcW w:type="dxa" w:w="2665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设备计算 20 毫秒 与 CPU 串行</w:t>
            </w:r>
          </w:p>
        </w:tc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20+2=22 毫秒</w:t>
            </w:r>
          </w:p>
        </w:tc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20+0.5=20.5 毫秒</w:t>
            </w:r>
          </w:p>
        </w:tc>
        <w:tc>
          <w:tcPr>
            <w:tcW w:type="dxa" w:w="266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吞吐理论增约 7.3%；设备计算仍占主导。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设备计算 2 毫秒 与 CPU 串行</w:t>
            </w:r>
          </w:p>
        </w:tc>
        <w:tc>
          <w:tcPr>
            <w:tcW w:type="dxa" w:w="198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2+2=4 毫秒</w:t>
            </w:r>
          </w:p>
        </w:tc>
        <w:tc>
          <w:tcPr>
            <w:tcW w:type="dxa" w:w="204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2+0.5=2.5 毫秒</w:t>
            </w:r>
          </w:p>
        </w:tc>
        <w:tc>
          <w:tcPr>
            <w:tcW w:type="dxa" w:w="266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吞吐理论增 60%；主机开销原本很显著。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设备计算 2 毫秒 与 CPU 理想重叠</w:t>
            </w:r>
          </w:p>
        </w:tc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较慢一侧为 2 毫秒</w:t>
            </w:r>
          </w:p>
        </w:tc>
        <w:tc>
          <w:tcPr>
            <w:tcW w:type="dxa" w:w="204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较慢一侧仍为 2 毫秒</w:t>
            </w:r>
          </w:p>
        </w:tc>
        <w:tc>
          <w:tcPr>
            <w:tcW w:type="dxa" w:w="266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稳定吞吐可能不变；已有重叠覆盖了 CPU 工作。</w:t>
            </w:r>
          </w:p>
        </w:tc>
      </w:tr>
    </w:tbl>
    <w:p>
      <w:pPr>
        <w:spacing w:after="20"/>
      </w:pPr>
    </w:p>
    <w:p>
      <w:r>
        <w:rPr>
          <w:rFonts w:ascii="Arial" w:hAnsi="Arial" w:eastAsia="Songti SC"/>
          <w:b w:val="0"/>
          <w:color w:val="000000"/>
          <w:sz w:val="22"/>
        </w:rPr>
        <w:t>因此“CPU 占用高”“Python 函数耗时长”“设备有空隙”都不足以单独下结论。空隙还可能来自通信、存储读取或同步依赖；CPU 也可能正在执行已经被覆盖的工作。需要把等待与具体任务的时间线对齐，找到真正限制下一步开始的环节。</w:t>
      </w:r>
    </w:p>
    <w:p>
      <w:pPr>
        <w:pStyle w:val="Heading2"/>
      </w:pPr>
      <w:r>
        <w:t>3.3 哪些场景值得参照 DeepInfer 检查主机开销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195"/>
        <w:gridCol w:w="3118"/>
      </w:tblGrid>
      <w:tr>
        <w:trPr>
          <w:cantSplit/>
          <w:tblHeader/>
        </w:trPr>
        <w:tc>
          <w:tcPr>
            <w:tcW w:type="dxa" w:w="2268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195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为什么容易出现问题</w:t>
            </w:r>
          </w:p>
        </w:tc>
        <w:tc>
          <w:tcPr>
            <w:tcW w:type="dxa" w:w="3118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应观察什么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模型或设备计算很快</w:t>
            </w:r>
          </w:p>
        </w:tc>
        <w:tc>
          <w:tcPr>
            <w:tcW w:type="dxa" w:w="419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设备每轮几毫秒，原本不显眼的对象操作、数据准备和调用成本开始占较大比例。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有待处理任务时，设备是否仍在等下一轮下发。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高并发与频繁请求进出</w:t>
            </w:r>
          </w:p>
        </w:tc>
        <w:tc>
          <w:tcPr>
            <w:tcW w:type="dxa" w:w="419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大量请求状态、列表和字典反复更新，分配、回收、缓存查询等 CPU 工作增加。</w:t>
            </w:r>
          </w:p>
        </w:tc>
        <w:tc>
          <w:tcPr>
            <w:tcW w:type="dxa" w:w="311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热点函数耗时是否随活跃请求数增长。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高命中缓存及大量短请求</w:t>
            </w:r>
          </w:p>
        </w:tc>
        <w:tc>
          <w:tcPr>
            <w:tcW w:type="dxa" w:w="419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省掉 Prefill 后，协议解析、分词、排队和响应处理占比变高；单位时间可到达更多请求。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线上服务是否明显慢于纯引擎，前端 CPU 是否满载。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频繁流式输出与工具调用</w:t>
            </w:r>
          </w:p>
        </w:tc>
        <w:tc>
          <w:tcPr>
            <w:tcW w:type="dxa" w:w="419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每秒处理大量输出片段，需要解码成文字、解析结构、序列化并发送。</w:t>
            </w:r>
          </w:p>
        </w:tc>
        <w:tc>
          <w:tcPr>
            <w:tcW w:type="dxa" w:w="311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输出积压与用户端间隔，不能只看卡上计算完成时间。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很多短算子与复杂状态依赖</w:t>
            </w:r>
          </w:p>
        </w:tc>
        <w:tc>
          <w:tcPr>
            <w:tcW w:type="dxa" w:w="419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频繁下发小任务，或每轮都把结果取回 CPU，可能打断设备流水。</w:t>
            </w:r>
          </w:p>
        </w:tc>
        <w:tc>
          <w:tcPr>
            <w:tcW w:type="dxa" w:w="311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下发间隙、同步等待、图执行与异步路径是否真正生效。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大规模专家并行</w:t>
            </w:r>
          </w:p>
        </w:tc>
        <w:tc>
          <w:tcPr>
            <w:tcW w:type="dxa" w:w="419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更多执行进程需要同步，最慢一方会拖住整组；设备变快后，主机同步和请求接入更容易暴露。</w:t>
            </w:r>
          </w:p>
        </w:tc>
        <w:tc>
          <w:tcPr>
            <w:tcW w:type="dxa" w:w="311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逐 rank 时间线、同步尾部、新请求突发及 KV 加载，不能只看平均 CPU 耗时。</w:t>
            </w:r>
          </w:p>
        </w:tc>
      </w:tr>
    </w:tbl>
    <w:p>
      <w:pPr>
        <w:spacing w:after="20"/>
      </w:pPr>
    </w:p>
    <w:p>
      <w:r>
        <w:rPr>
          <w:rFonts w:ascii="Arial" w:hAnsi="Arial" w:eastAsia="Songti SC"/>
          <w:b w:val="0"/>
          <w:color w:val="000000"/>
          <w:sz w:val="22"/>
        </w:rPr>
        <w:t>Python 的解释执行、动态对象和部分逐元素循环可能增加成本。常规带 GIL 的 CPython 中，多个线程也不能自动并行执行所有 Python 字节码；但多进程、原生扩展和设备算子有不同执行方式。不能把“用了 Python”理解为矩阵乘法也由 Python 逐元素计算，更不能把 GIL 当成所有 CPU 问题的统一解释。</w:t>
      </w:r>
    </w:p>
    <w:p>
      <w:r>
        <w:rPr>
          <w:rFonts w:ascii="Arial" w:hAnsi="Arial" w:eastAsia="Songti SC"/>
          <w:b w:val="0"/>
          <w:color w:val="000000"/>
          <w:sz w:val="22"/>
        </w:rPr>
        <w:t>“图执行”是把经常重复的设备任务预先记录下来，之后整体重放，减少 CPU 逐项下发。它与异步执行都可能降低暴露出来的主机开销。长 Prefill、很大的设备计算或卡间通信占主导时，调度未必是首要矛盾；反过来，大 MoE 模型经过稀疏计算、融合和并行后，单卡每轮执行仍可能变快，所以“模型很大”也不能排除主机瓶颈。</w:t>
      </w:r>
    </w:p>
    <w:p>
      <w:pPr>
        <w:pStyle w:val="Heading2"/>
      </w:pPr>
      <w:r>
        <w:t>3.4 通用框架已有机制及本团队可吸收的部分</w:t>
      </w:r>
    </w:p>
    <w:p>
      <w:r>
        <w:rPr>
          <w:rFonts w:ascii="Arial" w:hAnsi="Arial" w:eastAsia="Songti SC"/>
          <w:b w:val="0"/>
          <w:color w:val="000000"/>
          <w:sz w:val="22"/>
        </w:rPr>
        <w:t>vLLM 上游在 2024 年已公开调度与输入准备阻塞 GPU 的案例，V1 随后通过进程隔离、持久批次和增量更新降低开销，异步执行继续覆盖主机准备。SGLang 也已有重叠调度。因此，与 DeepInfer 对照的重点是哪些等待仍暴露，而非是否首次拥有异步能力；团队 A5 版本的启用范围仍需核对。[S11、S13、S40]</w:t>
      </w:r>
    </w:p>
    <w:p>
      <w:r>
        <w:rPr>
          <w:rFonts w:ascii="Arial" w:hAnsi="Arial" w:eastAsia="Songti SC"/>
          <w:b w:val="0"/>
          <w:color w:val="000000"/>
          <w:sz w:val="22"/>
        </w:rPr>
        <w:t>优化顺序应由测量决定：减少重复准备与同步，重叠可并行的工作，再对仍暴露的 CPU 热点考虑原生实现。大规模并行还要检查通信算法和最慢执行进程。C++ 或 Rust 可降低部分成本，但不会自动修复同步协议、缓存读取或不合理的请求准入。</w:t>
      </w:r>
    </w:p>
    <w:p>
      <w:r>
        <w:rPr>
          <w:rFonts w:ascii="Arial" w:hAnsi="Arial" w:eastAsia="Songti SC"/>
          <w:b w:val="0"/>
          <w:color w:val="000000"/>
          <w:sz w:val="22"/>
        </w:rPr>
        <w:t>vLLM 官方的 NVIDIA Wide EP 实验显示，扩大并行后设备可能更快，整步却被主机同步和请求接入拖慢。这属于 vLLM 的实测与优化，不是 DeepInfer 已实现的功能清单，也不能直接认定 A5 有相同瓶颈。建议先记录各进程的同步、KV 加载和请求准入时间线，再确定 A5 改动。[S39]</w:t>
      </w:r>
    </w:p>
    <w:p>
      <w:r>
        <w:rPr>
          <w:rFonts w:ascii="Arial" w:hAnsi="Arial" w:eastAsia="Songti SC"/>
          <w:b w:val="0"/>
          <w:color w:val="000000"/>
          <w:sz w:val="22"/>
        </w:rPr>
        <w:t>一项已合入的 vLLM 修复更换了 CPU 小数据同步算法：在其 GB200 四节点、16 进程微基准中，中位延迟从 5.354 毫秒降至 0.546 毫秒。这是元数据同步的结果，不是整个推理快了约十倍，也不是将 Python 改成 Rust 的实验。它说明必须先识别等待的成因。[S43]</w:t>
      </w: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本章迁移结论：</w:t>
      </w:r>
      <w:r>
        <w:rPr>
          <w:rFonts w:ascii="Arial" w:hAnsi="Arial" w:eastAsia="Songti SC"/>
          <w:b w:val="0"/>
          <w:color w:val="000000"/>
          <w:sz w:val="22"/>
        </w:rPr>
        <w:t>DeepInfer 提供了减少主机热路径和等待的具体参照，通用框架已有相同方向的机制。可优先吸收输入准备、状态更新和同步改法；其 C++ 状态机不能直接替换 vLLM 调度器，公共接口变化应通过上游协作推进。</w:t>
      </w:r>
    </w:p>
    <w:p>
      <w:pPr>
        <w:pStyle w:val="Heading1"/>
      </w:pPr>
      <w:r>
        <w:t>4 vLLM Rust 与 DeepInfer 原生运行时的区别</w:t>
      </w:r>
    </w:p>
    <w:p>
      <w:r>
        <w:rPr>
          <w:rFonts w:ascii="Arial" w:hAnsi="Arial" w:eastAsia="Songti SC"/>
          <w:b w:val="0"/>
          <w:color w:val="000000"/>
          <w:sz w:val="22"/>
        </w:rPr>
        <w:t>DeepInfer 的 C++ 重点在引擎内部状态与调度；本章对照的是 vLLM 上游的 Rust 服务前端。已核查版本中，Rust 前端处理请求和输出并连接 Python 引擎，默认核心调度器仍是 Python。两者作用位置不同，不能据此宣称 vLLM 已用 Rust 替换核心调度器，或把其主机优化都归为 Rust 收益。[S12、S16–S17、S43]</w:t>
      </w:r>
    </w:p>
    <w:p>
      <w:r>
        <w:rPr>
          <w:rFonts w:ascii="Arial" w:hAnsi="Arial" w:eastAsia="Songti SC"/>
          <w:b w:val="0"/>
          <w:color w:val="000000"/>
          <w:sz w:val="22"/>
        </w:rPr>
        <w:t>已核查的 vLLM Rust 前端需要显式开启，部分接口与部署组合仍在完善。vLLM-Ascend A5 镜像构建文件已有 Rust 入口，但不等于默认使用，也不等于团队的模型、P/D、缓存和工具调用组合均已验证。[S18–S19]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4535"/>
        <w:gridCol w:w="3061"/>
      </w:tblGrid>
      <w:tr>
        <w:trPr>
          <w:cantSplit/>
          <w:tblHeader/>
        </w:trPr>
        <w:tc>
          <w:tcPr>
            <w:tcW w:type="dxa" w:w="1984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所在位置</w:t>
            </w:r>
          </w:p>
        </w:tc>
        <w:tc>
          <w:tcPr>
            <w:tcW w:type="dxa" w:w="4535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主要负责什么</w:t>
            </w:r>
          </w:p>
        </w:tc>
        <w:tc>
          <w:tcPr>
            <w:tcW w:type="dxa" w:w="306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优化后可能改善什么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服务前端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接收请求、协议和输入处理、输出解码与流式返回。</w:t>
            </w:r>
          </w:p>
        </w:tc>
        <w:tc>
          <w:tcPr>
            <w:tcW w:type="dxa" w:w="30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高请求量下的接入能力、CPU 成本和响应延迟。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引擎核心调度</w:t>
            </w:r>
          </w:p>
        </w:tc>
        <w:tc>
          <w:tcPr>
            <w:tcW w:type="dxa" w:w="453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决定本轮执行哪些请求、分配多少 token、维护执行状态。</w:t>
            </w:r>
          </w:p>
        </w:tc>
        <w:tc>
          <w:tcPr>
            <w:tcW w:type="dxa" w:w="306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设备是否能及时获得下一批工作。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设备执行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算子计算、卡间通信、图执行与数据搬运。</w:t>
            </w:r>
          </w:p>
        </w:tc>
        <w:tc>
          <w:tcPr>
            <w:tcW w:type="dxa" w:w="30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每轮模型计算耗时及卡上资源利用率。</w:t>
            </w:r>
          </w:p>
        </w:tc>
      </w:tr>
    </w:tbl>
    <w:p>
      <w:pPr>
        <w:spacing w:after="20"/>
      </w:pPr>
    </w:p>
    <w:p>
      <w:r>
        <w:rPr>
          <w:rFonts w:ascii="Arial" w:hAnsi="Arial" w:eastAsia="Songti SC"/>
          <w:b w:val="0"/>
          <w:color w:val="000000"/>
          <w:sz w:val="22"/>
        </w:rPr>
        <w:t>Rust 前端可以改善高请求量下的服务处理，却未必改变纯模型离线步时。DeepSeek 独立发布的 deepseek-recipe 也用 Rust 做提示词编码和输出解析，这是配套组件的选择，不能据此将 DeepInfer 引擎或完整在线网关都称为 Rust 实现。[S02]</w:t>
      </w:r>
    </w:p>
    <w:p>
      <w:r>
        <w:rPr>
          <w:rFonts w:ascii="Arial" w:hAnsi="Arial" w:eastAsia="Songti SC"/>
          <w:b w:val="0"/>
          <w:color w:val="000000"/>
          <w:sz w:val="22"/>
        </w:rPr>
        <w:t>vLLM 上游的 Rust 前端提案用小模型、长输入缓存预热和短输出突出 CPU 上限；增加 Python 前端进程后差距明显收窄。比较时应给 Python 路径合理 CPU 资源，不能将特定实验倍数当作语言的固定收益。[S20]</w:t>
      </w: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与 DeepInfer 的关系：可以借鉴用原生实现缩短主机热路径的做法，不能把 C++ 调度器整体移植视为现成方案。</w:t>
      </w:r>
      <w:r>
        <w:rPr>
          <w:rFonts w:ascii="Arial" w:hAnsi="Arial" w:eastAsia="Songti SC"/>
          <w:b w:val="0"/>
          <w:color w:val="000000"/>
          <w:sz w:val="22"/>
        </w:rPr>
        <w:t>团队优先优化可控的 Ascend 输入准备、图执行、同步和搬运；vLLM 公共调度架构及 Rust 前端通过跟进、验证和反馈推进，不作为本团队独立重写承诺。</w:t>
      </w:r>
    </w:p>
    <w:p>
      <w:pPr>
        <w:pStyle w:val="Heading1"/>
      </w:pPr>
      <w:r>
        <w:t>5 DeepSeek 长期 KV 实践与 vLLM Ascend KV Pool</w:t>
      </w:r>
    </w:p>
    <w:p>
      <w:pPr>
        <w:pStyle w:val="Heading2"/>
      </w:pPr>
      <w:r>
        <w:t>5.1 DeepSeek 披露的生产结果与开源边界</w:t>
      </w:r>
    </w:p>
    <w:p>
      <w:r>
        <w:rPr>
          <w:rFonts w:ascii="Arial" w:hAnsi="Arial" w:eastAsia="Songti SC"/>
          <w:b w:val="0"/>
          <w:color w:val="000000"/>
          <w:sz w:val="22"/>
        </w:rPr>
        <w:t>DeepSeek 官方部署文章披露前缀缓存命中率达到 96%，并将超过 72 小时的 KV 保留作为重要目标。其主体是 DeepSeek 的生产系统和业务，不是一个 DeepInfer 开源引擎的默认指标；这一结果为长期复用提供了生产证据。[S32]</w:t>
      </w:r>
    </w:p>
    <w:p>
      <w:r>
        <w:rPr>
          <w:rFonts w:ascii="Arial" w:hAnsi="Arial" w:eastAsia="Songti SC"/>
          <w:b w:val="0"/>
          <w:color w:val="000000"/>
          <w:sz w:val="22"/>
        </w:rPr>
        <w:t>DeepSeek 部署问答描述长期 block KV，包括 main KV 与 indexer K，存放在独立 3FS 集群；Agent 流量保留 3 天，聊天保留 7 天。SWA 另有主机内存状态与重放机制，并非所有缓存都长期放在设备内存。计算与存储分离后，复用不必绑定原实例；这套生产存储服务未随本次 DeepInfer 完整交付。[S01–S02]</w:t>
      </w:r>
    </w:p>
    <w:p>
      <w:r>
        <w:rPr>
          <w:rFonts w:ascii="Arial" w:hAnsi="Arial" w:eastAsia="Songti SC"/>
          <w:b w:val="0"/>
          <w:color w:val="000000"/>
          <w:sz w:val="22"/>
        </w:rPr>
        <w:t>官方业务的 96% 不应解释为服务总成本下降 96%。命中后的检索、读取、搬运与状态恢复仍有成本，输出生成也仍需计算。对我们而言，应接受官方已经取得的生产结果，再用本业务的前缀重复程度、到达分布和资源预算测算可获得的收益；这是适用性验证，不是在要求重新证明官方数据。</w:t>
      </w:r>
    </w:p>
    <w:p>
      <w:pPr>
        <w:pStyle w:val="Heading2"/>
      </w:pPr>
      <w:r>
        <w:t>5.2 DeepSeek 长期复用为什么能减少计算</w:t>
      </w:r>
    </w:p>
    <w:p>
      <w:r>
        <w:rPr>
          <w:rFonts w:ascii="Arial" w:hAnsi="Arial" w:eastAsia="Songti SC"/>
          <w:b w:val="0"/>
          <w:color w:val="000000"/>
          <w:sz w:val="22"/>
        </w:rPr>
        <w:t>多轮 Agent 往往把旧对话、工具定义和执行记录再次作为输入。如果这些 token 的前缀相同，就可以复用已经算好的 KV，主要处理新增部分。聊天记录保存在数据库里，并不代表对应 KV 还在；KV 丢失不会让历史文字消失，但会让模型再次付出计算成本。</w:t>
      </w:r>
    </w:p>
    <w:p>
      <w:r>
        <w:rPr>
          <w:rFonts w:ascii="Arial" w:hAnsi="Arial" w:eastAsia="Songti SC"/>
          <w:b w:val="0"/>
          <w:color w:val="000000"/>
          <w:sz w:val="22"/>
        </w:rPr>
        <w:t>这解释了长期缓存的经济价值：某些工作完全不必再算，节约可能比把同一工作加速几个百分点更大。但效果取决于真实重复前缀。前部时间戳变化、工具顺序改变、历史摘要或消息重新序列化，都可能缩短可复用部分。语义相似不等于 token 前缀相同。</w:t>
      </w:r>
    </w:p>
    <w:p>
      <w:pPr>
        <w:pStyle w:val="Heading2"/>
      </w:pPr>
      <w:r>
        <w:t>5.3 vLLM Ascend 已有 KV Pool 基础与哪些差距</w:t>
      </w:r>
    </w:p>
    <w:p>
      <w:r>
        <w:rPr>
          <w:rFonts w:ascii="Arial" w:hAnsi="Arial" w:eastAsia="Songti SC"/>
          <w:b w:val="0"/>
          <w:color w:val="000000"/>
          <w:sz w:val="22"/>
        </w:rPr>
        <w:t>vLLM-Ascend 的 KV Pool 是相关的能力基础：把可复用 KV 从单个推理实例中解耦，通过 connector 接入共享存储，在后续请求中匹配、加载并保存缓存。它与 DeepSeek 长期缓存属于相近的技术方向；完整程度与部署效果仍取决于具体后端、模型状态、容量和策略。[S33–S34]</w:t>
      </w:r>
    </w:p>
    <w:p>
      <w:r>
        <w:rPr>
          <w:rFonts w:ascii="Arial" w:hAnsi="Arial" w:eastAsia="Songti SC"/>
          <w:b w:val="0"/>
          <w:color w:val="000000"/>
          <w:sz w:val="22"/>
        </w:rPr>
        <w:t>vLLM-Ascend 的 KV Pool 指南列出 A2、A3 和 950PR/950DT 产品，提供 Mooncake、Memcache、Yuanrong 等后端。原生 NPU 分层卸载也有 CPU 和文件系统层，文档讨论 SSD/3FS 调优，并注明文件系统层淘汰策略仍在开发。这些是通用框架已有的相关基础，不是 DeepInfer 的实现。[S33、S38]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685"/>
        <w:gridCol w:w="3912"/>
      </w:tblGrid>
      <w:tr>
        <w:trPr>
          <w:cantSplit/>
          <w:tblHeader/>
        </w:trPr>
        <w:tc>
          <w:tcPr>
            <w:tcW w:type="dxa" w:w="1984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能力层次</w:t>
            </w:r>
          </w:p>
        </w:tc>
        <w:tc>
          <w:tcPr>
            <w:tcW w:type="dxa" w:w="3685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已有路线</w:t>
            </w:r>
          </w:p>
        </w:tc>
        <w:tc>
          <w:tcPr>
            <w:tcW w:type="dxa" w:w="3912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不能仅由名称推出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实例内前缀缓存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vLLM APC 在可复用缓存块上避免重复 Prefill；没有统一的短 TTL。</w:t>
            </w:r>
          </w:p>
        </w:tc>
        <w:tc>
          <w:tcPr>
            <w:tcW w:type="dxa" w:w="391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实例故障后仍能恢复，或高压力下保证保留 72 小时。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分层缓存与卸载</w:t>
            </w:r>
          </w:p>
        </w:tc>
        <w:tc>
          <w:tcPr>
            <w:tcW w:type="dxa" w:w="368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CPU 和文件系统等层次降低设备内存占用。</w:t>
            </w:r>
          </w:p>
        </w:tc>
        <w:tc>
          <w:tcPr>
            <w:tcW w:type="dxa" w:w="3912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一定实现跨实例共享、持久化恢复和业务级保留承诺。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共享 KV Pool</w:t>
            </w:r>
          </w:p>
        </w:tc>
        <w:tc>
          <w:tcPr>
            <w:tcW w:type="dxa" w:w="368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AscendStore connector 接入共享 KV 后端，组织匹配、加载与保存。</w:t>
            </w:r>
          </w:p>
        </w:tc>
        <w:tc>
          <w:tcPr>
            <w:tcW w:type="dxa" w:w="391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支持任意模型状态与并行组合，或天然获得 96% 命中率。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完整生产缓存服务</w:t>
            </w:r>
          </w:p>
        </w:tc>
        <w:tc>
          <w:tcPr>
            <w:tcW w:type="dxa" w:w="368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缓存目录、分层介质、容量与淘汰、请求路由、恢复共同工作。</w:t>
            </w:r>
          </w:p>
        </w:tc>
        <w:tc>
          <w:tcPr>
            <w:tcW w:type="dxa" w:w="3912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只开一个框架参数即可复现官方部署的成本和效果。</w:t>
            </w:r>
          </w:p>
        </w:tc>
      </w:tr>
    </w:tbl>
    <w:p>
      <w:pPr>
        <w:spacing w:after="20"/>
      </w:pP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吸收路径：优先复用 vLLM-Ascend 已有 KV Pool 与 offload，再补齐目标模型和 A5 组合。</w:t>
      </w:r>
      <w:r>
        <w:rPr>
          <w:rFonts w:ascii="Arial" w:hAnsi="Arial" w:eastAsia="Songti SC"/>
          <w:b w:val="0"/>
          <w:color w:val="000000"/>
          <w:sz w:val="22"/>
        </w:rPr>
        <w:t>机制存在不代表与 DeepSeek 生产系统等价。超过 72 小时是披露的保留目标，96% 是生产命中率；实现相似效果还需要容量、淘汰、请求路由和真实前缀复用。[S14–S15、S32–S34]</w:t>
      </w:r>
    </w:p>
    <w:p>
      <w:r>
        <w:rPr>
          <w:rFonts w:ascii="Arial" w:hAnsi="Arial" w:eastAsia="Songti SC"/>
          <w:b w:val="0"/>
          <w:color w:val="000000"/>
          <w:sz w:val="22"/>
        </w:rPr>
        <w:t>本次核查的 vLLM-Ascend V4.1 指南给出 A3 配 Memcache、A2 配 Mooncake 的 P/D 加 KV Pool 示例，要求关闭 layerwise 池访问。其另给出的 A5 SWA replay 回归路径只支持本地前缀缓存，接 KV connector 会报错。这是特定重放组合的限制，既不能说 V4.1 完全不支持 KV Pool，也不能用通用 950 支持替代组合验收。[S37]</w:t>
      </w:r>
    </w:p>
    <w:p>
      <w:r>
        <w:rPr>
          <w:rFonts w:ascii="Arial" w:hAnsi="Arial" w:eastAsia="Songti SC"/>
          <w:b w:val="0"/>
          <w:color w:val="000000"/>
          <w:sz w:val="22"/>
        </w:rPr>
        <w:t>同一份 vLLM-Ascend 指南说明 P/D 示例尚未完成生产性能与任务级精度资格验证。建议针对目标业务的 A5 组合，核对共享状态、重放、读写失败与回退，再与业务和存储团队验收；这属于团队后续工作，不能写成现有能力已经全部到位。[S37]</w:t>
      </w:r>
    </w:p>
    <w:p>
      <w:pPr>
        <w:pStyle w:val="Heading2"/>
      </w:pPr>
      <w:r>
        <w:t>5.4 吸收生产实践时的框架职责与联合设计</w:t>
      </w:r>
    </w:p>
    <w:p>
      <w:r>
        <w:rPr>
          <w:rFonts w:ascii="Arial" w:hAnsi="Arial" w:eastAsia="Songti SC"/>
          <w:b w:val="0"/>
          <w:color w:val="000000"/>
          <w:sz w:val="22"/>
        </w:rPr>
        <w:t>建议团队复用已有存储与缓存机制，将业务保留期、容量配额、优先级和回源方式配置化，避免每个业务另建一套系统。框架应提供必要状态、统计与控制接口，哪些已具备、哪些需扩展，应按实际版本核对。下表是建议分工，不是 DeepInfer 已交付的功能表。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742"/>
        <w:gridCol w:w="3855"/>
      </w:tblGrid>
      <w:tr>
        <w:trPr>
          <w:cantSplit/>
          <w:tblHeader/>
        </w:trPr>
        <w:tc>
          <w:tcPr>
            <w:tcW w:type="dxa" w:w="1984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责任方</w:t>
            </w:r>
          </w:p>
        </w:tc>
        <w:tc>
          <w:tcPr>
            <w:tcW w:type="dxa" w:w="3742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3855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与框架的协作边界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vLLM-Ascend 团队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模型状态与布局适配、异步读写和搬运、恢复与重算回退、缓存统计。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对现有 connector 接口先复用；缺失的公共接口向 vLLM 上游提供需求和证据。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业务与服务调度团队</w:t>
            </w:r>
          </w:p>
        </w:tc>
        <w:tc>
          <w:tcPr>
            <w:tcW w:type="dxa" w:w="3742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决定保留期、租户目标、前缀组织、请求路由及成本目标。</w:t>
            </w:r>
          </w:p>
        </w:tc>
        <w:tc>
          <w:tcPr>
            <w:tcW w:type="dxa" w:w="385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提供真实回放和策略输入；利用框架暴露的命中、未命中工作量及加载时延。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存储与基础设施团队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确定存储介质和容量、淘汰与副本策略、故障恢复及服务保障。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约定缓存键、版本、状态格式、超时和错误语义，共同验收恢复与带宽。</w:t>
            </w:r>
          </w:p>
        </w:tc>
      </w:tr>
    </w:tbl>
    <w:p>
      <w:pPr>
        <w:spacing w:after="20"/>
      </w:pPr>
    </w:p>
    <w:p>
      <w:r>
        <w:rPr>
          <w:rFonts w:ascii="Arial" w:hAnsi="Arial" w:eastAsia="Songti SC"/>
          <w:b w:val="0"/>
          <w:color w:val="000000"/>
          <w:sz w:val="22"/>
        </w:rPr>
        <w:t>“自适应业务”应拆成可实现的机制。建议优先提供命中 token、缓存加载时间、重算量与传输队列等观测；支持版本和租户隔离、超时回退、读取背压以及可配置的预取或重算选择。TTL、优先级和配额等元数据能否传递及落实，取决于接口和后端支持，应逐项核对，不能把建议能力当作当前都已具备。</w:t>
      </w: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本章结论：DeepSeek 的生产经验可作为设计参照，完整服务不能从本次 DeepInfer 仓库直接移植。</w:t>
      </w:r>
      <w:r>
        <w:rPr>
          <w:rFonts w:ascii="Arial" w:hAnsi="Arial" w:eastAsia="Songti SC"/>
          <w:b w:val="0"/>
          <w:color w:val="000000"/>
          <w:sz w:val="22"/>
        </w:rPr>
        <w:t>建议框架团队验收 KV 正确性、接入开销、设备传输和回退，业务与存储团队负责策略与资源，共同测量命中、首 token 时延和总成本。生产命中率不宜成为框架团队单独承诺。</w:t>
      </w:r>
    </w:p>
    <w:p>
      <w:r>
        <w:br w:type="page"/>
      </w:r>
    </w:p>
    <w:p>
      <w:pPr>
        <w:pStyle w:val="Heading1"/>
      </w:pPr>
      <w:r>
        <w:t>6 官方与内部实测结果及框架选择</w:t>
      </w:r>
    </w:p>
    <w:p>
      <w:r>
        <w:rPr>
          <w:rFonts w:ascii="Arial" w:hAnsi="Arial" w:eastAsia="Songti SC"/>
          <w:b w:val="0"/>
          <w:color w:val="000000"/>
          <w:sz w:val="22"/>
        </w:rPr>
        <w:t>以下六组图表区分实测、图读数和公式折算，不跨条件排名。DEPn 指 n 张卡上的 Attention 数据并行与 MoE 专家并行。</w:t>
      </w:r>
    </w:p>
    <w:p>
      <w:pPr>
        <w:pStyle w:val="Heading2"/>
      </w:pPr>
      <w:r>
        <w:t>6.1 vLLM Decode 对比的完整工作点</w:t>
      </w:r>
    </w:p>
    <w:p>
      <w:r>
        <w:rPr>
          <w:rFonts w:ascii="Arial" w:hAnsi="Arial" w:eastAsia="Songti SC"/>
          <w:b w:val="0"/>
          <w:color w:val="000000"/>
          <w:sz w:val="22"/>
        </w:rPr>
        <w:t>vLLM 为 GB200 DEP32、384+32 专家；DeepInfer 参考为 EP64DP64、384+64 专家。上下文约 131K、草稿 3 token，按每步接受 3.25 token 归一化。DeepInfer 公布为 64 张 SM100，未标明具体 SKU。[S39、S48]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25282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-vllm-deco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28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Songti SC"/>
          <w:b w:val="0"/>
          <w:color w:val="000000"/>
          <w:sz w:val="18"/>
        </w:rPr>
        <w:t>图 10  据 vLLM 官方图源数据重绘  实线为 vLLM 测试  虚线为文章采用的 DeepInfer 图读数  横轴统一为每卡请求数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1701"/>
        <w:gridCol w:w="1701"/>
        <w:gridCol w:w="1814"/>
        <w:gridCol w:w="1814"/>
        <w:gridCol w:w="1587"/>
      </w:tblGrid>
      <w:tr>
        <w:trPr>
          <w:cantSplit/>
          <w:tblHeader/>
        </w:trPr>
        <w:tc>
          <w:tcPr>
            <w:tcW w:type="dxa" w:w="964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请求</w:t>
              <w:br/>
              <w:t>每 GPU</w:t>
            </w:r>
          </w:p>
        </w:tc>
        <w:tc>
          <w:tcPr>
            <w:tcW w:type="dxa" w:w="170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vLLM</w:t>
              <w:br/>
              <w:t>token/s/用户</w:t>
            </w:r>
          </w:p>
        </w:tc>
        <w:tc>
          <w:tcPr>
            <w:tcW w:type="dxa" w:w="170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DI 参考</w:t>
              <w:br/>
              <w:t>token/s/用户</w:t>
            </w:r>
          </w:p>
        </w:tc>
        <w:tc>
          <w:tcPr>
            <w:tcW w:type="dxa" w:w="1814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vLLM</w:t>
              <w:br/>
              <w:t>token/s/GPU</w:t>
            </w:r>
          </w:p>
        </w:tc>
        <w:tc>
          <w:tcPr>
            <w:tcW w:type="dxa" w:w="1814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DI 参考</w:t>
              <w:br/>
              <w:t>token/s/GPU</w:t>
            </w:r>
          </w:p>
        </w:tc>
        <w:tc>
          <w:tcPr>
            <w:tcW w:type="dxa" w:w="1587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vLLM 吞吐</w:t>
              <w:br/>
              <w:t>相对 DI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339.49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325.00</w:t>
            </w:r>
          </w:p>
        </w:tc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2,715.9</w:t>
            </w:r>
          </w:p>
        </w:tc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2,600.0</w:t>
            </w:r>
          </w:p>
        </w:tc>
        <w:tc>
          <w:tcPr>
            <w:tcW w:type="dxa" w:w="1587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+4.46%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70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321.37</w:t>
            </w:r>
          </w:p>
        </w:tc>
        <w:tc>
          <w:tcPr>
            <w:tcW w:type="dxa" w:w="170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314.30</w:t>
            </w:r>
          </w:p>
        </w:tc>
        <w:tc>
          <w:tcPr>
            <w:tcW w:type="dxa" w:w="181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5,142.0</w:t>
            </w:r>
          </w:p>
        </w:tc>
        <w:tc>
          <w:tcPr>
            <w:tcW w:type="dxa" w:w="181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5,028.8</w:t>
            </w:r>
          </w:p>
        </w:tc>
        <w:tc>
          <w:tcPr>
            <w:tcW w:type="dxa" w:w="1587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+2.25%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294.33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297.00</w:t>
            </w:r>
          </w:p>
        </w:tc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9,418.7</w:t>
            </w:r>
          </w:p>
        </w:tc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9,504.0</w:t>
            </w:r>
          </w:p>
        </w:tc>
        <w:tc>
          <w:tcPr>
            <w:tcW w:type="dxa" w:w="1587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-0.90%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170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236.39</w:t>
            </w:r>
          </w:p>
        </w:tc>
        <w:tc>
          <w:tcPr>
            <w:tcW w:type="dxa" w:w="170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245.90</w:t>
            </w:r>
          </w:p>
        </w:tc>
        <w:tc>
          <w:tcPr>
            <w:tcW w:type="dxa" w:w="181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15,128.7</w:t>
            </w:r>
          </w:p>
        </w:tc>
        <w:tc>
          <w:tcPr>
            <w:tcW w:type="dxa" w:w="181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15,737.6</w:t>
            </w:r>
          </w:p>
        </w:tc>
        <w:tc>
          <w:tcPr>
            <w:tcW w:type="dxa" w:w="1587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-3.87%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167.55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178.20</w:t>
            </w:r>
          </w:p>
        </w:tc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21,446.8</w:t>
            </w:r>
          </w:p>
        </w:tc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22,809.6</w:t>
            </w:r>
          </w:p>
        </w:tc>
        <w:tc>
          <w:tcPr>
            <w:tcW w:type="dxa" w:w="1587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-5.97%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256</w:t>
            </w:r>
          </w:p>
        </w:tc>
        <w:tc>
          <w:tcPr>
            <w:tcW w:type="dxa" w:w="170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106.49</w:t>
            </w:r>
          </w:p>
        </w:tc>
        <w:tc>
          <w:tcPr>
            <w:tcW w:type="dxa" w:w="170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102.80</w:t>
            </w:r>
          </w:p>
        </w:tc>
        <w:tc>
          <w:tcPr>
            <w:tcW w:type="dxa" w:w="181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27,260.7</w:t>
            </w:r>
          </w:p>
        </w:tc>
        <w:tc>
          <w:tcPr>
            <w:tcW w:type="dxa" w:w="181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26,316.8</w:t>
            </w:r>
          </w:p>
        </w:tc>
        <w:tc>
          <w:tcPr>
            <w:tcW w:type="dxa" w:w="1587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+3.59%</w:t>
            </w:r>
          </w:p>
        </w:tc>
      </w:tr>
    </w:tbl>
    <w:p>
      <w:pPr>
        <w:spacing w:after="20" w:line="20" w:lineRule="exact"/>
      </w:pPr>
      <w:r>
        <w:rPr>
          <w:rFonts w:ascii="Arial" w:hAnsi="Arial" w:eastAsia="Songti SC"/>
          <w:b w:val="0"/>
          <w:color w:val="000000"/>
          <w:sz w:val="2"/>
        </w:rPr>
      </w:r>
    </w:p>
    <w:p>
      <w:pPr>
        <w:spacing w:after="100"/>
      </w:pPr>
      <w:r>
        <w:rPr>
          <w:rFonts w:ascii="Arial" w:hAnsi="Arial" w:eastAsia="Songti SC"/>
          <w:b w:val="0"/>
          <w:color w:val="000000"/>
          <w:sz w:val="18"/>
        </w:rPr>
        <w:t>来源 S48。每卡吞吐=每卡请求数×每用户速度；两项不是独立测量证据。百分比以 DI 为分母。vLLM 使用真实路由及 EPLB；DeepInfer 公开复现脚本强制均衡。双方并行规模、冗余专家和硬件信息不完全对齐。[S50]</w:t>
      </w:r>
    </w:p>
    <w:p>
      <w:r>
        <w:rPr>
          <w:rFonts w:ascii="Arial" w:hAnsi="Arial" w:eastAsia="Songti SC"/>
          <w:b w:val="0"/>
          <w:color w:val="000000"/>
          <w:sz w:val="22"/>
        </w:rPr>
        <w:t>读图结论：这些点的吞吐差异为 −5.97% 至 +4.46%，支持性能接近；它们是发布曲线对照，不能表述为同机、同配置的独立复测。</w:t>
      </w:r>
    </w:p>
    <w:p>
      <w:r>
        <w:br w:type="page"/>
      </w:r>
    </w:p>
    <w:p>
      <w:pPr>
        <w:pStyle w:val="Heading2"/>
      </w:pPr>
      <w:r>
        <w:t>6.2 vLLM Prefill 曲线与原始时延数值</w:t>
      </w:r>
    </w:p>
    <w:p>
      <w:r>
        <w:rPr>
          <w:rFonts w:ascii="Arial" w:hAnsi="Arial" w:eastAsia="Songti SC"/>
          <w:b w:val="0"/>
          <w:color w:val="000000"/>
          <w:sz w:val="22"/>
        </w:rPr>
        <w:t>vLLM 为 GB300 DEP2、无冗余专家、128 token 重放，并在 128K 缓存前缀后处理新增输入。DI 参考为 EP4DP4、32 个冗余专家、140 token 重放；其图标为 128K 总上下文，具体 SKU 未注明。[S39、S49]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25282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-vllm-prefi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28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Songti SC"/>
          <w:b w:val="0"/>
          <w:color w:val="000000"/>
          <w:sz w:val="18"/>
        </w:rPr>
        <w:t>图 11  据 vLLM 官方图源数据重绘  DI 系列为 vLLM 作者采用的图读数  条件不一致  用作背景参照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531"/>
        <w:gridCol w:w="1531"/>
        <w:gridCol w:w="2551"/>
        <w:gridCol w:w="2551"/>
      </w:tblGrid>
      <w:tr>
        <w:trPr>
          <w:cantSplit/>
          <w:tblHeader/>
        </w:trPr>
        <w:tc>
          <w:tcPr>
            <w:tcW w:type="dxa" w:w="1417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新增 token</w:t>
              <w:br/>
              <w:t>每 GPU 每步</w:t>
            </w:r>
          </w:p>
        </w:tc>
        <w:tc>
          <w:tcPr>
            <w:tcW w:type="dxa" w:w="153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vLLM 步时</w:t>
              <w:br/>
              <w:t>ms</w:t>
            </w:r>
          </w:p>
        </w:tc>
        <w:tc>
          <w:tcPr>
            <w:tcW w:type="dxa" w:w="153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DI 参考步时</w:t>
              <w:br/>
              <w:t>ms</w:t>
            </w:r>
          </w:p>
        </w:tc>
        <w:tc>
          <w:tcPr>
            <w:tcW w:type="dxa" w:w="255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vLLM 新增吞吐</w:t>
              <w:br/>
              <w:t>token/s/GPU</w:t>
            </w:r>
          </w:p>
        </w:tc>
        <w:tc>
          <w:tcPr>
            <w:tcW w:type="dxa" w:w="255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DI 参考新增吞吐</w:t>
              <w:br/>
              <w:t>token/s/GPU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4K</w:t>
            </w:r>
          </w:p>
        </w:tc>
        <w:tc>
          <w:tcPr>
            <w:tcW w:type="dxa" w:w="153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59.58</w:t>
            </w:r>
          </w:p>
        </w:tc>
        <w:tc>
          <w:tcPr>
            <w:tcW w:type="dxa" w:w="153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61.50</w:t>
            </w:r>
          </w:p>
        </w:tc>
        <w:tc>
          <w:tcPr>
            <w:tcW w:type="dxa" w:w="255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68,748</w:t>
            </w:r>
          </w:p>
        </w:tc>
        <w:tc>
          <w:tcPr>
            <w:tcW w:type="dxa" w:w="255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66,602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8K</w:t>
            </w:r>
          </w:p>
        </w:tc>
        <w:tc>
          <w:tcPr>
            <w:tcW w:type="dxa" w:w="153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95.97</w:t>
            </w:r>
          </w:p>
        </w:tc>
        <w:tc>
          <w:tcPr>
            <w:tcW w:type="dxa" w:w="153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108.00</w:t>
            </w:r>
          </w:p>
        </w:tc>
        <w:tc>
          <w:tcPr>
            <w:tcW w:type="dxa" w:w="255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85,360</w:t>
            </w:r>
          </w:p>
        </w:tc>
        <w:tc>
          <w:tcPr>
            <w:tcW w:type="dxa" w:w="255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75,852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16K</w:t>
            </w:r>
          </w:p>
        </w:tc>
        <w:tc>
          <w:tcPr>
            <w:tcW w:type="dxa" w:w="153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168.81</w:t>
            </w:r>
          </w:p>
        </w:tc>
        <w:tc>
          <w:tcPr>
            <w:tcW w:type="dxa" w:w="153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193.90</w:t>
            </w:r>
          </w:p>
        </w:tc>
        <w:tc>
          <w:tcPr>
            <w:tcW w:type="dxa" w:w="255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97,056</w:t>
            </w:r>
          </w:p>
        </w:tc>
        <w:tc>
          <w:tcPr>
            <w:tcW w:type="dxa" w:w="255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84,497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32K</w:t>
            </w:r>
          </w:p>
        </w:tc>
        <w:tc>
          <w:tcPr>
            <w:tcW w:type="dxa" w:w="153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321.11</w:t>
            </w:r>
          </w:p>
        </w:tc>
        <w:tc>
          <w:tcPr>
            <w:tcW w:type="dxa" w:w="153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377.80</w:t>
            </w:r>
          </w:p>
        </w:tc>
        <w:tc>
          <w:tcPr>
            <w:tcW w:type="dxa" w:w="255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102,046</w:t>
            </w:r>
          </w:p>
        </w:tc>
        <w:tc>
          <w:tcPr>
            <w:tcW w:type="dxa" w:w="255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86,734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64K</w:t>
            </w:r>
          </w:p>
        </w:tc>
        <w:tc>
          <w:tcPr>
            <w:tcW w:type="dxa" w:w="153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639.43</w:t>
            </w:r>
          </w:p>
        </w:tc>
        <w:tc>
          <w:tcPr>
            <w:tcW w:type="dxa" w:w="153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755.60</w:t>
            </w:r>
          </w:p>
        </w:tc>
        <w:tc>
          <w:tcPr>
            <w:tcW w:type="dxa" w:w="255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102,491</w:t>
            </w:r>
          </w:p>
        </w:tc>
        <w:tc>
          <w:tcPr>
            <w:tcW w:type="dxa" w:w="255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86,734</w:t>
            </w:r>
          </w:p>
        </w:tc>
      </w:tr>
    </w:tbl>
    <w:p>
      <w:pPr>
        <w:spacing w:after="20" w:line="20" w:lineRule="exact"/>
      </w:pPr>
      <w:r>
        <w:rPr>
          <w:rFonts w:ascii="Arial" w:hAnsi="Arial" w:eastAsia="Songti SC"/>
          <w:b w:val="0"/>
          <w:color w:val="000000"/>
          <w:sz w:val="2"/>
        </w:rPr>
      </w:r>
    </w:p>
    <w:p>
      <w:pPr>
        <w:spacing w:after="100"/>
      </w:pPr>
      <w:r>
        <w:rPr>
          <w:rFonts w:ascii="Arial" w:hAnsi="Arial" w:eastAsia="Songti SC"/>
          <w:b w:val="0"/>
          <w:color w:val="000000"/>
          <w:sz w:val="18"/>
        </w:rPr>
        <w:t>来源 S49。K=1024；吞吐由新增 token 数÷步时折算。vLLM 为 100 次 forward replay 的中位数、取最慢 rank，再对两次运行求均值。DI 数值取自 vLLM 图源中的参考数组，并非 DI 原始日志。</w:t>
      </w:r>
    </w:p>
    <w:p>
      <w:r>
        <w:rPr>
          <w:rFonts w:ascii="Arial" w:hAnsi="Arial" w:eastAsia="Songti SC"/>
          <w:b w:val="0"/>
          <w:color w:val="000000"/>
          <w:sz w:val="22"/>
        </w:rPr>
        <w:t>读图结论：vLLM 已达到相近量级；曲线间距不能作为纯框架加速比。硬件信息、并行、冗余专家、重放长度和输入结构均有差别，本表不据此计算引擎提升百分比。</w:t>
      </w:r>
    </w:p>
    <w:p>
      <w:r>
        <w:br w:type="page"/>
      </w:r>
    </w:p>
    <w:p>
      <w:pPr>
        <w:pStyle w:val="Heading2"/>
      </w:pPr>
      <w:r>
        <w:t>6.3 SGLang Prefill 同硬件重跑结果</w:t>
      </w:r>
    </w:p>
    <w:p>
      <w:r>
        <w:rPr>
          <w:rFonts w:ascii="Arial" w:hAnsi="Arial" w:eastAsia="Songti SC"/>
          <w:b w:val="0"/>
          <w:color w:val="000000"/>
          <w:sz w:val="22"/>
        </w:rPr>
        <w:t>同一节点分别运行两套引擎，GB300 与 B300 各 4 卡、DP4/EP4；128K 上下文，每个请求含 4K 新 token。强制均衡、EPLB 关闭，32 个冗余专家；DI 每点取已测试配置中最快者。[S40–S41]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25282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-sglang-prefil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28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Songti SC"/>
          <w:b w:val="0"/>
          <w:color w:val="000000"/>
          <w:sz w:val="18"/>
        </w:rPr>
        <w:t>图 12  据 SGLang 官方实测表重绘  两个平台分别比较  吞吐由每步新增 token 数和原始步时折算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1361"/>
        <w:gridCol w:w="1361"/>
        <w:gridCol w:w="1417"/>
        <w:gridCol w:w="1361"/>
        <w:gridCol w:w="1361"/>
        <w:gridCol w:w="1417"/>
      </w:tblGrid>
      <w:tr>
        <w:trPr>
          <w:cantSplit/>
          <w:tblHeader/>
        </w:trPr>
        <w:tc>
          <w:tcPr>
            <w:tcW w:type="dxa" w:w="1304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新增 token</w:t>
              <w:br/>
              <w:t>每 GPU 每步</w:t>
            </w:r>
          </w:p>
        </w:tc>
        <w:tc>
          <w:tcPr>
            <w:tcW w:type="dxa" w:w="136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GB300</w:t>
              <w:br/>
              <w:t>SG 步时 ms</w:t>
            </w:r>
          </w:p>
        </w:tc>
        <w:tc>
          <w:tcPr>
            <w:tcW w:type="dxa" w:w="136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GB300</w:t>
              <w:br/>
              <w:t>DI 步时 ms</w:t>
            </w:r>
          </w:p>
        </w:tc>
        <w:tc>
          <w:tcPr>
            <w:tcW w:type="dxa" w:w="1417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GB300</w:t>
              <w:br/>
              <w:t>SG 吞吐比</w:t>
            </w:r>
          </w:p>
        </w:tc>
        <w:tc>
          <w:tcPr>
            <w:tcW w:type="dxa" w:w="136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B300</w:t>
              <w:br/>
              <w:t>SG 步时 ms</w:t>
            </w:r>
          </w:p>
        </w:tc>
        <w:tc>
          <w:tcPr>
            <w:tcW w:type="dxa" w:w="136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B300</w:t>
              <w:br/>
              <w:t>DI 步时 ms</w:t>
            </w:r>
          </w:p>
        </w:tc>
        <w:tc>
          <w:tcPr>
            <w:tcW w:type="dxa" w:w="1417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B300</w:t>
              <w:br/>
              <w:t>SG 吞吐比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4K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57.93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60.18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1.039×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60.34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62.69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1.039×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8K</w:t>
            </w:r>
          </w:p>
        </w:tc>
        <w:tc>
          <w:tcPr>
            <w:tcW w:type="dxa" w:w="136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89.22</w:t>
            </w:r>
          </w:p>
        </w:tc>
        <w:tc>
          <w:tcPr>
            <w:tcW w:type="dxa" w:w="136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88.68</w:t>
            </w:r>
          </w:p>
        </w:tc>
        <w:tc>
          <w:tcPr>
            <w:tcW w:type="dxa" w:w="1417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0.994×</w:t>
            </w:r>
          </w:p>
        </w:tc>
        <w:tc>
          <w:tcPr>
            <w:tcW w:type="dxa" w:w="136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102.68</w:t>
            </w:r>
          </w:p>
        </w:tc>
        <w:tc>
          <w:tcPr>
            <w:tcW w:type="dxa" w:w="136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105.23</w:t>
            </w:r>
          </w:p>
        </w:tc>
        <w:tc>
          <w:tcPr>
            <w:tcW w:type="dxa" w:w="1417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1.025×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16K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160.55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160.79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1.001×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190.17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189.62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0.997×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32K</w:t>
            </w:r>
          </w:p>
        </w:tc>
        <w:tc>
          <w:tcPr>
            <w:tcW w:type="dxa" w:w="136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308.85</w:t>
            </w:r>
          </w:p>
        </w:tc>
        <w:tc>
          <w:tcPr>
            <w:tcW w:type="dxa" w:w="136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319.61</w:t>
            </w:r>
          </w:p>
        </w:tc>
        <w:tc>
          <w:tcPr>
            <w:tcW w:type="dxa" w:w="1417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1.035×</w:t>
            </w:r>
          </w:p>
        </w:tc>
        <w:tc>
          <w:tcPr>
            <w:tcW w:type="dxa" w:w="136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368.12</w:t>
            </w:r>
          </w:p>
        </w:tc>
        <w:tc>
          <w:tcPr>
            <w:tcW w:type="dxa" w:w="136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373.61</w:t>
            </w:r>
          </w:p>
        </w:tc>
        <w:tc>
          <w:tcPr>
            <w:tcW w:type="dxa" w:w="1417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1.015×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64K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602.33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614.74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1.021×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723.70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724.51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1.001×</w:t>
            </w:r>
          </w:p>
        </w:tc>
      </w:tr>
    </w:tbl>
    <w:p>
      <w:pPr>
        <w:spacing w:after="20" w:line="20" w:lineRule="exact"/>
      </w:pPr>
      <w:r>
        <w:rPr>
          <w:rFonts w:ascii="Arial" w:hAnsi="Arial" w:eastAsia="Songti SC"/>
          <w:b w:val="0"/>
          <w:color w:val="000000"/>
          <w:sz w:val="2"/>
        </w:rPr>
      </w:r>
    </w:p>
    <w:p>
      <w:pPr>
        <w:spacing w:after="100"/>
      </w:pPr>
      <w:r>
        <w:rPr>
          <w:rFonts w:ascii="Arial" w:hAnsi="Arial" w:eastAsia="Songti SC"/>
          <w:b w:val="0"/>
          <w:color w:val="000000"/>
          <w:sz w:val="18"/>
        </w:rPr>
        <w:t>来源 S41 的 Measured 表。SG=SGLang；吞吐比=DI 步时÷SG 步时，&gt;1 表示 SG 吞吐较高。DI 的 host/GPU Engram 与调优配置按每点择优；其约 9 批 GPU 0 计时与 SG 多 GPU 稳定窗口统计不同。</w:t>
      </w:r>
    </w:p>
    <w:p>
      <w:r>
        <w:rPr>
          <w:rFonts w:ascii="Arial" w:hAnsi="Arial" w:eastAsia="Songti SC"/>
          <w:b w:val="0"/>
          <w:color w:val="000000"/>
          <w:sz w:val="22"/>
        </w:rPr>
        <w:t>读图结论：两平台最大吞吐比均约 1.039×，其余点也接近。8K GB300 和 16K B300 点 SGLang 略慢，不能把“最高约快 4%”读成所有批量都快 4%。</w:t>
      </w:r>
    </w:p>
    <w:p>
      <w:pPr>
        <w:spacing w:after="100"/>
      </w:pPr>
      <w:r>
        <w:rPr>
          <w:rFonts w:ascii="Arial" w:hAnsi="Arial" w:eastAsia="Songti SC"/>
          <w:b w:val="0"/>
          <w:color w:val="000000"/>
          <w:sz w:val="18"/>
        </w:rPr>
        <w:t>版本：SG Prefill 7d996300b9，DI 774ce24。此处仅用双方重跑的实测表，不混入官方原图中来自旧曲线读数的 Published 虚线。</w:t>
      </w:r>
    </w:p>
    <w:p>
      <w:r>
        <w:br w:type="page"/>
      </w:r>
    </w:p>
    <w:p>
      <w:pPr>
        <w:pStyle w:val="Heading2"/>
      </w:pPr>
      <w:r>
        <w:t>6.4 SGLang Decode 同硬件重跑结果</w:t>
      </w:r>
    </w:p>
    <w:p>
      <w:r>
        <w:rPr>
          <w:rFonts w:ascii="Arial" w:hAnsi="Arial" w:eastAsia="Songti SC"/>
          <w:b w:val="0"/>
          <w:color w:val="000000"/>
          <w:sz w:val="22"/>
        </w:rPr>
        <w:t>双方均在 64 张 GB300 上采用 DP64/EP64，128K 上下文与共享缓存前缀；固定并发、静态验证 3 个草稿 token、强制专家均衡。右图统一按 3.25 接受 token/步换算吞吐。[S40–S41]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252826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-sglang-decod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28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Songti SC"/>
          <w:b w:val="0"/>
          <w:color w:val="000000"/>
          <w:sz w:val="18"/>
        </w:rPr>
        <w:t>图 13  官方实测步时及折算吞吐  步时是原始表指标  右图不是自然接受率下另测的生产吞吐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1701"/>
        <w:gridCol w:w="243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请求</w:t>
              <w:br/>
              <w:t>每 GPU</w:t>
            </w:r>
          </w:p>
        </w:tc>
        <w:tc>
          <w:tcPr>
            <w:tcW w:type="dxa" w:w="170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DI 步时</w:t>
              <w:br/>
              <w:t>ms/step</w:t>
            </w:r>
          </w:p>
        </w:tc>
        <w:tc>
          <w:tcPr>
            <w:tcW w:type="dxa" w:w="170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SG 步时</w:t>
              <w:br/>
              <w:t>ms/step</w:t>
            </w:r>
          </w:p>
        </w:tc>
        <w:tc>
          <w:tcPr>
            <w:tcW w:type="dxa" w:w="2438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SG 步时变化</w:t>
              <w:br/>
              <w:t>以 DI 为分母</w:t>
            </w:r>
          </w:p>
        </w:tc>
        <w:tc>
          <w:tcPr>
            <w:tcW w:type="dxa" w:w="2608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SG 折算吞吐比</w:t>
              <w:br/>
              <w:t>SG ÷ DI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9.37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9.41</w:t>
            </w:r>
          </w:p>
        </w:tc>
        <w:tc>
          <w:tcPr>
            <w:tcW w:type="dxa" w:w="243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+0.43%</w:t>
            </w:r>
          </w:p>
        </w:tc>
        <w:tc>
          <w:tcPr>
            <w:tcW w:type="dxa" w:w="260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0.996×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70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9.82</w:t>
            </w:r>
          </w:p>
        </w:tc>
        <w:tc>
          <w:tcPr>
            <w:tcW w:type="dxa" w:w="170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9.71</w:t>
            </w:r>
          </w:p>
        </w:tc>
        <w:tc>
          <w:tcPr>
            <w:tcW w:type="dxa" w:w="243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-1.12%</w:t>
            </w:r>
          </w:p>
        </w:tc>
        <w:tc>
          <w:tcPr>
            <w:tcW w:type="dxa" w:w="260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1.011×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10.69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10.33</w:t>
            </w:r>
          </w:p>
        </w:tc>
        <w:tc>
          <w:tcPr>
            <w:tcW w:type="dxa" w:w="243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-3.37%</w:t>
            </w:r>
          </w:p>
        </w:tc>
        <w:tc>
          <w:tcPr>
            <w:tcW w:type="dxa" w:w="260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1.035×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170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13.27</w:t>
            </w:r>
          </w:p>
        </w:tc>
        <w:tc>
          <w:tcPr>
            <w:tcW w:type="dxa" w:w="170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12.64</w:t>
            </w:r>
          </w:p>
        </w:tc>
        <w:tc>
          <w:tcPr>
            <w:tcW w:type="dxa" w:w="243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-4.75%</w:t>
            </w:r>
          </w:p>
        </w:tc>
        <w:tc>
          <w:tcPr>
            <w:tcW w:type="dxa" w:w="260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1.050×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18.61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18.27</w:t>
            </w:r>
          </w:p>
        </w:tc>
        <w:tc>
          <w:tcPr>
            <w:tcW w:type="dxa" w:w="243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-1.83%</w:t>
            </w:r>
          </w:p>
        </w:tc>
        <w:tc>
          <w:tcPr>
            <w:tcW w:type="dxa" w:w="260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1.019×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256</w:t>
            </w:r>
          </w:p>
        </w:tc>
        <w:tc>
          <w:tcPr>
            <w:tcW w:type="dxa" w:w="170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31.19</w:t>
            </w:r>
          </w:p>
        </w:tc>
        <w:tc>
          <w:tcPr>
            <w:tcW w:type="dxa" w:w="170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28.88</w:t>
            </w:r>
          </w:p>
        </w:tc>
        <w:tc>
          <w:tcPr>
            <w:tcW w:type="dxa" w:w="243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-7.41%</w:t>
            </w:r>
          </w:p>
        </w:tc>
        <w:tc>
          <w:tcPr>
            <w:tcW w:type="dxa" w:w="260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1.080×</w:t>
            </w:r>
          </w:p>
        </w:tc>
      </w:tr>
    </w:tbl>
    <w:p>
      <w:pPr>
        <w:spacing w:after="20" w:line="20" w:lineRule="exact"/>
      </w:pPr>
      <w:r>
        <w:rPr>
          <w:rFonts w:ascii="Arial" w:hAnsi="Arial" w:eastAsia="Songti SC"/>
          <w:b w:val="0"/>
          <w:color w:val="000000"/>
          <w:sz w:val="2"/>
        </w:rPr>
      </w:r>
    </w:p>
    <w:p>
      <w:pPr>
        <w:spacing w:after="100"/>
      </w:pPr>
      <w:r>
        <w:rPr>
          <w:rFonts w:ascii="Arial" w:hAnsi="Arial" w:eastAsia="Songti SC"/>
          <w:b w:val="0"/>
          <w:color w:val="000000"/>
          <w:sz w:val="18"/>
        </w:rPr>
        <w:t>来源 S41。SG 步时变化=(SG÷DI−1)×100%，负值表示 SG 较短；同接受量下吞吐比=DI 步时÷SG 步时。SG Engram 在 GPU，DI 在主机；草稿冗余专家数也不同。</w:t>
      </w:r>
    </w:p>
    <w:p>
      <w:r>
        <w:rPr>
          <w:rFonts w:ascii="Arial" w:hAnsi="Arial" w:eastAsia="Songti SC"/>
          <w:b w:val="0"/>
          <w:color w:val="000000"/>
          <w:sz w:val="22"/>
        </w:rPr>
        <w:t>读图结论：每卡 8 请求时 SG 步时略长，16–256 请求时短 1.1%–7.4%；最后一点对应约 8.0% 的折算吞吐提升。固定批次对比不验证实际 EPLB、真实投机质量或完整在线服务。</w:t>
      </w:r>
    </w:p>
    <w:p>
      <w:pPr>
        <w:spacing w:after="100"/>
      </w:pPr>
      <w:r>
        <w:rPr>
          <w:rFonts w:ascii="Arial" w:hAnsi="Arial" w:eastAsia="Songti SC"/>
          <w:b w:val="0"/>
          <w:color w:val="000000"/>
          <w:sz w:val="18"/>
        </w:rPr>
        <w:t>版本：SG Decode 3b95120f00，DI 774ce24。双方由 SGLang 团队重跑；虽使用服务接口发请求，测量仍针对稳定批次的引擎步时。</w:t>
      </w:r>
    </w:p>
    <w:p>
      <w:r>
        <w:br w:type="page"/>
      </w:r>
    </w:p>
    <w:p>
      <w:pPr>
        <w:pStyle w:val="Heading2"/>
      </w:pPr>
      <w:r>
        <w:t>6.5 内部 A5 端到端结果与完整数值</w:t>
      </w:r>
    </w:p>
    <w:p>
      <w:r>
        <w:rPr>
          <w:rFonts w:ascii="Arial" w:hAnsi="Arial" w:eastAsia="Songti SC"/>
          <w:b w:val="0"/>
          <w:color w:val="000000"/>
          <w:sz w:val="22"/>
        </w:rPr>
        <w:t>内部图表称为端到端对比，其实际边界为 D 节点满载：输入 128K、输出 1K、DP32/EP32；vLLM-Ascend 使用 P/D，DI 使用纯模型模式。双方强制均衡，投机步数 5，图中标注每步接受 5.1 token。[S03]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25282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-internal-deco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28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Songti SC"/>
          <w:b w:val="0"/>
          <w:color w:val="000000"/>
          <w:sz w:val="18"/>
        </w:rPr>
        <w:t>图 14  据内部 A5 截图逐点重绘  DI 保留原列名 τ5.1  vLLM-Ascend 保留原列名实测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361"/>
        <w:gridCol w:w="1587"/>
        <w:gridCol w:w="1871"/>
        <w:gridCol w:w="1871"/>
        <w:gridCol w:w="1757"/>
      </w:tblGrid>
      <w:tr>
        <w:trPr>
          <w:cantSplit/>
          <w:tblHeader/>
        </w:trPr>
        <w:tc>
          <w:tcPr>
            <w:tcW w:type="dxa" w:w="1134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总并发</w:t>
            </w:r>
          </w:p>
        </w:tc>
        <w:tc>
          <w:tcPr>
            <w:tcW w:type="dxa" w:w="136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DI TPOT</w:t>
              <w:br/>
              <w:t>ms</w:t>
            </w:r>
          </w:p>
        </w:tc>
        <w:tc>
          <w:tcPr>
            <w:tcW w:type="dxa" w:w="1587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vLLM-A TPOT</w:t>
              <w:br/>
              <w:t>ms</w:t>
            </w:r>
          </w:p>
        </w:tc>
        <w:tc>
          <w:tcPr>
            <w:tcW w:type="dxa" w:w="187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DI 吞吐</w:t>
              <w:br/>
              <w:t>token/s/卡</w:t>
            </w:r>
          </w:p>
        </w:tc>
        <w:tc>
          <w:tcPr>
            <w:tcW w:type="dxa" w:w="187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vLLM-A 吞吐</w:t>
              <w:br/>
              <w:t>token/s/卡</w:t>
            </w:r>
          </w:p>
        </w:tc>
        <w:tc>
          <w:tcPr>
            <w:tcW w:type="dxa" w:w="1757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原表吞吐比</w:t>
              <w:br/>
              <w:t>vLLM-A ÷ DI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256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4.31</w:t>
            </w:r>
          </w:p>
        </w:tc>
        <w:tc>
          <w:tcPr>
            <w:tcW w:type="dxa" w:w="1587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4.61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1858.1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1736.1</w:t>
            </w:r>
          </w:p>
        </w:tc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0.93×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384</w:t>
            </w:r>
          </w:p>
        </w:tc>
        <w:tc>
          <w:tcPr>
            <w:tcW w:type="dxa" w:w="136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4.65</w:t>
            </w:r>
          </w:p>
        </w:tc>
        <w:tc>
          <w:tcPr>
            <w:tcW w:type="dxa" w:w="1587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4.20</w:t>
            </w:r>
          </w:p>
        </w:tc>
        <w:tc>
          <w:tcPr>
            <w:tcW w:type="dxa" w:w="187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2581.7</w:t>
            </w:r>
          </w:p>
        </w:tc>
        <w:tc>
          <w:tcPr>
            <w:tcW w:type="dxa" w:w="187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2856.5</w:t>
            </w:r>
          </w:p>
        </w:tc>
        <w:tc>
          <w:tcPr>
            <w:tcW w:type="dxa" w:w="1757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1.11×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512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4.89</w:t>
            </w:r>
          </w:p>
        </w:tc>
        <w:tc>
          <w:tcPr>
            <w:tcW w:type="dxa" w:w="1587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4.93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3270.4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3247.7</w:t>
            </w:r>
          </w:p>
        </w:tc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0.99×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1024</w:t>
            </w:r>
          </w:p>
        </w:tc>
        <w:tc>
          <w:tcPr>
            <w:tcW w:type="dxa" w:w="136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6.48</w:t>
            </w:r>
          </w:p>
        </w:tc>
        <w:tc>
          <w:tcPr>
            <w:tcW w:type="dxa" w:w="1587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6.50</w:t>
            </w:r>
          </w:p>
        </w:tc>
        <w:tc>
          <w:tcPr>
            <w:tcW w:type="dxa" w:w="187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4938.9</w:t>
            </w:r>
          </w:p>
        </w:tc>
        <w:tc>
          <w:tcPr>
            <w:tcW w:type="dxa" w:w="187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4924.2</w:t>
            </w:r>
          </w:p>
        </w:tc>
        <w:tc>
          <w:tcPr>
            <w:tcW w:type="dxa" w:w="1757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1.00×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1536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8.45</w:t>
            </w:r>
          </w:p>
        </w:tc>
        <w:tc>
          <w:tcPr>
            <w:tcW w:type="dxa" w:w="1587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8.56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5682.1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5606.0</w:t>
            </w:r>
          </w:p>
        </w:tc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0.99×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2048</w:t>
            </w:r>
          </w:p>
        </w:tc>
        <w:tc>
          <w:tcPr>
            <w:tcW w:type="dxa" w:w="136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9.62</w:t>
            </w:r>
          </w:p>
        </w:tc>
        <w:tc>
          <w:tcPr>
            <w:tcW w:type="dxa" w:w="1587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10.35</w:t>
            </w:r>
          </w:p>
        </w:tc>
        <w:tc>
          <w:tcPr>
            <w:tcW w:type="dxa" w:w="187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6650.3</w:t>
            </w:r>
          </w:p>
        </w:tc>
        <w:tc>
          <w:tcPr>
            <w:tcW w:type="dxa" w:w="187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6181.6</w:t>
            </w:r>
          </w:p>
        </w:tc>
        <w:tc>
          <w:tcPr>
            <w:tcW w:type="dxa" w:w="1757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0.93×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2560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11.44</w:t>
            </w:r>
          </w:p>
        </w:tc>
        <w:tc>
          <w:tcPr>
            <w:tcW w:type="dxa" w:w="1587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12.28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6993.1</w:t>
            </w:r>
          </w:p>
        </w:tc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6513.1</w:t>
            </w:r>
          </w:p>
        </w:tc>
        <w:tc>
          <w:tcPr>
            <w:tcW w:type="dxa" w:w="1757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0.93×</w:t>
            </w:r>
          </w:p>
        </w:tc>
      </w:tr>
    </w:tbl>
    <w:p>
      <w:pPr>
        <w:spacing w:after="20" w:line="20" w:lineRule="exact"/>
      </w:pPr>
      <w:r>
        <w:rPr>
          <w:rFonts w:ascii="Arial" w:hAnsi="Arial" w:eastAsia="Songti SC"/>
          <w:b w:val="0"/>
          <w:color w:val="000000"/>
          <w:sz w:val="2"/>
        </w:rPr>
      </w:r>
    </w:p>
    <w:p>
      <w:pPr>
        <w:spacing w:after="100"/>
      </w:pPr>
      <w:r>
        <w:rPr>
          <w:rFonts w:ascii="Arial" w:hAnsi="Arial" w:eastAsia="Songti SC"/>
          <w:b w:val="0"/>
          <w:color w:val="000000"/>
          <w:sz w:val="18"/>
        </w:rPr>
        <w:t>来源 S03 图 1，原值转录；vLLM-A=vLLM-Ascend。TPOT 与吞吐近似满足同一 32 卡换算关系，不是两份独立证据。τ5.1 与“实测”的具体计量方式仍需结合原日志确认。</w:t>
      </w:r>
    </w:p>
    <w:p>
      <w:r>
        <w:rPr>
          <w:rFonts w:ascii="Arial" w:hAnsi="Arial" w:eastAsia="Songti SC"/>
          <w:b w:val="0"/>
          <w:color w:val="000000"/>
          <w:sz w:val="22"/>
        </w:rPr>
        <w:t>读图结论：以 vLLM-A 为分母，DI 吞吐差异为 −9.62% 至 +7.58%。反向计算，384 并发时 vLLM-A 高约 10.64%；因此“10%以内”必须说明分母。两者在本组工作点接近，优势随并发变化。</w:t>
      </w:r>
    </w:p>
    <w:p>
      <w:r>
        <w:br w:type="page"/>
      </w:r>
    </w:p>
    <w:p>
      <w:pPr>
        <w:pStyle w:val="Heading2"/>
      </w:pPr>
      <w:r>
        <w:t>6.6 内部 A5 profiling 全部计算区间</w:t>
      </w:r>
    </w:p>
    <w:p>
      <w:r>
        <w:rPr>
          <w:rFonts w:ascii="Arial" w:hAnsi="Arial" w:eastAsia="Songti SC"/>
          <w:b w:val="0"/>
          <w:color w:val="000000"/>
          <w:sz w:val="22"/>
        </w:rPr>
        <w:t>下面保留内部表的全部 7 个区间及数值。原表两列 kernel 耗时没有标单位，故图中使用无量纲比值；末列 ms/step 及正负号按原表保留，不把推断单位写成实测单位。[S03]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270177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-internal-profi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701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" w:hAnsi="Arial" w:eastAsia="Songti SC"/>
          <w:b w:val="0"/>
          <w:color w:val="000000"/>
          <w:sz w:val="18"/>
        </w:rPr>
        <w:t>图 15  局部耗时比  虚线为两者相等  每行独立比较  不代表整步关键路径耗时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474"/>
        <w:gridCol w:w="1701"/>
        <w:gridCol w:w="1814"/>
        <w:gridCol w:w="2154"/>
      </w:tblGrid>
      <w:tr>
        <w:trPr>
          <w:cantSplit/>
          <w:tblHeader/>
        </w:trPr>
        <w:tc>
          <w:tcPr>
            <w:tcW w:type="dxa" w:w="2438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计算区间</w:t>
            </w:r>
          </w:p>
        </w:tc>
        <w:tc>
          <w:tcPr>
            <w:tcW w:type="dxa" w:w="1474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DI 原表</w:t>
              <w:br/>
              <w:t>耗时数值</w:t>
            </w:r>
          </w:p>
        </w:tc>
        <w:tc>
          <w:tcPr>
            <w:tcW w:type="dxa" w:w="170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vLLM-A 原表</w:t>
              <w:br/>
              <w:t>耗时数值</w:t>
            </w:r>
          </w:p>
        </w:tc>
        <w:tc>
          <w:tcPr>
            <w:tcW w:type="dxa" w:w="1814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耗时比</w:t>
              <w:br/>
              <w:t>DI ÷ vLLM-A</w:t>
            </w:r>
          </w:p>
        </w:tc>
        <w:tc>
          <w:tcPr>
            <w:tcW w:type="dxa" w:w="2154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原表差值</w:t>
              <w:br/>
              <w:t>ms/step</w:t>
              <w:br/>
              <w:t>vLLM-A − DI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mHC Pre</w:t>
            </w:r>
          </w:p>
        </w:tc>
        <w:tc>
          <w:tcPr>
            <w:tcW w:type="dxa" w:w="147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47.46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32.25</w:t>
            </w:r>
          </w:p>
        </w:tc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1.472×</w:t>
            </w:r>
          </w:p>
        </w:tc>
        <w:tc>
          <w:tcPr>
            <w:tcW w:type="dxa" w:w="215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-1.309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mHC Post</w:t>
            </w:r>
          </w:p>
        </w:tc>
        <w:tc>
          <w:tcPr>
            <w:tcW w:type="dxa" w:w="147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16.23</w:t>
            </w:r>
          </w:p>
        </w:tc>
        <w:tc>
          <w:tcPr>
            <w:tcW w:type="dxa" w:w="170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21.81</w:t>
            </w:r>
          </w:p>
        </w:tc>
        <w:tc>
          <w:tcPr>
            <w:tcW w:type="dxa" w:w="181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0.744×</w:t>
            </w:r>
          </w:p>
        </w:tc>
        <w:tc>
          <w:tcPr>
            <w:tcW w:type="dxa" w:w="215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+0.480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MoE 路由</w:t>
              <w:br/>
              <w:t>主模型 40 层</w:t>
            </w:r>
          </w:p>
        </w:tc>
        <w:tc>
          <w:tcPr>
            <w:tcW w:type="dxa" w:w="147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23.71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32.09</w:t>
            </w:r>
          </w:p>
        </w:tc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0.739×</w:t>
            </w:r>
          </w:p>
        </w:tc>
        <w:tc>
          <w:tcPr>
            <w:tcW w:type="dxa" w:w="215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+0.335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QLI score + TopK</w:t>
            </w:r>
          </w:p>
        </w:tc>
        <w:tc>
          <w:tcPr>
            <w:tcW w:type="dxa" w:w="147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346.93</w:t>
            </w:r>
          </w:p>
        </w:tc>
        <w:tc>
          <w:tcPr>
            <w:tcW w:type="dxa" w:w="170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480.62</w:t>
            </w:r>
          </w:p>
        </w:tc>
        <w:tc>
          <w:tcPr>
            <w:tcW w:type="dxa" w:w="181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0.722×</w:t>
            </w:r>
          </w:p>
        </w:tc>
        <w:tc>
          <w:tcPr>
            <w:tcW w:type="dxa" w:w="215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+1.070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FlashMLA 压缩注意力</w:t>
            </w:r>
          </w:p>
        </w:tc>
        <w:tc>
          <w:tcPr>
            <w:tcW w:type="dxa" w:w="147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148.48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191.62</w:t>
            </w:r>
          </w:p>
        </w:tc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0.775×</w:t>
            </w:r>
          </w:p>
        </w:tc>
        <w:tc>
          <w:tcPr>
            <w:tcW w:type="dxa" w:w="215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+1.639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完整 MoE</w:t>
              <w:br/>
              <w:t>主模型 40 层</w:t>
            </w:r>
          </w:p>
        </w:tc>
        <w:tc>
          <w:tcPr>
            <w:tcW w:type="dxa" w:w="147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490.82</w:t>
            </w:r>
          </w:p>
        </w:tc>
        <w:tc>
          <w:tcPr>
            <w:tcW w:type="dxa" w:w="170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802.72</w:t>
            </w:r>
          </w:p>
        </w:tc>
        <w:tc>
          <w:tcPr>
            <w:tcW w:type="dxa" w:w="181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0.611×</w:t>
            </w:r>
          </w:p>
        </w:tc>
        <w:tc>
          <w:tcPr>
            <w:tcW w:type="dxa" w:w="215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+12.476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完整 MoE</w:t>
              <w:br/>
              <w:t>草稿模型 3 层</w:t>
            </w:r>
          </w:p>
        </w:tc>
        <w:tc>
          <w:tcPr>
            <w:tcW w:type="dxa" w:w="147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1250.75</w:t>
            </w:r>
          </w:p>
        </w:tc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444.86</w:t>
            </w:r>
          </w:p>
        </w:tc>
        <w:tc>
          <w:tcPr>
            <w:tcW w:type="dxa" w:w="181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2.812×</w:t>
            </w:r>
          </w:p>
        </w:tc>
        <w:tc>
          <w:tcPr>
            <w:tcW w:type="dxa" w:w="215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-2.418</w:t>
            </w:r>
          </w:p>
        </w:tc>
      </w:tr>
    </w:tbl>
    <w:p>
      <w:pPr>
        <w:spacing w:after="20" w:line="20" w:lineRule="exact"/>
      </w:pPr>
      <w:r>
        <w:rPr>
          <w:rFonts w:ascii="Arial" w:hAnsi="Arial" w:eastAsia="Songti SC"/>
          <w:b w:val="0"/>
          <w:color w:val="000000"/>
          <w:sz w:val="2"/>
        </w:rPr>
      </w:r>
    </w:p>
    <w:p>
      <w:pPr>
        <w:spacing w:after="100"/>
      </w:pPr>
      <w:r>
        <w:rPr>
          <w:rFonts w:ascii="Arial" w:hAnsi="Arial" w:eastAsia="Songti SC"/>
          <w:b w:val="0"/>
          <w:color w:val="000000"/>
          <w:sz w:val="18"/>
        </w:rPr>
        <w:t>来源 S03 图 2。两耗时列单位未注明；末列正值表示 DI 在该区间耗时较低。完整 MoE 已含 router，单列路由可能与之重叠；原图也未给 profiling 并发，不能将各行相加或映射到图 14 的某个点。</w:t>
      </w:r>
    </w:p>
    <w:p>
      <w:r>
        <w:rPr>
          <w:rFonts w:ascii="Arial" w:hAnsi="Arial" w:eastAsia="Songti SC"/>
          <w:b w:val="0"/>
          <w:color w:val="000000"/>
          <w:sz w:val="22"/>
        </w:rPr>
        <w:t>读图结论：主模型完整 MoE 的 DI 耗时低约 38.86%，草稿完整 MoE 却为 vLLM-A 的约 2.812 倍。</w:t>
      </w:r>
      <w:r>
        <w:rPr>
          <w:rFonts w:ascii="Arial" w:hAnsi="Arial" w:eastAsia="Heiti SC"/>
          <w:b/>
          <w:color w:val="000000"/>
          <w:sz w:val="22"/>
        </w:rPr>
        <w:t>12.476 是 ms/step，不是 12%。</w:t>
      </w:r>
      <w:r>
        <w:rPr>
          <w:rFonts w:ascii="Arial" w:hAnsi="Arial" w:eastAsia="Songti SC"/>
          <w:b w:val="0"/>
          <w:color w:val="000000"/>
          <w:sz w:val="22"/>
        </w:rPr>
        <w:t>优化应分主模型和草稿路径验证。</w:t>
      </w:r>
    </w:p>
    <w:p>
      <w:r>
        <w:br w:type="page"/>
      </w:r>
    </w:p>
    <w:p>
      <w:pPr>
        <w:pStyle w:val="Heading2"/>
      </w:pPr>
      <w:r>
        <w:t>6.7 三组实验的点评与证据边界</w:t>
      </w: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三组结果都具有参考价值，但回答的问题不同。</w:t>
      </w:r>
      <w:r>
        <w:rPr>
          <w:rFonts w:ascii="Arial" w:hAnsi="Arial" w:eastAsia="Songti SC"/>
          <w:b w:val="0"/>
          <w:color w:val="000000"/>
          <w:sz w:val="22"/>
        </w:rPr>
        <w:t>比较框架自身效率，需要尽量固定硬件和执行条件；比较部署方案，可以让各自选择最优配置，但必须统一业务、质量、服务目标和成本核算。公开曲线对照主要用于判断技术是否可达，不能承担前两种实验的全部结论。</w:t>
      </w:r>
    </w:p>
    <w:p>
      <w:pPr>
        <w:pStyle w:val="Heading3"/>
      </w:pPr>
      <w:r>
        <w:t>vLLM 展示了接近公开曲线的实现路径</w:t>
      </w:r>
    </w:p>
    <w:p>
      <w:r>
        <w:rPr>
          <w:rFonts w:ascii="Arial" w:hAnsi="Arial" w:eastAsia="Songti SC"/>
          <w:b w:val="0"/>
          <w:color w:val="000000"/>
          <w:sz w:val="22"/>
        </w:rPr>
        <w:t>作者以 DeepInfer 的公开曲线作为参照，并展示 vLLM 的在线扩展能力。Prefill 原文明确承认条件不同，不据此计算框架加速比。对硬件应表述为“未充分对齐”：vLLM 指明 GB200 或 GB300，DI 参考仅说明 SM100，无法确认具体型号相同。把这一结果称为严格同硬件胜负对比，证据不足。[S39、S48–S50]</w:t>
      </w:r>
    </w:p>
    <w:p>
      <w:r>
        <w:rPr>
          <w:rFonts w:ascii="Arial" w:hAnsi="Arial" w:eastAsia="Songti SC"/>
          <w:b w:val="0"/>
          <w:color w:val="000000"/>
          <w:sz w:val="22"/>
        </w:rPr>
        <w:t>Decode 的 32 卡与 64 卡即使都折算成每卡吞吐，专家驻留量、通信和总并发仍不同。相同每卡请求数下，64 卡的总请求数约为 32 卡的两倍，因此不能解读成“vLLM 用一半卡提供相同总容量”。其价值在于展示一条可实现的优化路线；是否具有相同成本，要另行测量。</w:t>
      </w:r>
    </w:p>
    <w:p>
      <w:pPr>
        <w:pStyle w:val="Heading3"/>
      </w:pPr>
      <w:r>
        <w:t>SGLang 是同硬件执行性能接近的较强证据</w:t>
      </w:r>
    </w:p>
    <w:p>
      <w:r>
        <w:rPr>
          <w:rFonts w:ascii="Arial" w:hAnsi="Arial" w:eastAsia="Songti SC"/>
          <w:b w:val="0"/>
          <w:color w:val="000000"/>
          <w:sz w:val="22"/>
        </w:rPr>
        <w:t>同机器重跑、相同权重和并行规模，使其比公开曲线对照更接近直接实验。DI Prefill 每个点还取已测试配置中的最快者，避免仅选择较慢基线。不过双方计时窗口与输入内容仍有差别；Decode 的 Engram 位置和草稿冗余专家数量也不同。后者是物理副本配置差异，并非模型语义不同。[S40–S41]</w:t>
      </w:r>
    </w:p>
    <w:p>
      <w:r>
        <w:rPr>
          <w:rFonts w:ascii="Arial" w:hAnsi="Arial" w:eastAsia="Songti SC"/>
          <w:b w:val="0"/>
          <w:color w:val="000000"/>
          <w:sz w:val="22"/>
        </w:rPr>
        <w:t>固定批次与强制均衡适合比较执行步时，不能验证线上 EPLB 和缓存容量影响。Engram 放在设备会占用 HBM，放在主机有读取成本，最优选择可能随业务变化。SG 模拟每步接受 3.25 token，DI 使用实际接受结果，图轴统一按 3.25 折算；完整静态验证使步时可比，但未证明真实接受率相同。[S41]</w:t>
      </w:r>
    </w:p>
    <w:p>
      <w:pPr>
        <w:pStyle w:val="Heading3"/>
      </w:pPr>
      <w:r>
        <w:t>内部 A5 结果最直接服务于本团队的决策</w:t>
      </w:r>
    </w:p>
    <w:p>
      <w:r>
        <w:rPr>
          <w:rFonts w:ascii="Arial" w:hAnsi="Arial" w:eastAsia="Songti SC"/>
          <w:b w:val="0"/>
          <w:color w:val="000000"/>
          <w:sz w:val="22"/>
        </w:rPr>
        <w:t>同 A5、同 DP32/EP32 下的 D 节点结果，比 GPU 数据更能回答当前是否存在悬殊差距。但 vLLM-Ascend 为 P/D，DI 为纯模型模式，且列名分别是“实测”和“τ5.1”；需要对齐计时边界和实际接受量，才能更准确归因。只统计 D 端也不能推断全部 P/D 服务成本相同。[S03]</w:t>
      </w:r>
    </w:p>
    <w:p>
      <w:r>
        <w:rPr>
          <w:rFonts w:ascii="Arial" w:hAnsi="Arial" w:eastAsia="Songti SC"/>
          <w:b w:val="0"/>
          <w:color w:val="000000"/>
          <w:sz w:val="22"/>
        </w:rPr>
        <w:t>主模型 MoE 与草稿路径各有优劣，支持按热点吸收优化。强制均衡减少了路由干扰，也排除了真实热点与 EPLB 的检验。优先复测低、中、高三个 A5 点，包含优势反转的 384 并发点，再恢复真实路由和投机接受。</w:t>
      </w:r>
    </w:p>
    <w:p>
      <w:pPr>
        <w:pStyle w:val="Heading2"/>
        <w:pageBreakBefore/>
      </w:pPr>
      <w:r>
        <w:t>6.8 性能接近是否意味着成本接近</w:t>
      </w: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当前证据支持性能接近和继续优化现有框架，尚不足以证明完整生产成本相同。</w:t>
      </w:r>
      <w:r>
        <w:rPr>
          <w:rFonts w:ascii="Arial" w:hAnsi="Arial" w:eastAsia="Songti SC"/>
          <w:b w:val="0"/>
          <w:color w:val="000000"/>
          <w:sz w:val="22"/>
        </w:rPr>
        <w:t>成本判断必须区分设备执行时间、整套服务的资源费用，以及按 API 售价计算的产出价值。三者相关，但不能互相替代。</w:t>
      </w:r>
    </w:p>
    <w:p>
      <w:r>
        <w:rPr>
          <w:rFonts w:ascii="Arial" w:hAnsi="Arial" w:eastAsia="Songti SC"/>
          <w:b w:val="0"/>
          <w:color w:val="000000"/>
          <w:sz w:val="22"/>
        </w:rPr>
        <w:t>vLLM 文中的 38.96 美元/卡小时按 DeepSeek 非高峰 API 单价折算，可理解为假定按该单价计费时的产出价值，并非实测运行成本或利润。相同售价不意味着相同硬件费用和利用率，也没有构成与 DeepInfer 的完整成本对照。其 7.9 倍提升比较的是自身此前的单节点方案。[S39]</w:t>
      </w:r>
    </w:p>
    <w:p>
      <w:r>
        <w:rPr>
          <w:rFonts w:ascii="Arial" w:hAnsi="Arial" w:eastAsia="Songti SC"/>
          <w:b w:val="0"/>
          <w:color w:val="000000"/>
          <w:sz w:val="22"/>
        </w:rPr>
        <w:t>同文 AgentX 的吞吐包含缓存命中输入、未缓存输入和输出 token；它不能与第 6.1 节的 Decode 输出吞吐直接比较。缓存输入仍有计费价值，却不承担同等的模型计算量。只有固定业务中各类 token 的比例和服务目标，单位成本比较才有意义。[S39]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969"/>
        <w:gridCol w:w="4082"/>
      </w:tblGrid>
      <w:tr>
        <w:trPr>
          <w:cantSplit/>
          <w:tblHeader/>
        </w:trPr>
        <w:tc>
          <w:tcPr>
            <w:tcW w:type="dxa" w:w="153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3969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目前能说明的成本含义</w:t>
            </w:r>
          </w:p>
        </w:tc>
        <w:tc>
          <w:tcPr>
            <w:tcW w:type="dxa" w:w="4082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仍缺少的依据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vLLM 官方对照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证明已有可用的高效部署路线；每卡吞吐接近不能直接折算双方成本接近。</w:t>
            </w:r>
          </w:p>
        </w:tc>
        <w:tc>
          <w:tcPr>
            <w:tcW w:type="dxa" w:w="408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DI 对应硬件与完整配置、双方资源价格、相同质量与服务目标下的全部资源用量。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SGLang 同硬件复测</w:t>
            </w:r>
          </w:p>
        </w:tc>
        <w:tc>
          <w:tcPr>
            <w:tcW w:type="dxa" w:w="3969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在相同设备费用和有效输出假设下，步时缩短可转化为该阶段设备时间节省。</w:t>
            </w:r>
          </w:p>
        </w:tc>
        <w:tc>
          <w:tcPr>
            <w:tcW w:type="dxa" w:w="4082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真实接受量、动态到达、HBM 与缓存容量约束、P/D 配比及全链路利用率。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内部 A5 对照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对齐实际接受量和计时后，可估计 D 阶段的计算资源效率；是本团队最直接的起点。</w:t>
            </w:r>
          </w:p>
        </w:tc>
        <w:tc>
          <w:tcPr>
            <w:tcW w:type="dxa" w:w="408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P 端设备时间、KV 传输和存储、请求排队、质量与时延达标率，以及运行配置和重复性。</w:t>
            </w:r>
          </w:p>
        </w:tc>
      </w:tr>
    </w:tbl>
    <w:p>
      <w:pPr>
        <w:spacing w:after="20"/>
      </w:pPr>
    </w:p>
    <w:p>
      <w:r>
        <w:rPr>
          <w:rFonts w:ascii="Arial" w:hAnsi="Arial" w:eastAsia="Songti SC"/>
          <w:b w:val="0"/>
          <w:color w:val="000000"/>
          <w:sz w:val="22"/>
        </w:rPr>
        <w:t>例如，SGLang 最后一个 Decode 点从 31.19 ms 缩至 28.88 ms：在每步有效输出相同的假设下，完成相同输出所用的设备时间约少 7.4%，对应吞吐约高 8.0%。这说明了该阶段的潜在节省；整套服务还包括 Prefill、缓存、传输和空闲资源，不能直接写成总成本下降 7.4%。[S41]</w:t>
      </w:r>
    </w:p>
    <w:p>
      <w:r>
        <w:rPr>
          <w:rFonts w:ascii="Arial" w:hAnsi="Arial" w:eastAsia="Songti SC"/>
          <w:b w:val="0"/>
          <w:color w:val="000000"/>
          <w:sz w:val="22"/>
        </w:rPr>
        <w:t>建议以任务为主要口径：</w:t>
      </w:r>
      <w:r>
        <w:rPr>
          <w:rFonts w:ascii="Arial" w:hAnsi="Arial" w:eastAsia="Heiti SC"/>
          <w:b/>
          <w:color w:val="000000"/>
          <w:sz w:val="22"/>
        </w:rPr>
        <w:t>单位达标请求成本 = 观察期内全部服务资源费用 ÷ 满足质量与时延目标的完成请求数。</w:t>
      </w:r>
      <w:r>
        <w:rPr>
          <w:rFonts w:ascii="Arial" w:hAnsi="Arial" w:eastAsia="Songti SC"/>
          <w:b w:val="0"/>
          <w:color w:val="000000"/>
          <w:sz w:val="22"/>
        </w:rPr>
        <w:t>固定输入输出构成后，也可补充每百万有效输出 token 成本。资源费用应计入全部 P/D 设备、必要的主机、网络与存储，以及预留和空闲资源。</w:t>
      </w:r>
    </w:p>
    <w:p>
      <w:r>
        <w:rPr>
          <w:rFonts w:ascii="Arial" w:hAnsi="Arial" w:eastAsia="Songti SC"/>
          <w:b w:val="0"/>
          <w:color w:val="000000"/>
          <w:sz w:val="22"/>
        </w:rPr>
        <w:t>框架团队负责输出可复现的执行、传输和状态管理数据；业务与平台团队共同给出流量、服务目标和资源价格。完成这一步后，才适合比较总体成本或决定是否引入另一后端。</w:t>
      </w:r>
    </w:p>
    <w:p>
      <w:pPr>
        <w:pStyle w:val="Heading2"/>
        <w:pageBreakBefore/>
      </w:pPr>
      <w:r>
        <w:t>6.9 性能接近为什么仍然值得重视 DeepInfer</w:t>
      </w:r>
    </w:p>
    <w:p>
      <w:r>
        <w:rPr>
          <w:rFonts w:ascii="Arial" w:hAnsi="Arial" w:eastAsia="Songti SC"/>
          <w:b w:val="0"/>
          <w:color w:val="000000"/>
          <w:sz w:val="22"/>
        </w:rPr>
        <w:t>一个主要原因是可复用技术进入了通用框架。两篇文章都说明其实现接入了 DeepSeek 的核心算子或 Mega 系列。比较已经包含“同一模型加部分共同底层能力”，并不是三个完全独立技术体系的竞赛。模型和算子的贡献可以保留在 vLLM 或 SGLang 中；DeepInfer 的技术影响可以大于其引擎替换范围。[S39–S40]</w:t>
      </w:r>
    </w:p>
    <w:p>
      <w:r>
        <w:rPr>
          <w:rFonts w:ascii="Arial" w:hAnsi="Arial" w:eastAsia="Songti SC"/>
          <w:b w:val="0"/>
          <w:color w:val="000000"/>
          <w:sz w:val="22"/>
        </w:rPr>
        <w:t>接入库仍需要解决前后数据格式、缓冲区所有权、图执行、缓存状态和并行组合。SGLang 的固定版本改动展示了这一点：压缩器融合需要与 Prefill 图和静态缓冲区配合；MegaGate 也会按执行阶段和形状选择启用。因而不能说“共用算子后剩下的差距全是调度开销”，也不能把“库已接入”当成所有路径已最优。[S46–S47]</w:t>
      </w:r>
    </w:p>
    <w:p>
      <w:r>
        <w:rPr>
          <w:rFonts w:ascii="Arial" w:hAnsi="Arial" w:eastAsia="Songti SC"/>
          <w:b w:val="0"/>
          <w:color w:val="000000"/>
          <w:sz w:val="22"/>
        </w:rPr>
        <w:t>由此判断，短期领先更可能表现为特定模型、硬件和形状的实现优势，通用框架可以逐项吸收。后续差异还会来自真实流量的专家分布、投机接受长度、并行规模、缓存命中与服务稳定性。几个百分点在大规模部署中仍可能有价值，但需要可重复的结果和完整成本测算，不能仅凭一张曲线推动迁移。</w:t>
      </w:r>
    </w:p>
    <w:p>
      <w:pPr>
        <w:pStyle w:val="Heading2"/>
      </w:pPr>
      <w:r>
        <w:t>6.10 从 GPU 案例到 A5 应迁移哪些思路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969"/>
        <w:gridCol w:w="3742"/>
      </w:tblGrid>
      <w:tr>
        <w:trPr>
          <w:cantSplit/>
          <w:tblHeader/>
        </w:trPr>
        <w:tc>
          <w:tcPr>
            <w:tcW w:type="dxa" w:w="187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969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A5 上的具体工作</w:t>
            </w:r>
          </w:p>
        </w:tc>
        <w:tc>
          <w:tcPr>
            <w:tcW w:type="dxa" w:w="3742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不能直接照搬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兑现模型机制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核对物理 KV 共享、CED 边界层裁剪、SWA 恢复与草稿验证。已实现的先验收，不重复开发。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GPU 的百分比收益；不得将模型固有节省记成某引擎独占优势。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融合与图执行</w:t>
            </w:r>
          </w:p>
        </w:tc>
        <w:tc>
          <w:tcPr>
            <w:tcW w:type="dxa" w:w="3969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减少 mHC、Attention、MoE 之间的格式转换和复制；检查尾部裁剪与图执行是否兼容。</w:t>
            </w:r>
          </w:p>
        </w:tc>
        <w:tc>
          <w:tcPr>
            <w:tcW w:type="dxa" w:w="3742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CUDA kernel 或 Mega 系列在 A5 的可用性、融合范围和最优形状。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真实 EPLB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分别统计主模型和草稿的专家热度、最忙卡与整步时间，计入迁移成本。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NVLink 或 symm_mem 的搬运性能；强制均衡基准不等于算法实效。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减少主机等待</w:t>
            </w:r>
          </w:p>
        </w:tc>
        <w:tc>
          <w:tcPr>
            <w:tcW w:type="dxa" w:w="3969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检查 DP 元数据同步、长输入准备、KV 异步搬运和新请求集中接入。瓶颈确认后可提前到近期。</w:t>
            </w:r>
          </w:p>
        </w:tc>
        <w:tc>
          <w:tcPr>
            <w:tcW w:type="dxa" w:w="3742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NIXL/UCX 的具体实现；优化语言不能替代依赖与同步优化。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选择并行规模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按真实到达分布和服务目标分别扫描 P、D 规模，并观察草稿通信与长尾。</w:t>
            </w:r>
          </w:p>
        </w:tc>
        <w:tc>
          <w:tcPr>
            <w:tcW w:type="dxa" w:w="374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把 GPU 最优 DEP 或 NVL72 吞吐直接作为 A5 配置与指标。</w:t>
            </w:r>
          </w:p>
        </w:tc>
      </w:tr>
    </w:tbl>
    <w:p>
      <w:pPr>
        <w:spacing w:after="20"/>
      </w:pPr>
    </w:p>
    <w:p>
      <w:r>
        <w:rPr>
          <w:rFonts w:ascii="Arial" w:hAnsi="Arial" w:eastAsia="Songti SC"/>
          <w:b w:val="0"/>
          <w:color w:val="000000"/>
          <w:sz w:val="22"/>
        </w:rPr>
        <w:t>版本成熟度必须单列。至本版核查时，CED 边界裁剪和 CPU 同步优化已有合入记录；MegaMoE 的部分 EPLB 优化、主草稿异构 EPLB 等相关 PR 仍在进行中。实验构建验证了技术方向，不等于标准版本或 Ascend 后端已完整交付。团队应记录实际 commit、补丁、后端和开关，逐项确认可用性。[S42–S45]</w:t>
      </w:r>
    </w:p>
    <w:p>
      <w:pPr>
        <w:pStyle w:val="Heading2"/>
      </w:pPr>
      <w:r>
        <w:t>6.11 用最少的实验决定下一步投入</w:t>
      </w:r>
    </w:p>
    <w:p>
      <w:r>
        <w:rPr>
          <w:rFonts w:ascii="Arial" w:hAnsi="Arial" w:eastAsia="Songti SC"/>
          <w:b w:val="0"/>
          <w:color w:val="000000"/>
          <w:sz w:val="22"/>
        </w:rPr>
        <w:t>建议把验证拆为三层。第一层固定模型、硬件和批次，测设备执行与主机等待；第二层使用真实路由和真实投机接受，测引擎整步与 P/D 行为；第三层与业务和存储团队回放多轮流量，测缓存及服务成本。第一层继续保留均衡测试作为较理想的执行参考，第二层恢复真实专家选择，不能混用结论。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515"/>
        <w:gridCol w:w="4082"/>
      </w:tblGrid>
      <w:tr>
        <w:trPr>
          <w:cantSplit/>
          <w:tblHeader/>
        </w:trPr>
        <w:tc>
          <w:tcPr>
            <w:tcW w:type="dxa" w:w="1984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优先实验</w:t>
            </w:r>
          </w:p>
        </w:tc>
        <w:tc>
          <w:tcPr>
            <w:tcW w:type="dxa" w:w="3515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要回答的问题</w:t>
            </w:r>
          </w:p>
        </w:tc>
        <w:tc>
          <w:tcPr>
            <w:tcW w:type="dxa" w:w="4082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输出证据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A5 同条件复测</w:t>
            </w:r>
          </w:p>
        </w:tc>
        <w:tc>
          <w:tcPr>
            <w:tcW w:type="dxa" w:w="351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原有接近结论是否稳定，差异发生在哪一段。</w:t>
            </w:r>
          </w:p>
        </w:tc>
        <w:tc>
          <w:tcPr>
            <w:tcW w:type="dxa" w:w="408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固定版本和配置，多次重复；完整 MoE、Attention、主机、通信与整步时间。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真实路由与投机</w:t>
            </w:r>
          </w:p>
        </w:tc>
        <w:tc>
          <w:tcPr>
            <w:tcW w:type="dxa" w:w="351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强制均衡是否掩盖热点，主草稿是否互相抵消。</w:t>
            </w:r>
          </w:p>
        </w:tc>
        <w:tc>
          <w:tcPr>
            <w:tcW w:type="dxa" w:w="4082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主草稿分别的热度、负载均衡度、迁移耗时、实际接受长度和输出吞吐。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Wide EP 关键路径</w:t>
            </w:r>
          </w:p>
        </w:tc>
        <w:tc>
          <w:tcPr>
            <w:tcW w:type="dxa" w:w="351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增加卡数为何未带来预期收益。</w:t>
            </w:r>
          </w:p>
        </w:tc>
        <w:tc>
          <w:tcPr>
            <w:tcW w:type="dxa" w:w="4082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逐 rank 同步尾部、准入与 KV 搬运阻塞，整步时间及尾延迟。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业务联合回放</w:t>
            </w:r>
          </w:p>
        </w:tc>
        <w:tc>
          <w:tcPr>
            <w:tcW w:type="dxa" w:w="351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缓存和 P/D 是否真正降低达标服务成本。</w:t>
            </w:r>
          </w:p>
        </w:tc>
        <w:tc>
          <w:tcPr>
            <w:tcW w:type="dxa" w:w="4082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满足质量与时延目标的完成请求量，全部 P/D 资源、存储与传输成本。</w:t>
            </w:r>
          </w:p>
        </w:tc>
      </w:tr>
    </w:tbl>
    <w:p>
      <w:pPr>
        <w:spacing w:after="20"/>
      </w:pPr>
    </w:p>
    <w:p>
      <w:r>
        <w:rPr>
          <w:rFonts w:ascii="Arial" w:hAnsi="Arial" w:eastAsia="Songti SC"/>
          <w:b w:val="0"/>
          <w:color w:val="000000"/>
          <w:sz w:val="22"/>
        </w:rPr>
        <w:t>归因采样与最终性能测试分开，避免 Profiler 改变结论。只关闭一个开关也可能连带改变图执行或推测路径，应记录实际执行状态。关闭 DeepInfer 异步调度后底层仍是 C++，因此不能把这种消融当成 C++ 与 Python 的语言对比。</w:t>
      </w:r>
    </w:p>
    <w:p>
      <w:pPr>
        <w:pStyle w:val="Heading1"/>
      </w:pPr>
      <w:r>
        <w:t>7 DeepInfer 对通用框架的影响与团队路线</w:t>
      </w:r>
    </w:p>
    <w:p>
      <w:r>
        <w:rPr>
          <w:rFonts w:ascii="Arial" w:hAnsi="Arial" w:eastAsia="Songti SC"/>
          <w:b w:val="0"/>
          <w:color w:val="000000"/>
          <w:sz w:val="22"/>
        </w:rPr>
        <w:t>DeepInfer 本次开源提供模型专用推理引擎，公开支持 V4.1-Flash、SM100 和 Ascend 950；模型执行、融合算子接入、EPLB、推测解码与异步调度均有实际代码。DeepSeek 生产系统还依赖完整 KV 服务、跨实例路由和在线编排，这些配套服务不在本次引擎交付范围。[S01–S02]</w:t>
      </w:r>
    </w:p>
    <w:p>
      <w:r>
        <w:rPr>
          <w:rFonts w:ascii="Arial" w:hAnsi="Arial" w:eastAsia="Songti SC"/>
          <w:b w:val="0"/>
          <w:color w:val="000000"/>
          <w:sz w:val="22"/>
        </w:rPr>
        <w:t>SGLang 已提供 API、缓存、P/D 和跨实例路由，vLLM 与 vLLM-Ascend 也有相应服务及接入基础。这些组件并非只能从 DeepSeek 获得；但组件存在，不等于已经复现其长期命中率和单位成本。框架选择需同时考虑执行性能、服务集成和维护投入。[S14、S33–S34、S40]</w:t>
      </w: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本轮证据更支持吸收优化，而非近期整体换栈。</w:t>
      </w:r>
      <w:r>
        <w:rPr>
          <w:rFonts w:ascii="Arial" w:hAnsi="Arial" w:eastAsia="Songti SC"/>
          <w:b w:val="0"/>
          <w:color w:val="000000"/>
          <w:sz w:val="22"/>
        </w:rPr>
        <w:t>通用框架已实现部分共同模型机制，并在 NVIDIA 路径接入 DeepSeek 算子库。对 A5，模型规则、调度方法和融合思路可参考，CUDA 内核与通信实现须有对应后端。我们的交付重点是把这些方法变成经验证的昇腾执行收益。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061"/>
        <w:gridCol w:w="4139"/>
      </w:tblGrid>
      <w:tr>
        <w:trPr>
          <w:cantSplit/>
          <w:tblHeader/>
        </w:trPr>
        <w:tc>
          <w:tcPr>
            <w:tcW w:type="dxa" w:w="238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我们直接负责</w:t>
            </w:r>
          </w:p>
        </w:tc>
        <w:tc>
          <w:tcPr>
            <w:tcW w:type="dxa" w:w="306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需要协作的事项</w:t>
            </w:r>
          </w:p>
        </w:tc>
        <w:tc>
          <w:tcPr>
            <w:tcW w:type="dxa" w:w="4139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交付证据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Ascend 模型与执行适配</w:t>
            </w:r>
          </w:p>
        </w:tc>
        <w:tc>
          <w:tcPr>
            <w:tcW w:type="dxa" w:w="30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上游模型接口或调度接口变更。</w:t>
            </w:r>
          </w:p>
        </w:tc>
        <w:tc>
          <w:tcPr>
            <w:tcW w:type="dxa" w:w="4139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模型正确性、物理 KV 共享、裁剪生效、A5 并行组合与回退路径。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Ascend 算子和运行时优化</w:t>
            </w:r>
          </w:p>
        </w:tc>
        <w:tc>
          <w:tcPr>
            <w:tcW w:type="dxa" w:w="306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CANN、通信库及上游公共代码。</w:t>
            </w:r>
          </w:p>
        </w:tc>
        <w:tc>
          <w:tcPr>
            <w:tcW w:type="dxa" w:w="4139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热点完整区间、整步净收益、质量和尾延迟；保留已有优势路径。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缓存接入与通用状态能力</w:t>
            </w:r>
          </w:p>
        </w:tc>
        <w:tc>
          <w:tcPr>
            <w:tcW w:type="dxa" w:w="306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业务、存储和服务调度团队制定策略。</w:t>
            </w:r>
          </w:p>
        </w:tc>
        <w:tc>
          <w:tcPr>
            <w:tcW w:type="dxa" w:w="4139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KV Pool 读写与恢复、模型状态兼容、异常回退、分层计量及接入开销。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版本集成与技术建议</w:t>
            </w:r>
          </w:p>
        </w:tc>
        <w:tc>
          <w:tcPr>
            <w:tcW w:type="dxa" w:w="306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vLLM 上游决定公共架构与合入节奏。</w:t>
            </w:r>
          </w:p>
        </w:tc>
        <w:tc>
          <w:tcPr>
            <w:tcW w:type="dxa" w:w="4139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可复现问题、最小改动建议、兼容性结果与补丁维护成本。</w:t>
            </w:r>
          </w:p>
        </w:tc>
      </w:tr>
    </w:tbl>
    <w:p>
      <w:pPr>
        <w:spacing w:after="20"/>
      </w:pPr>
    </w:p>
    <w:p>
      <w:r>
        <w:rPr>
          <w:rFonts w:ascii="Arial" w:hAnsi="Arial" w:eastAsia="Songti SC"/>
          <w:b w:val="0"/>
          <w:color w:val="000000"/>
          <w:sz w:val="22"/>
        </w:rPr>
        <w:t>建议将 A5 作为新增资源的优化验证重点，按业务维护 A2/A3，A6 到位后重新核对精度、算子与通信。通用框架在 GPU 上的成功降低了架构替代担忧，却不能替代 A5 适配，也不构成另起 SGLang 全栈迁移的理由。</w:t>
      </w:r>
    </w:p>
    <w:p>
      <w:pPr>
        <w:pStyle w:val="Heading1"/>
      </w:pPr>
      <w:r>
        <w:t>8 汇报结论与自问自答</w:t>
      </w:r>
    </w:p>
    <w:p>
      <w:r>
        <w:rPr>
          <w:rFonts w:ascii="Arial" w:hAnsi="Arial" w:eastAsia="Songti SC"/>
          <w:b w:val="0"/>
          <w:color w:val="000000"/>
          <w:sz w:val="22"/>
        </w:rPr>
      </w:r>
      <w:r>
        <w:rPr>
          <w:rFonts w:ascii="Arial" w:hAnsi="Arial" w:eastAsia="Heiti SC"/>
          <w:b/>
          <w:color w:val="000000"/>
          <w:sz w:val="22"/>
        </w:rPr>
        <w:t>建议维持 vLLM-Ascend 主线，把 DeepInfer 作为实现参照与特定业务的后端候选。</w:t>
      </w:r>
      <w:r>
        <w:rPr>
          <w:rFonts w:ascii="Arial" w:hAnsi="Arial" w:eastAsia="Songti SC"/>
          <w:b w:val="0"/>
          <w:color w:val="000000"/>
          <w:sz w:val="22"/>
        </w:rPr>
        <w:t>“整体替代冲击有限”有当前证据支持；“技术影响很小”则不准确。共同模型机制、部分已接入的开源库和已有运行时机制，使通用框架能够接近专用引擎，但仍需要持续适配和组合验证。</w:t>
      </w:r>
    </w:p>
    <w:p>
      <w:pPr>
        <w:pStyle w:val="Heading2"/>
      </w:pPr>
      <w:r>
        <w:t>8.1 按可控范围与触发条件安排工作</w:t>
      </w:r>
    </w:p>
    <w:p>
      <w:r>
        <w:rPr>
          <w:rFonts w:ascii="Arial" w:hAnsi="Arial" w:eastAsia="Songti SC"/>
          <w:b w:val="0"/>
          <w:color w:val="000000"/>
          <w:sz w:val="22"/>
        </w:rPr>
        <w:t>优先级由缺口和瓶颈决定，不按模型、算子、框架机械排期。若 A5 已出现主机同步、KV 搬运或请求准入导致的等待，相关框架改动应提前；若设备热点仍占主导，则先做完整执行区间优化。公共代码优先跟进与反馈，Ascend 可控部分直接推进。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855"/>
        <w:gridCol w:w="4025"/>
      </w:tblGrid>
      <w:tr>
        <w:trPr>
          <w:cantSplit/>
          <w:tblHeader/>
        </w:trPr>
        <w:tc>
          <w:tcPr>
            <w:tcW w:type="dxa" w:w="1701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855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4025"/>
            <w:vAlign w:val="center"/>
            <w:shd w:fill="233E55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Heiti SC"/>
                <w:b/>
                <w:color w:val="FFFFFF"/>
                <w:sz w:val="18"/>
              </w:rPr>
              <w:t>本团队交付与决策条件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近期能力核对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检查团队版本的 KV 共享、CED、SWA、DSpark、量化和 KV Pool 组合；区分已合入与实验补丁。</w:t>
            </w:r>
          </w:p>
        </w:tc>
        <w:tc>
          <w:tcPr>
            <w:tcW w:type="dxa" w:w="402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差异清单和组合验收。共同模型收益作为适配基线，不计作 DeepInfer 独占收益。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短期瓶颈优化</w:t>
            </w:r>
          </w:p>
        </w:tc>
        <w:tc>
          <w:tcPr>
            <w:tcW w:type="dxa" w:w="385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优先主模型 MoE、索引、Attention 和数据搬运；若主机已阻塞，则同步推进输入准备与等待优化。</w:t>
            </w:r>
          </w:p>
        </w:tc>
        <w:tc>
          <w:tcPr>
            <w:tcW w:type="dxa" w:w="402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同条件、可重复的整步净收益和尾延迟；保留现有较优的草稿等路径。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中期组合增强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真实负载下的主草稿 EPLB、图执行、异步 KV Pool 与状态恢复、P/D 组合。</w:t>
            </w:r>
          </w:p>
        </w:tc>
        <w:tc>
          <w:tcPr>
            <w:tcW w:type="dxa" w:w="402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用真实路由和业务回放验证；沉淀通用接口、配置与观测，避免按业务复制实现。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长期协同演进</w:t>
            </w:r>
          </w:p>
        </w:tc>
        <w:tc>
          <w:tcPr>
            <w:tcW w:type="dxa" w:w="385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A6 精度与互联、DSL 工具链、模型状态接口和训练设计反馈；跟进上游架构。</w:t>
            </w:r>
          </w:p>
        </w:tc>
        <w:tc>
          <w:tcPr>
            <w:tcW w:type="dxa" w:w="4025"/>
            <w:vAlign w:val="center"/>
            <w:shd w:fill="F2F5F7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提供瓶颈证据与适配需求。上游调度器或 Rust 重写不作为本团队独立承诺。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业务联合设计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缓存保留、容量、淘汰、租户配额、缓存感知路由和资源池配比。</w:t>
            </w:r>
          </w:p>
        </w:tc>
        <w:tc>
          <w:tcPr>
            <w:tcW w:type="dxa" w:w="4025"/>
            <w:vAlign w:val="center"/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Arial" w:hAnsi="Arial" w:eastAsia="Songti SC"/>
                <w:b w:val="0"/>
                <w:color w:val="000000"/>
                <w:sz w:val="18"/>
              </w:rPr>
              <w:t>业务与存储团队主导策略，我们保证接入与恢复。按真实服务成本验收，不照搬 96% 或保留天数。</w:t>
            </w:r>
          </w:p>
        </w:tc>
      </w:tr>
    </w:tbl>
    <w:p>
      <w:pPr>
        <w:spacing w:after="20"/>
      </w:pPr>
    </w:p>
    <w:p>
      <w:r>
        <w:rPr>
          <w:rFonts w:ascii="Arial" w:hAnsi="Arial" w:eastAsia="Songti SC"/>
          <w:b w:val="0"/>
          <w:color w:val="000000"/>
          <w:sz w:val="22"/>
        </w:rPr>
        <w:t>近期形成三项交付：团队版本与已公开能力的差异清单；含真实路由和主机时间线的 A5 对比结果；目标模型加 KV Pool 的组合与职责清单。只有这些结果显示持续、难以局部弥补的差距时，再评估专用后端迁移。</w:t>
      </w:r>
    </w:p>
    <w:p>
      <w:pPr>
        <w:pStyle w:val="Heading2"/>
      </w:pPr>
      <w:r>
        <w:t>8.2 汇报中需要回答的关键问题</w:t>
      </w:r>
    </w:p>
    <w:p>
      <w:pPr>
        <w:pStyle w:val="Heading3"/>
      </w:pPr>
      <w:r>
        <w:t>如何评价整体冲击有限且优化可以吸收的判断</w:t>
      </w:r>
    </w:p>
    <w:p>
      <w:r>
        <w:rPr>
          <w:rFonts w:ascii="Arial" w:hAnsi="Arial" w:eastAsia="Songti SC"/>
          <w:b w:val="0"/>
          <w:color w:val="000000"/>
          <w:sz w:val="22"/>
        </w:rPr>
        <w:t>这一判断适用于当前是否整体替换 vLLM-Ascend 的决策。主要优化方向已有同类机制，部分 V4.1 专项实现和底层库也已进入通用框架。但不能据功能名称认定团队 A5 已同等优化，也不能保证全部剩余代码都可直接迁移。应分别核对已有能力、同平台库复用、A5 适配和业务系统建设。</w:t>
      </w:r>
    </w:p>
    <w:p>
      <w:r>
        <w:rPr>
          <w:rFonts w:ascii="Arial" w:hAnsi="Arial" w:eastAsia="Songti SC"/>
          <w:b w:val="0"/>
          <w:color w:val="000000"/>
          <w:sz w:val="22"/>
        </w:rPr>
        <w:t>“DeepInfer 做得更极致”应落到具体路径：内部 A5 主模型 MoE 更快，mHC Pre 与草稿 MoE 却由 vLLM-Ascend 占优。更稳妥的表述是双方各有实现优势，DeepInfer 提供了值得吸收的参考；迁移与否由正确性、整步收益、服务目标和维护成本决定。[S03]</w:t>
      </w:r>
    </w:p>
    <w:p>
      <w:pPr>
        <w:pStyle w:val="Heading3"/>
      </w:pPr>
      <w:r>
        <w:t>两份官方对比是否说明 DeepInfer 没有优势</w:t>
      </w:r>
    </w:p>
    <w:p>
      <w:r>
        <w:rPr>
          <w:rFonts w:ascii="Arial" w:hAnsi="Arial" w:eastAsia="Songti SC"/>
          <w:b w:val="0"/>
          <w:color w:val="000000"/>
          <w:sz w:val="22"/>
        </w:rPr>
        <w:t>在已测配置下，DeepInfer 开源引擎没有显示通用框架无法接近的执行优势。它仍可能在其他形状、版本或部署中领先；对比方也使用了 DeepSeek 的部分模型实现和算子。性能接近是技术能够传播的证据，不能据此否定其价值，也不能推及完整生产系统。</w:t>
      </w:r>
    </w:p>
    <w:p>
      <w:pPr>
        <w:pStyle w:val="Heading3"/>
      </w:pPr>
      <w:r>
        <w:t>vLLM 条件不同是否就没有参考价值</w:t>
      </w:r>
    </w:p>
    <w:p>
      <w:r>
        <w:rPr>
          <w:rFonts w:ascii="Arial" w:hAnsi="Arial" w:eastAsia="Songti SC"/>
          <w:b w:val="0"/>
          <w:color w:val="000000"/>
          <w:sz w:val="22"/>
        </w:rPr>
        <w:t>仍有工程参考价值。它说明通用框架存在接近 DeepInfer 公开性能水平的实现路径，但硬件与并行条件未充分对齐，不能据此排名纯框架效率。若要比较各自最优部署方案，可允许配置不同，前提是统一质量、业务负载、服务目标和成本边界。</w:t>
      </w:r>
    </w:p>
    <w:p>
      <w:pPr>
        <w:pStyle w:val="Heading3"/>
      </w:pPr>
      <w:r>
        <w:t>能否向领导汇报三套框架成本相似</w:t>
      </w:r>
    </w:p>
    <w:p>
      <w:r>
        <w:rPr>
          <w:rFonts w:ascii="Arial" w:hAnsi="Arial" w:eastAsia="Songti SC"/>
          <w:b w:val="0"/>
          <w:color w:val="000000"/>
          <w:sz w:val="22"/>
        </w:rPr>
        <w:t>目前宜表述为“已测场景性能接近，完整成本仍需验证”。vLLM 的按 API 单价折算产出价值不等于运行成本；SGLang 可支持特定批次的设备时间估算；内部 A5 只覆盖 D 端。最终应比较满足相同质量和时延目标时的单位请求成本。</w:t>
      </w:r>
    </w:p>
    <w:p>
      <w:pPr>
        <w:pStyle w:val="Heading3"/>
      </w:pPr>
      <w:r>
        <w:t>现在是否应该替换 vLLM Ascend</w:t>
      </w:r>
    </w:p>
    <w:p>
      <w:r>
        <w:rPr>
          <w:rFonts w:ascii="Arial" w:hAnsi="Arial" w:eastAsia="Songti SC"/>
          <w:b w:val="0"/>
          <w:color w:val="000000"/>
          <w:sz w:val="22"/>
        </w:rPr>
        <w:t>现阶段不建议整体替换。新增 GPU 证据与团队 A5 数据支持继续优化现有路线，多模型、存量硬件与服务集成也有实际价值。若未来特定 DeepSeek 业务出现持续优势，再比较接入、运维和维护成本后选择后端。</w:t>
      </w:r>
    </w:p>
    <w:p>
      <w:pPr>
        <w:pStyle w:val="Heading3"/>
      </w:pPr>
      <w:r>
        <w:t>性能差几个百分点是否可以忽略</w:t>
      </w:r>
    </w:p>
    <w:p>
      <w:r>
        <w:rPr>
          <w:rFonts w:ascii="Arial" w:hAnsi="Arial" w:eastAsia="Songti SC"/>
          <w:b w:val="0"/>
          <w:color w:val="000000"/>
          <w:sz w:val="22"/>
        </w:rPr>
        <w:t>不能一概忽略。大规模部署中的小差异也可能影响成本；但先确认重复实验稳定、质量与时延目标一致，并把 P/D、存储、利用率和迁移维护成本计入。固定批量的峰值差异不足以决定生产架构。</w:t>
      </w:r>
    </w:p>
    <w:p>
      <w:pPr>
        <w:pStyle w:val="Heading3"/>
      </w:pPr>
      <w:r>
        <w:t>模型带来的收益和框架带来的收益如何分开</w:t>
      </w:r>
    </w:p>
    <w:p>
      <w:r>
        <w:rPr>
          <w:rFonts w:ascii="Arial" w:hAnsi="Arial" w:eastAsia="Songti SC"/>
          <w:b w:val="0"/>
          <w:color w:val="000000"/>
          <w:sz w:val="22"/>
        </w:rPr>
        <w:t>先让两边共享相同的模型语义与有效配置，再比较剩余执行。跨层 KV 和 CED 首先是模型收益；是否真实共享、裁剪到正确边界以及高效恢复，则是框架兑现程度。相同模型不等于实现已自动最优。</w:t>
      </w:r>
    </w:p>
    <w:p>
      <w:pPr>
        <w:pStyle w:val="Heading3"/>
      </w:pPr>
      <w:r>
        <w:t>应移植技术还是直接使用 DeepInfer</w:t>
      </w:r>
    </w:p>
    <w:p>
      <w:r>
        <w:rPr>
          <w:rFonts w:ascii="Arial" w:hAnsi="Arial" w:eastAsia="Songti SC"/>
          <w:b w:val="0"/>
          <w:color w:val="000000"/>
          <w:sz w:val="22"/>
        </w:rPr>
        <w:t>本轮证据支持先吸收已识别的热点优化。能复用的同平台库优先接入，算法和融合思路按 A5 重新适配；涉及调度状态机与数据布局时需评估改造成本。只有持续优势难以局部弥补，且专用后端接入比长期维护移植更划算时，才扩大后端评估。</w:t>
      </w:r>
    </w:p>
    <w:p>
      <w:pPr>
        <w:pStyle w:val="Heading3"/>
      </w:pPr>
      <w:r>
        <w:t>通用框架接近后团队的价值在哪里</w:t>
      </w:r>
    </w:p>
    <w:p>
      <w:r>
        <w:rPr>
          <w:rFonts w:ascii="Arial" w:hAnsi="Arial" w:eastAsia="Songti SC"/>
          <w:b w:val="0"/>
          <w:color w:val="000000"/>
          <w:sz w:val="22"/>
        </w:rPr>
        <w:t>在于缩短新模型和新优化从可运行到可靠高效交付的距离：验证 A5 算子与互联，处理图执行、草稿、缓存和 P/D 的组合，并把收益落实到真实工作负载。考核应看交付速度、正确性、稳定性和成本，不能只看补丁数量。</w:t>
      </w:r>
    </w:p>
    <w:p>
      <w:pPr>
        <w:pStyle w:val="Heading3"/>
      </w:pPr>
      <w:r>
        <w:t>Python 是不是瓶颈 是否应该重写调度器</w:t>
      </w:r>
    </w:p>
    <w:p>
      <w:r>
        <w:rPr>
          <w:rFonts w:ascii="Arial" w:hAnsi="Arial" w:eastAsia="Songti SC"/>
          <w:b w:val="0"/>
          <w:color w:val="000000"/>
          <w:sz w:val="22"/>
        </w:rPr>
        <w:t>Python 热点可能限制执行，但大规模并行中的慢进程、同步协议和 KV 读取也会造成等待。先测关键路径，优先改我们能控制的 Ascend 输入准备、搬运和图执行；公共问题向上游提交证据。语言重写是手段，不是当前已经得到证明的必要结论。</w:t>
      </w:r>
    </w:p>
    <w:p>
      <w:pPr>
        <w:pStyle w:val="Heading3"/>
      </w:pPr>
      <w:r>
        <w:t>EPLB 是否需要按每个业务重新设计算法</w:t>
      </w:r>
    </w:p>
    <w:p>
      <w:r>
        <w:rPr>
          <w:rFonts w:ascii="Arial" w:hAnsi="Arial" w:eastAsia="Songti SC"/>
          <w:b w:val="0"/>
          <w:color w:val="000000"/>
          <w:sz w:val="22"/>
        </w:rPr>
        <w:t>通常先用通用机制根据实际热度调整统计窗口、迁移频率与副本布局。主模型和草稿分别测量；必要时再改算法。强制均衡结果只能说明较理想的执行效率，不能回答线上算法是否有效。</w:t>
      </w:r>
    </w:p>
    <w:p>
      <w:pPr>
        <w:pStyle w:val="Heading3"/>
      </w:pPr>
      <w:r>
        <w:t>长期缓存是否仍是重要方向</w:t>
      </w:r>
    </w:p>
    <w:p>
      <w:r>
        <w:rPr>
          <w:rFonts w:ascii="Arial" w:hAnsi="Arial" w:eastAsia="Songti SC"/>
          <w:b w:val="0"/>
          <w:color w:val="000000"/>
          <w:sz w:val="22"/>
        </w:rPr>
        <w:t>是。DeepSeek 生产系统披露的 96% 命中率体现了复用价值，与开源引擎单步性能接近并不冲突。vLLM-Ascend 已有 KV Pool，应先补目标模型组合，再由业务与存储团队设计策略。它是可借鉴的系统经验，不能写成 DeepInfer 已交付的独占能力。[S32–S34]</w:t>
      </w:r>
    </w:p>
    <w:p>
      <w:pPr>
        <w:pStyle w:val="Heading3"/>
      </w:pPr>
      <w:r>
        <w:t>GPU 的成功能否直接作为 A5 的交付结论</w:t>
      </w:r>
    </w:p>
    <w:p>
      <w:r>
        <w:rPr>
          <w:rFonts w:ascii="Arial" w:hAnsi="Arial" w:eastAsia="Songti SC"/>
          <w:b w:val="0"/>
          <w:color w:val="000000"/>
          <w:sz w:val="22"/>
        </w:rPr>
        <w:t>不能。可参考的是减少工作量、复制和等待的方法；精度格式、内存、通信域、图执行和工具链仍需 A5 实现与验证。上游 GPU 优化应形成 Ascend 差异清单，而不是直接把文章数字写进我们的承诺。</w:t>
      </w:r>
    </w:p>
    <w:p>
      <w:pPr>
        <w:pStyle w:val="Heading3"/>
      </w:pPr>
      <w:r>
        <w:t>对模型厂商和芯片厂商有什么启示</w:t>
      </w:r>
    </w:p>
    <w:p>
      <w:r>
        <w:rPr>
          <w:rFonts w:ascii="Arial" w:hAnsi="Arial" w:eastAsia="Songti SC"/>
          <w:b w:val="0"/>
          <w:color w:val="000000"/>
          <w:sz w:val="22"/>
        </w:rPr>
        <w:t>模型厂商应把 KV 规模、输入计算量和草稿接受率纳入设计，让各推理框架都能获得结构性收益。芯片厂商应围绕这些算子流提供精度、互联和工具链支持。对框架团队，则要高效兑现共同能力并把执行成本反馈给两侧。</w:t>
      </w:r>
    </w:p>
    <w:p>
      <w:pPr>
        <w:pStyle w:val="Heading1"/>
      </w:pPr>
      <w:r>
        <w:t>附录 主要证据</w:t>
      </w:r>
    </w:p>
    <w:p>
      <w:r>
        <w:rPr>
          <w:rFonts w:ascii="Arial" w:hAnsi="Arial" w:eastAsia="Songti SC"/>
          <w:b w:val="0"/>
          <w:color w:val="000000"/>
          <w:sz w:val="22"/>
        </w:rPr>
        <w:t>本版于 2026 年 10 月 26 日修订。新增 vLLM 10 月 23 日与 SGLang 10 月 24 日官方对比，并核查配套脚本和关键 PR。原有 DeepInfer 源码基线为 9bd9cf2；SGLang 对比采用 DeepInfer 774ce24，SGLang Prefill 7d996300b9 与 Decode 3b95120f00。原有 Ascend 模型核查基线为 5685a13e，KV Pool 与指南为 4e6eac4e，Rust 范围为此前固定的 f4edf9f0。实验构建、已合入代码与团队生产版本分别对待；PR 状态以本版核查时为准。 图 10–15 均据官方数据或内部截图重绘；折算公式、图读数和单位限制在图旁注明。vLLM 图源固定于 215c5038，该版本属于博客仓库，并非引擎实验构建。 第七版增加实验可比性、产出价值与运行成本的区分，以及分阶段成本推断的条件。 第八版明确模型语义、DeepInfer 仓内代码、外部算子库和生产系统的归属，并补充各技术与通用框架的吸收关系。新增 S51 为固定源码；S52–S54 为本次读取的官方指南，具体组合仍以团队版本验收。</w:t>
      </w:r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S01  DeepInfer README 支持范围与特性  </w:t>
      </w:r>
      <w:hyperlink r:id="rId25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S02  DeepInfer 官方部署问答 开源边界 缓存与异步执行  </w:t>
      </w:r>
      <w:hyperlink r:id="rId26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S04  DeepSeek V4.1 技术报告 模型依赖与缓存设计  </w:t>
      </w:r>
      <w:hyperlink r:id="rId27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S05  vLLM Ascend V4.1 专项实现与部署约束  </w:t>
      </w:r>
      <w:hyperlink r:id="rId28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S06  DeepSeek V2 论文 MLA 的模型机制  </w:t>
      </w:r>
      <w:hyperlink r:id="rId29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S07  FlashMLA 官方算子库  </w:t>
      </w:r>
      <w:hyperlink r:id="rId30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S08  DeepInfer MoE 实现与融合调用  </w:t>
      </w:r>
      <w:hyperlink r:id="rId31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S09  DeepInfer EPLB 策略与执行  </w:t>
      </w:r>
      <w:hyperlink r:id="rId32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S10  DeepInfer 平台配置 Engram 设备存储  </w:t>
      </w:r>
      <w:hyperlink r:id="rId33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S11  vLLM V1 官方架构说明 2025 年  </w:t>
      </w:r>
      <w:hyperlink r:id="rId34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S12  DeepInfer C++ 引擎目录  </w:t>
      </w:r>
      <w:hyperlink r:id="rId35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S13  vLLM 2024 年 CPU 开销优化案例  </w:t>
      </w:r>
      <w:hyperlink r:id="rId36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S14  vLLM 前缀缓存设计  </w:t>
      </w:r>
      <w:hyperlink r:id="rId37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S15  Ascend CPU 与文件系统分层缓存指南  </w:t>
      </w:r>
      <w:hyperlink r:id="rId38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S16  vLLM Rust 前端范围与 Python 引擎连接  </w:t>
      </w:r>
      <w:hyperlink r:id="rId39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S17  vLLM 默认核心调度器选择  </w:t>
      </w:r>
      <w:hyperlink r:id="rId40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S18  vLLM Rust 前端默认开关  </w:t>
      </w:r>
      <w:hyperlink r:id="rId41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S19  Ascend A5 镜像版本与 Rust 构建入口  </w:t>
      </w:r>
      <w:hyperlink r:id="rId42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S20  vLLM Rust 前端提案及特定 CPU 压力测试  </w:t>
      </w:r>
      <w:hyperlink r:id="rId43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S21  跨层 KV 与索引共享拓扑  </w:t>
      </w:r>
      <w:hyperlink r:id="rId44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S22  CED 保留完整历史 KV 同时裁剪主计算  </w:t>
      </w:r>
      <w:hyperlink r:id="rId45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S23  YoCo 尾部裁剪与配置约束  </w:t>
      </w:r>
      <w:hyperlink r:id="rId46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S24  固定 1017 模型配置及层号  </w:t>
      </w:r>
      <w:hyperlink r:id="rId47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S25  单层主干执行与 Engram 插入位置  </w:t>
      </w:r>
      <w:hyperlink r:id="rId48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S26  mHC 延迟执行和 NVIDIA 融合条件  </w:t>
      </w:r>
      <w:hyperlink r:id="rId49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S27  稀疏索引打分与 Top-K 分开执行  </w:t>
      </w:r>
      <w:hyperlink r:id="rId50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S28  逐行变换融合及可选参数  </w:t>
      </w:r>
      <w:hyperlink r:id="rId51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S29  A5 RMSNorm 与量化设备实现  </w:t>
      </w:r>
      <w:hyperlink r:id="rId52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S30  各平台外部库选择与构建入口  </w:t>
      </w:r>
      <w:hyperlink r:id="rId53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S31  异步执行与结果处理时序  </w:t>
      </w:r>
      <w:hyperlink r:id="rId54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S32  DeepSeek 官方文章 V4.1 Flash 大规模推理部署实践  </w:t>
      </w:r>
      <w:hyperlink r:id="rId55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S33  Ascend KV Pool 后端 硬件与布局限制  </w:t>
      </w:r>
      <w:hyperlink r:id="rId56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S34  AscendStoreConnector 共享缓存接入  </w:t>
      </w:r>
      <w:hyperlink r:id="rId57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S35  Ascend V4.1 source 与 consumer 共享缓存  </w:t>
      </w:r>
      <w:hyperlink r:id="rId58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S36  Ascend V4.1 decoder 裁剪与执行限制  </w:t>
      </w:r>
      <w:hyperlink r:id="rId59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S37  Ascend V4.1 KV Pool 示例和 SWA replay 组合边界  </w:t>
      </w:r>
      <w:hyperlink r:id="rId60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S38  Ascend 原生 CPU 与文件系统分层缓存  </w:t>
      </w:r>
      <w:hyperlink r:id="rId61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S39  vLLM 官方对比 Decode 接近与 Prefill 口径边界  </w:t>
      </w:r>
      <w:hyperlink r:id="rId62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S40  SGLang 官方对比 同硬件重跑与服务能力范围  </w:t>
      </w:r>
      <w:hyperlink r:id="rId63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S41  SGLang 配套 benchmark 脚本 配置与固定版本  </w:t>
      </w:r>
      <w:hyperlink r:id="rId64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S42  vLLM PR 59894 保留 KV 支路并裁剪 CED 边界层  </w:t>
      </w:r>
      <w:hyperlink r:id="rId65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S43  vLLM PR 61767 CPU 元数据同步算法与微基准  </w:t>
      </w:r>
      <w:hyperlink r:id="rId66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S44  vLLM PR 61395 主模型与草稿异构专家 EPLB  </w:t>
      </w:r>
      <w:hyperlink r:id="rId67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S45  vLLM PR 62009 MegaMoE EPLB 与实验构建说明  </w:t>
      </w:r>
      <w:hyperlink r:id="rId68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S46  SGLang PR 46230 Prefill 压缩器融合与图执行衔接  </w:t>
      </w:r>
      <w:hyperlink r:id="rId69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S47  SGLang PR 46242 按执行阶段限制 MegaGate 路径  </w:t>
      </w:r>
      <w:hyperlink r:id="rId70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S48  vLLM Decode 官方交互图源及逐点数组  </w:t>
      </w:r>
      <w:hyperlink r:id="rId71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S49  vLLM Prefill 官方图源 数组与换算方法  </w:t>
      </w:r>
      <w:hyperlink r:id="rId72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S50  DeepInfer 官方基准脚本 输入与强制负载均衡  </w:t>
      </w:r>
      <w:hyperlink r:id="rId73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S51  DeepInfer 主模型 graph 选择与非 Prefill 条件  </w:t>
      </w:r>
      <w:hyperlink r:id="rId74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S52  vLLM Ascend EPLB 机制及 runner 量化硬件限制  </w:t>
      </w:r>
      <w:hyperlink r:id="rId75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S53  vLLM Ascend 投机解码与 DSpark 适配指南  </w:t>
      </w:r>
      <w:hyperlink r:id="rId76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60" w:line="264" w:lineRule="auto"/>
      </w:pPr>
      <w:r>
        <w:rPr>
          <w:rFonts w:ascii="Arial" w:hAnsi="Arial" w:eastAsia="Songti SC"/>
          <w:b w:val="0"/>
          <w:color w:val="000000"/>
          <w:sz w:val="18"/>
        </w:rPr>
        <w:t xml:space="preserve">S54  vLLM Ascend 融合 MoE 等附加配置  </w:t>
      </w:r>
      <w:hyperlink r:id="rId77">
        <w:r>
          <w:rPr>
            <w:color w:val="24577D"/>
            <w:sz w:val="18"/>
            <w:rFonts w:ascii="Arial" w:hAnsi="Arial" w:eastAsia="Songti SC"/>
          </w:rPr>
          <w:t>查看来源</w:t>
        </w:r>
      </w:hyperlink>
    </w:p>
    <w:p>
      <w:pPr>
        <w:spacing w:after="100"/>
      </w:pPr>
      <w:r>
        <w:rPr>
          <w:rFonts w:ascii="Arial" w:hAnsi="Arial" w:eastAsia="Songti SC"/>
          <w:b w:val="0"/>
          <w:color w:val="000000"/>
          <w:sz w:val="18"/>
        </w:rPr>
        <w:t>S03  团队提供的两张 A5 测试图。吞吐、局部耗时和比率为转录及计算，未独立复测；图中未提供被测框架 commit、profiling 并发及部分单位。官方缓存命中率另引 S32，不属于本组测试。</w:t>
      </w:r>
    </w:p>
    <w:sectPr w:rsidR="00FC693F" w:rsidRPr="0006063C" w:rsidSect="00034616">
      <w:footerReference w:type="default" r:id="rId9"/>
      <w:pgSz w:w="11906" w:h="16838"/>
      <w:pgMar w:top="1049" w:right="1134" w:bottom="99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Songti SC"/>
        <w:b w:val="0"/>
        <w:color w:val="555555"/>
        <w:sz w:val="16"/>
      </w:rPr>
      <w:t xml:space="preserve">DeepInfer 技术洞察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Arial" w:hAnsi="Arial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80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 w:eastAsia="Heiti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Hei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hyperlink" Target="https://github.com/deepseek-ai/DeepInfer/blob/9bd9cf243fc53ef9afbf8f04d391d989117d6ab9/README.md" TargetMode="External"/><Relationship Id="rId26" Type="http://schemas.openxmlformats.org/officeDocument/2006/relationships/hyperlink" Target="https://github.com/deepseek-ai/DeepInfer/blob/9bd9cf243fc53ef9afbf8f04d391d989117d6ab9/doc/inference_deployment_qa.md" TargetMode="External"/><Relationship Id="rId27" Type="http://schemas.openxmlformats.org/officeDocument/2006/relationships/hyperlink" Target="https://arxiv.org/abs/2609.19969" TargetMode="External"/><Relationship Id="rId28" Type="http://schemas.openxmlformats.org/officeDocument/2006/relationships/hyperlink" Target="https://github.com/vllm-project/vllm-ascend/tree/5685a13e434e69fda37099c44b8c903dc31626fb" TargetMode="External"/><Relationship Id="rId29" Type="http://schemas.openxmlformats.org/officeDocument/2006/relationships/hyperlink" Target="https://arxiv.org/abs/2405.04434" TargetMode="External"/><Relationship Id="rId30" Type="http://schemas.openxmlformats.org/officeDocument/2006/relationships/hyperlink" Target="https://github.com/deepseek-ai/FlashMLA" TargetMode="External"/><Relationship Id="rId31" Type="http://schemas.openxmlformats.org/officeDocument/2006/relationships/hyperlink" Target="https://github.com/deepseek-ai/DeepInfer/blob/9bd9cf243fc53ef9afbf8f04d391d989117d6ab9/deepinfer/model_executor/models/v4_modules/mlp.py" TargetMode="External"/><Relationship Id="rId32" Type="http://schemas.openxmlformats.org/officeDocument/2006/relationships/hyperlink" Target="https://github.com/deepseek-ai/DeepInfer/tree/9bd9cf243fc53ef9afbf8f04d391d989117d6ab9/deepinfer/model_executor/eplb" TargetMode="External"/><Relationship Id="rId33" Type="http://schemas.openxmlformats.org/officeDocument/2006/relationships/hyperlink" Target="https://github.com/deepseek-ai/DeepInfer/blob/9bd9cf243fc53ef9afbf8f04d391d989117d6ab9/deepinfer/environ.py" TargetMode="External"/><Relationship Id="rId34" Type="http://schemas.openxmlformats.org/officeDocument/2006/relationships/hyperlink" Target="https://vllm.ai/blog/2025-01-27-v1-alpha-release" TargetMode="External"/><Relationship Id="rId35" Type="http://schemas.openxmlformats.org/officeDocument/2006/relationships/hyperlink" Target="https://github.com/deepseek-ai/DeepInfer/tree/9bd9cf243fc53ef9afbf8f04d391d989117d6ab9/csrc/engine" TargetMode="External"/><Relationship Id="rId36" Type="http://schemas.openxmlformats.org/officeDocument/2006/relationships/hyperlink" Target="https://vllm.ai/blog/2024-09-05-perf-update" TargetMode="External"/><Relationship Id="rId37" Type="http://schemas.openxmlformats.org/officeDocument/2006/relationships/hyperlink" Target="https://docs.vllm.ai/en/latest/design/prefix_caching/" TargetMode="External"/><Relationship Id="rId38" Type="http://schemas.openxmlformats.org/officeDocument/2006/relationships/hyperlink" Target="https://github.com/vllm-project/vllm-ascend/blob/d04ca23915093c662b4061c77d0c08a07791d7dc/docs/source/user_guide/feature_guide/kv_cache_cpu_offload.md" TargetMode="External"/><Relationship Id="rId39" Type="http://schemas.openxmlformats.org/officeDocument/2006/relationships/hyperlink" Target="https://github.com/vllm-project/vllm/blob/f4edf9f0f078ae67392510aafd1871288948a3c3/rust/README.md" TargetMode="External"/><Relationship Id="rId40" Type="http://schemas.openxmlformats.org/officeDocument/2006/relationships/hyperlink" Target="https://github.com/vllm-project/vllm/blob/f4edf9f0f078ae67392510aafd1871288948a3c3/vllm/config/scheduler.py#L231" TargetMode="External"/><Relationship Id="rId41" Type="http://schemas.openxmlformats.org/officeDocument/2006/relationships/hyperlink" Target="https://github.com/vllm-project/vllm/blob/f4edf9f0f078ae67392510aafd1871288948a3c3/vllm/envs.py#L1452" TargetMode="External"/><Relationship Id="rId42" Type="http://schemas.openxmlformats.org/officeDocument/2006/relationships/hyperlink" Target="https://github.com/vllm-project/vllm-ascend/blob/d04ca23915093c662b4061c77d0c08a07791d7dc/Dockerfile.a5" TargetMode="External"/><Relationship Id="rId43" Type="http://schemas.openxmlformats.org/officeDocument/2006/relationships/hyperlink" Target="https://github.com/vllm-project/vllm/issues/40846" TargetMode="External"/><Relationship Id="rId44" Type="http://schemas.openxmlformats.org/officeDocument/2006/relationships/hyperlink" Target="https://github.com/deepseek-ai/DeepInfer/blob/9bd9cf243fc53ef9afbf8f04d391d989117d6ab9/deepinfer/model_executor/models/v4_modules/cross_layer.py" TargetMode="External"/><Relationship Id="rId45" Type="http://schemas.openxmlformats.org/officeDocument/2006/relationships/hyperlink" Target="https://github.com/deepseek-ai/DeepInfer/blob/9bd9cf243fc53ef9afbf8f04d391d989117d6ab9/deepinfer/model_executor/models/v4_modules/attn.py#L672" TargetMode="External"/><Relationship Id="rId46" Type="http://schemas.openxmlformats.org/officeDocument/2006/relationships/hyperlink" Target="https://github.com/deepseek-ai/DeepInfer/blob/9bd9cf243fc53ef9afbf8f04d391d989117d6ab9/deepinfer/model_executor/models/v4_modules/yoco.py" TargetMode="External"/><Relationship Id="rId47" Type="http://schemas.openxmlformats.org/officeDocument/2006/relationships/hyperlink" Target="https://huggingface.co/deepseek-ai/DeepSeek-V4.1-Flash-1017/blob/1bae0e1088993b9b82de08f59de5be5a34e42170/config.json" TargetMode="External"/><Relationship Id="rId48" Type="http://schemas.openxmlformats.org/officeDocument/2006/relationships/hyperlink" Target="https://github.com/deepseek-ai/DeepInfer/blob/9bd9cf243fc53ef9afbf8f04d391d989117d6ab9/deepinfer/model_executor/models/decoder_layer.py" TargetMode="External"/><Relationship Id="rId49" Type="http://schemas.openxmlformats.org/officeDocument/2006/relationships/hyperlink" Target="https://github.com/deepseek-ai/DeepInfer/blob/9bd9cf243fc53ef9afbf8f04d391d989117d6ab9/deepinfer/model_executor/models/v4_modules/hc.py" TargetMode="External"/><Relationship Id="rId50" Type="http://schemas.openxmlformats.org/officeDocument/2006/relationships/hyperlink" Target="https://github.com/deepseek-ai/DeepInfer/blob/9bd9cf243fc53ef9afbf8f04d391d989117d6ab9/deepinfer/model_executor/models/v4_modules/index_attn.py" TargetMode="External"/><Relationship Id="rId51" Type="http://schemas.openxmlformats.org/officeDocument/2006/relationships/hyperlink" Target="https://github.com/deepseek-ai/DeepInfer/blob/9bd9cf243fc53ef9afbf8f04d391d989117d6ab9/deepinfer/model_executor/layers/tilelang_ops/fused_transform.py" TargetMode="External"/><Relationship Id="rId52" Type="http://schemas.openxmlformats.org/officeDocument/2006/relationships/hyperlink" Target="https://github.com/deepseek-ai/DeepInfer/blob/9bd9cf243fc53ef9afbf8f04d391d989117d6ab9/deepinfer/model_executor/layers/tilelang_ops/asc/norm.py" TargetMode="External"/><Relationship Id="rId53" Type="http://schemas.openxmlformats.org/officeDocument/2006/relationships/hyperlink" Target="https://github.com/deepseek-ai/DeepInfer/blob/9bd9cf243fc53ef9afbf8f04d391d989117d6ab9/scripts/build_vendor.sh" TargetMode="External"/><Relationship Id="rId54" Type="http://schemas.openxmlformats.org/officeDocument/2006/relationships/hyperlink" Target="https://github.com/deepseek-ai/DeepInfer/blob/9bd9cf243fc53ef9afbf8f04d391d989117d6ab9/deepinfer/worker/worker.py" TargetMode="External"/><Relationship Id="rId55" Type="http://schemas.openxmlformats.org/officeDocument/2006/relationships/hyperlink" Target="https://zhuanlan.zhihu.com/p/2095560295930508953" TargetMode="External"/><Relationship Id="rId56" Type="http://schemas.openxmlformats.org/officeDocument/2006/relationships/hyperlink" Target="https://github.com/vllm-project/vllm-ascend/blob/4e6eac4e476d9be3476e99440f4cabed67b253ea/docs/source/user_guide/feature_guide/kv_cache_pool_ascend_store.md" TargetMode="External"/><Relationship Id="rId57" Type="http://schemas.openxmlformats.org/officeDocument/2006/relationships/hyperlink" Target="https://github.com/vllm-project/vllm-ascend/blob/4e6eac4e476d9be3476e99440f4cabed67b253ea/vllm_ascend/distributed/kv_transfer/kv_pool/ascend_store/ascend_store_connector.py" TargetMode="External"/><Relationship Id="rId58" Type="http://schemas.openxmlformats.org/officeDocument/2006/relationships/hyperlink" Target="https://github.com/vllm-project/vllm-ascend/blob/5685a13e434e69fda37099c44b8c903dc31626fb/vllm_ascend/models/deepseek_v41/model.py#L724" TargetMode="External"/><Relationship Id="rId59" Type="http://schemas.openxmlformats.org/officeDocument/2006/relationships/hyperlink" Target="https://github.com/vllm-project/vllm-ascend/blob/5685a13e434e69fda37099c44b8c903dc31626fb/vllm_ascend/models/deepseek_v41/decoder_replay_layers.py" TargetMode="External"/><Relationship Id="rId60" Type="http://schemas.openxmlformats.org/officeDocument/2006/relationships/hyperlink" Target="https://github.com/vllm-project/vllm-ascend/blob/4e6eac4e476d9be3476e99440f4cabed67b253ea/docs/source/tutorials/models/DeepSeek-V4.1-Flash.md" TargetMode="External"/><Relationship Id="rId61" Type="http://schemas.openxmlformats.org/officeDocument/2006/relationships/hyperlink" Target="https://github.com/vllm-project/vllm-ascend/blob/4e6eac4e476d9be3476e99440f4cabed67b253ea/docs/source/user_guide/feature_guide/kv_cache_cpu_offload.md" TargetMode="External"/><Relationship Id="rId62" Type="http://schemas.openxmlformats.org/officeDocument/2006/relationships/hyperlink" Target="https://vllm.ai/blog/2026-10-23-deepseek-v41-flash-pd-wide-ep" TargetMode="External"/><Relationship Id="rId63" Type="http://schemas.openxmlformats.org/officeDocument/2006/relationships/hyperlink" Target="https://www.lmsys.org/blog/2026-10-24-dsv41-deepinfer" TargetMode="External"/><Relationship Id="rId64" Type="http://schemas.openxmlformats.org/officeDocument/2006/relationships/hyperlink" Target="https://gist.github.com/sglang-bot/f03d7d0dd268b0386177eb2ef09f8b3b" TargetMode="External"/><Relationship Id="rId65" Type="http://schemas.openxmlformats.org/officeDocument/2006/relationships/hyperlink" Target="https://github.com/vllm-project/vllm/pull/59894" TargetMode="External"/><Relationship Id="rId66" Type="http://schemas.openxmlformats.org/officeDocument/2006/relationships/hyperlink" Target="https://github.com/vllm-project/vllm/pull/61767" TargetMode="External"/><Relationship Id="rId67" Type="http://schemas.openxmlformats.org/officeDocument/2006/relationships/hyperlink" Target="https://github.com/vllm-project/vllm/pull/61395" TargetMode="External"/><Relationship Id="rId68" Type="http://schemas.openxmlformats.org/officeDocument/2006/relationships/hyperlink" Target="https://github.com/vllm-project/vllm/pull/62009" TargetMode="External"/><Relationship Id="rId69" Type="http://schemas.openxmlformats.org/officeDocument/2006/relationships/hyperlink" Target="https://github.com/sgl-project/sglang/pull/46230" TargetMode="External"/><Relationship Id="rId70" Type="http://schemas.openxmlformats.org/officeDocument/2006/relationships/hyperlink" Target="https://github.com/sgl-project/sglang/pull/46242" TargetMode="External"/><Relationship Id="rId71" Type="http://schemas.openxmlformats.org/officeDocument/2006/relationships/hyperlink" Target="https://github.com/vllm-project/vllm-project.github.io/blob/215c503827bca884e606bc4ae545ed91f398902d/assets/interactive_pages/dsv41-pd-decode-vs-deepinfer.html#L1471-L1494" TargetMode="External"/><Relationship Id="rId72" Type="http://schemas.openxmlformats.org/officeDocument/2006/relationships/hyperlink" Target="https://github.com/vllm-project/vllm-project.github.io/blob/215c503827bca884e606bc4ae545ed91f398902d/assets/interactive_pages/dsv41-pd-prefill-vs-deepinfer.html#L543-L551" TargetMode="External"/><Relationship Id="rId73" Type="http://schemas.openxmlformats.org/officeDocument/2006/relationships/hyperlink" Target="https://github.com/deepseek-ai/DeepInfer/blob/553741557a57df44a46fb3ab72b6aafeaf945337/examples/benchmark.py#L151-L165" TargetMode="External"/><Relationship Id="rId74" Type="http://schemas.openxmlformats.org/officeDocument/2006/relationships/hyperlink" Target="https://github.com/deepseek-ai/DeepInfer/blob/9bd9cf243fc53ef9afbf8f04d391d989117d6ab9/deepinfer/worker/model_runner.py#L182" TargetMode="External"/><Relationship Id="rId75" Type="http://schemas.openxmlformats.org/officeDocument/2006/relationships/hyperlink" Target="https://docs.vllm.ai/projects/ascend/en/main/user_guide/feature_guide/expert_parallelism_load_balancer.html" TargetMode="External"/><Relationship Id="rId76" Type="http://schemas.openxmlformats.org/officeDocument/2006/relationships/hyperlink" Target="https://docs.vllm.ai/projects/ascend/en/main/user_guide/feature_guide/speculative_decoding.html" TargetMode="External"/><Relationship Id="rId77" Type="http://schemas.openxmlformats.org/officeDocument/2006/relationships/hyperlink" Target="https://docs.vllm.ai/projects/ascend/en/main/user_guide/configuration/additional_confi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DeepInfer 对昇腾推理平台的影响与应对</dc:title>
  <dc:subject>官方对比证据 昇腾执行优化 技术吸收与框架选择</dc:subject>
  <dc:creator/>
  <cp:keywords>DeepInfer vLLM Ascend 950 CED DSpark EPLB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