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Layout w:type="fixed"/>
        <w:tblCellMar>
          <w:top w:w="380" w:type="dxa"/>
          <w:left w:w="300" w:type="dxa"/>
          <w:bottom w:w="380" w:type="dxa"/>
          <w:right w:w="300" w:type="dxa"/>
        </w:tblCellMar>
        <w:tblLayout w:type="fixed"/>
        <w:tblW w:w="9752" w:type="dxa"/>
      </w:tblPr>
      <w:tblGrid>
        <w:gridCol w:w="9752"/>
      </w:tblGrid>
      <w:tr>
        <w:tc>
          <w:tcPr>
            <w:tcW w:type="dxa" w:w="9751"/>
            <w:shd w:val="clear" w:color="auto" w:fill="14304F"/>
          </w:tcPr>
          <w:p>
            <w:pPr>
              <w:wordWrap w:val="0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9CC9F2"/>
                <w:sz w:val="20"/>
              </w:rPr>
              <w:t>지축역아테라 입주자대표회의  ·  2026년 10월</w:t>
            </w:r>
          </w:p>
          <w:p>
            <w:pPr>
              <w:wordWrap w:val="0"/>
              <w:autoSpaceDE w:val="0"/>
              <w:autoSpaceDN w:val="0"/>
              <w:spacing w:before="20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8"/>
              </w:rPr>
              <w:t>하자 합의서 체결 상세 안내</w:t>
            </w:r>
          </w:p>
          <w:p>
            <w:pPr>
              <w:wordWrap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i w:val="0"/>
                <w:color w:val="DCE9F7"/>
                <w:sz w:val="26"/>
              </w:rPr>
              <w:t>사용검사 전 하자 및 2·3년차 하자 합의</w:t>
            </w:r>
          </w:p>
          <w:p>
            <w:pPr>
              <w:wordWrap w:val="0"/>
              <w:autoSpaceDE w:val="0"/>
              <w:autoSpaceDN w:val="0"/>
              <w:spacing w:before="200"/>
            </w:pPr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9"/>
              </w:rPr>
              <w:t>합의서 체결 2026.9.29  |  공증 2026.9.30 (공증인가 법무법인 호수 등부 2026년 제1818호)</w:t>
            </w:r>
          </w:p>
        </w:tc>
      </w:tr>
    </w:tbl>
    <w:p>
      <w:pPr>
        <w:wordWrap w:val="0"/>
        <w:autoSpaceDE w:val="0"/>
        <w:autoSpaceDN w:val="0"/>
        <w:spacing w:after="80"/>
      </w:pPr>
    </w:p>
    <w:p>
      <w:pPr>
        <w:wordWrap w:val="0"/>
        <w:autoSpaceDE w:val="0"/>
        <w:autoSpaceDN w:val="0"/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이 문서는 합의서 별첨에 담긴 내용을 공사 항목별로 풀어 설명한 연결 문서입니다. 내용은 합의서 별첨1과 조사보고서를 바탕으로 정리했으며, 쪽수는 홈페이지에 올린 합의서 공개본(agreement.pdf) 기준입니다.</w:t>
      </w: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문서 구성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1360"/>
        <w:gridCol w:w="6350"/>
        <w:gridCol w:w="2041"/>
      </w:tblGrid>
      <w:tr>
        <w:trPr>
          <w:cantSplit/>
        </w:trPr>
        <w:tc>
          <w:tcPr>
            <w:tcW w:type="dxa" w:w="136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635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04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합의서 별첨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35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합의서 개요</w:t>
            </w:r>
          </w:p>
        </w:tc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본문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635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지난 안내와 달라진 점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1</w:t>
            </w:r>
          </w:p>
        </w:tc>
        <w:tc>
          <w:tcPr>
            <w:tcW w:type="dxa" w:w="635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소송비용 정산</w:t>
            </w:r>
          </w:p>
        </w:tc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2</w:t>
            </w:r>
          </w:p>
        </w:tc>
        <w:tc>
          <w:tcPr>
            <w:tcW w:type="dxa" w:w="635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BI(아테라) 사용 및 LED 문주, BI 그래픽 시공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3</w:t>
            </w:r>
          </w:p>
        </w:tc>
        <w:tc>
          <w:tcPr>
            <w:tcW w:type="dxa" w:w="635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스마트룸 재구성(스터디룸 인테리어) 공사</w:t>
            </w:r>
          </w:p>
        </w:tc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4</w:t>
            </w:r>
          </w:p>
        </w:tc>
        <w:tc>
          <w:tcPr>
            <w:tcW w:type="dxa" w:w="635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게스트하우스 및 카페 집기 구매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5</w:t>
            </w:r>
          </w:p>
        </w:tc>
        <w:tc>
          <w:tcPr>
            <w:tcW w:type="dxa" w:w="635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주차관제 업그레이드</w:t>
            </w:r>
          </w:p>
        </w:tc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6</w:t>
            </w:r>
          </w:p>
        </w:tc>
        <w:tc>
          <w:tcPr>
            <w:tcW w:type="dxa" w:w="635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잔디광장 개선 공사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별첨1-6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7</w:t>
            </w:r>
          </w:p>
        </w:tc>
        <w:tc>
          <w:tcPr>
            <w:tcW w:type="dxa" w:w="635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스쿨버스 승강장 설치 공사</w:t>
            </w:r>
          </w:p>
        </w:tc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8</w:t>
            </w:r>
          </w:p>
        </w:tc>
        <w:tc>
          <w:tcPr>
            <w:tcW w:type="dxa" w:w="635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헬스장 기구 추가 및 스트레칭룸 공사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별첨1-8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635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전유부분 2·3년차 하자 접수건 보수</w:t>
            </w:r>
          </w:p>
        </w:tc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본문 1조 5항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635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앞으로의 진행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본문 3조·5조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1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합의서 개요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본문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 당사자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갑: 지축역아테라 입주자대표회의 (대표회장 배찬우)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을: 금호건설㈜(대표사) 및 공동수급사 — 한국발전기술㈜, ㈜성문전력, ㈜신호이엔씨, 영한산업㈜, ㈜대경텔레콤, ㈜씨티, ㈜파인우드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 날짜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2026년 9월 29일 체결 · 9월 30일 공증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 대상 하자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사용검사 전 하자(미시공·변경시공)와 사용검사 후 2·3년차 하자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사용검사 후 5년차·10년차 하자는 이 합의의 범위에서 제외됩니다. (2조 4항)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입주민 대표성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입대의는 이미 법무법인에 제출된 채권양도양수서(동의서)로 입주민을 대표할 수 있는 근거를 갖추고 있었습니다. 이번 합의서에서는 여기에 소유권자 위임장(별첨3·별첨4)이 더해져 입주민 대표성이 한층 강화되었습니다. (1조 1항)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위임장 징구율은 전체 세대의 80% 이상입니다. (1조 4항) 전체 세대는 분양 소유자 389세대와 LH(행복주택 구분소유자 전체를 1건으로 판정)를 합산해 산정합니다.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제출 현황(2026.9.28): 분양 소유자 389세대 중 324세대 제출, 83.29%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소송 종결 방식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의정부지방법원 고양지원에서 진행 중인 하자 소송에서 화해권고결정(또는 조정에 갈음하는 결정)에 이의하지 않습니다. 이 결정에는 이번 합의 내용과 함께 입대의가 한국토지주택공사(LH)를 상대로 제기한 소송을 취하하고, LH에 대한 사용검사 전 하자·사용검사 후 2·3년차 하자 청구를 포기하며 부제소한다는 내용이 포함됩니다. (2조 6항)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효력 발생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갑과 을이 합의서에 기명·날인하고, 위 소송의 화해권고결정(또는 조정에 갈음하는 결정)이 확정된 날부터 효력이 발생합니다. (5조)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하자 보수 책임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 공사가 끝나고 갑이 '하자보수책임 완료확인서'에 확인·날인하면, 사용검사 전 하자와 2·3년차 하자에 대한 을의 하자보수책임이 종료되고 2·3년차 하자보수보증증권이 을에게 반환됩니다.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 공사의 하자보증기간은 개별공사 완료확인서 날인일부터 1년입니다. (2조 5항)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소송비용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소송 취하로 발생하는 제반 소송비용(변호사 성공보수 등)은 별첨1 목록에 따라 정산하며, 입대의는 소송비용확정 신청 등 추가 청구를 하지 않습니다. (2조 7항)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본문 (공개본 p.2~p.5). 위임장 서식은 p.10~p.11, 위임장 제출 결과 공고는 p.12.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2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지난 안내와 달라진 점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4월·7월 안내 대비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4월 10일 안내와 7월 진행경과 안내 이후, 합의서에 최종 반영된 내용을 항목별로 비교했습니다.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1474"/>
        <w:gridCol w:w="3515"/>
        <w:gridCol w:w="4762"/>
      </w:tblGrid>
      <w:tr>
        <w:trPr>
          <w:cantSplit/>
        </w:trPr>
        <w:tc>
          <w:tcPr>
            <w:tcW w:type="dxa" w:w="147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515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이전 안내</w:t>
            </w:r>
          </w:p>
        </w:tc>
        <w:tc>
          <w:tcPr>
            <w:tcW w:type="dxa" w:w="4762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합의서 최종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합의 범위</w:t>
            </w:r>
          </w:p>
        </w:tc>
        <w:tc>
          <w:tcPr>
            <w:tcW w:type="dxa" w:w="351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4월: 사용검사 후 2·3년차 하자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7월: 사용검사 전 하자 포함</w:t>
            </w:r>
          </w:p>
        </w:tc>
        <w:tc>
          <w:tcPr>
            <w:tcW w:type="dxa" w:w="4762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사용검사 전 하자 + 사용검사 후 2·3년차 하자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(5년차·10년차 제외)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소송 종결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4월: 소취하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7월: 종결 방식 검토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화해권고결정(또는 조정에 갈음하는 결정)에 이의하지 않는 방식. 효력은 결정 확정일부터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브랜드</w:t>
            </w:r>
          </w:p>
        </w:tc>
        <w:tc>
          <w:tcPr>
            <w:tcW w:type="dxa" w:w="351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4월: 어울림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7월: 아테라</w:t>
            </w:r>
          </w:p>
        </w:tc>
        <w:tc>
          <w:tcPr>
            <w:tcW w:type="dxa" w:w="4762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아테라(영문 ARTERA)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표기물 교체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문주·외벽·엘리베이터·게시판 등 단지 내 표기물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문주, 옥외 난간대, 동 외벽(201·205·209동)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단지 내 문구, 주차등록증(새 디자인)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주차</w:t>
            </w:r>
          </w:p>
        </w:tc>
        <w:tc>
          <w:tcPr>
            <w:tcW w:type="dxa" w:w="351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4월: 잔여 대수 전광판 + LED 유도등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7월: 유도등 제외 검토, 주차관제 고도화</w:t>
            </w:r>
          </w:p>
        </w:tc>
        <w:tc>
          <w:tcPr>
            <w:tcW w:type="dxa" w:w="4762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주차관제 시스템 업그레이드 (기존 구형 시스템은 유지 관리가 어려워 교체·개선하고, 키오스크를 추가 설치)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단지에 LED 주차 유도 시스템이 없어 잔여 대수 전광판은 포함하지 않음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커피머신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4월: 무인카페형 2대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7월: 1대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커피머신 1대 + 운영에 필요한 부대 물품 구입 비용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기기 2대만 구입하기보다 1대를 구입하고 운영에 필요한 부대 물품 비용까지 확보하는 편이 운영 효율 면에서 유리하다고 판단했습니다.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게스트하우스</w:t>
            </w:r>
          </w:p>
        </w:tc>
        <w:tc>
          <w:tcPr>
            <w:tcW w:type="dxa" w:w="351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필수 비품 구입·설치</w:t>
            </w:r>
          </w:p>
        </w:tc>
        <w:tc>
          <w:tcPr>
            <w:tcW w:type="dxa" w:w="4762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15종 확정 (첨부 4)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스터디룸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스마트 멀티룸을 스터디룸으로 재구성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동일 (합의서 표기: 스마트룸 재구성)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추가 확보 항목</w:t>
            </w:r>
          </w:p>
        </w:tc>
        <w:tc>
          <w:tcPr>
            <w:tcW w:type="dxa" w:w="351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7월: 헬스장·스쿨버스존·잔디광장 검토 중</w:t>
            </w:r>
          </w:p>
        </w:tc>
        <w:tc>
          <w:tcPr>
            <w:tcW w:type="dxa" w:w="4762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잔디광장 고무블록 130㎡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스쿨버스 이동식 승강장 부스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헬스장 기구 3종 추가, 스트레칭 용품, 스트레칭룸 공사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법무법인 비용</w:t>
            </w:r>
          </w:p>
        </w:tc>
        <w:tc>
          <w:tcPr>
            <w:tcW w:type="dxa" w:w="351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7월: 협의 중</w:t>
            </w:r>
          </w:p>
        </w:tc>
        <w:tc>
          <w:tcPr>
            <w:tcW w:type="dxa" w:w="4762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별첨1에 확정 기재 (첨부 1)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1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소송비용 정산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별첨1-1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80"/>
      </w:pPr>
      <w:r>
        <w:rPr>
          <w:rFonts w:ascii="맑은 고딕" w:hAnsi="맑은 고딕" w:eastAsia="맑은 고딕"/>
          <w:b w:val="0"/>
          <w:i w:val="0"/>
          <w:sz w:val="20"/>
        </w:rPr>
        <w:t>합의서 별첨1은 아파트에 투입될 예정인 소송 관련 비용을 '대납' 항목으로 적고 있으며, 지급처는 법무법인 선진입니다. 금액은 부가세(VAT)를 제외한 값입니다.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907"/>
        <w:gridCol w:w="5896"/>
        <w:gridCol w:w="2948"/>
      </w:tblGrid>
      <w:tr>
        <w:trPr>
          <w:cantSplit/>
        </w:trPr>
        <w:tc>
          <w:tcPr>
            <w:tcW w:type="dxa" w:w="907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5896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94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금액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가</w:t>
            </w:r>
          </w:p>
        </w:tc>
        <w:tc>
          <w:tcPr>
            <w:tcW w:type="dxa" w:w="5896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하자진단 비용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15,000,000원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나</w:t>
            </w:r>
          </w:p>
        </w:tc>
        <w:tc>
          <w:tcPr>
            <w:tcW w:type="dxa" w:w="5896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채권양도양수서(동의서) 징구비용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365세대 × 7,000원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2,555,000원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다</w:t>
            </w:r>
          </w:p>
        </w:tc>
        <w:tc>
          <w:tcPr>
            <w:tcW w:type="dxa" w:w="5896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인지료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3,964,500원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라</w:t>
            </w:r>
          </w:p>
        </w:tc>
        <w:tc>
          <w:tcPr>
            <w:tcW w:type="dxa" w:w="5896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변호사 성공보수비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대상 금액 합계 × 3%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(추가 발생분은 아파트 부담)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65,309,013원 이내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</w:r>
          </w:p>
        </w:tc>
        <w:tc>
          <w:tcPr>
            <w:tcW w:type="dxa" w:w="5896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합계 (VAT 별도)</w:t>
            </w:r>
          </w:p>
        </w:tc>
        <w:tc>
          <w:tcPr>
            <w:tcW w:type="dxa" w:w="2948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86,828,513원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성공보수 산출 근거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4536"/>
        <w:gridCol w:w="5216"/>
      </w:tblGrid>
      <w:tr>
        <w:trPr>
          <w:cantSplit/>
        </w:trPr>
        <w:tc>
          <w:tcPr>
            <w:tcW w:type="dxa" w:w="4535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5216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적출금액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사용검사 전 하자</w:t>
            </w:r>
          </w:p>
        </w:tc>
        <w:tc>
          <w:tcPr>
            <w:tcW w:type="dxa" w:w="5216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1,721,915,567원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2년차 하자</w:t>
            </w:r>
          </w:p>
        </w:tc>
        <w:tc>
          <w:tcPr>
            <w:tcW w:type="dxa" w:w="5216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166,222,823원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3년차 하자</w:t>
            </w:r>
          </w:p>
        </w:tc>
        <w:tc>
          <w:tcPr>
            <w:tcW w:type="dxa" w:w="5216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288,828,724원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대상 금액 합계 (약 21억 7,697만 원)</w:t>
            </w:r>
          </w:p>
        </w:tc>
        <w:tc>
          <w:tcPr>
            <w:tcW w:type="dxa" w:w="5216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× 3% = 65,309,013원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50" w:type="dxa"/>
          <w:bottom w:w="90" w:type="dxa"/>
          <w:right w:w="150" w:type="dxa"/>
        </w:tblCellMar>
        <w:tblLayout w:type="fixed"/>
        <w:tblW w:w="9752" w:type="dxa"/>
      </w:tblPr>
      <w:tblGrid>
        <w:gridCol w:w="9752"/>
      </w:tblGrid>
      <w:tr>
        <w:tc>
          <w:tcPr>
            <w:tcW w:type="dxa" w:w="9751"/>
            <w:shd w:val="clear" w:color="auto" w:fill="F3F5F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소송 취하로 발생하는 제반 소송비용은 별첨1 목록에 따라 정산하고, 입대의는 소송비용확정 신청 등 추가 청구를 하지 않습니다. (합의서 2조 7항)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1번 (공개본 p.7), 본문 2조 7항 (공개본 p.4)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2-1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BI(아테라) 사용 및 LED 문주 · 외벽 BI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별첨1-2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합의서 표기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BI(아테라) 사용 및 LED 문주, BI 그래픽 시공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기존 BI와 '수피움' 문구를 철거한 뒤 아테라 BI로 다시 시공합니다. (조사보고서 '사인물(문주·외벽·옥외) BI 교체공사')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브랜드 표기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영문 ARTERA, 국문 '지축역아테라'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공사 범위와 수량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680"/>
        <w:gridCol w:w="3288"/>
        <w:gridCol w:w="1247"/>
        <w:gridCol w:w="4536"/>
      </w:tblGrid>
      <w:tr>
        <w:trPr>
          <w:cantSplit/>
        </w:trPr>
        <w:tc>
          <w:tcPr>
            <w:tcW w:type="dxa" w:w="68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328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1247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  <w:tc>
          <w:tcPr>
            <w:tcW w:type="dxa" w:w="4535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328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문주 BI 교체</w:t>
            </w:r>
          </w:p>
        </w:tc>
        <w:tc>
          <w:tcPr>
            <w:tcW w:type="dxa" w:w="124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453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조명(LED)이 들어가는 문주 사인. ARTERA 로고와 '지축역아테라' 문구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옥외 난간대 BI 교체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위치는 아래 위치도 참조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328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동 외벽 BI 교체 — 201동</w:t>
            </w:r>
          </w:p>
        </w:tc>
        <w:tc>
          <w:tcPr>
            <w:tcW w:type="dxa" w:w="124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453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외벽 BI 면 291㎡ (조사보고서 측정)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328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동 외벽 BI 교체 — 205동</w:t>
            </w:r>
          </w:p>
        </w:tc>
        <w:tc>
          <w:tcPr>
            <w:tcW w:type="dxa" w:w="124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4535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외벽 BI 면 291㎡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328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동 외벽 BI 교체 — 209동</w:t>
            </w:r>
          </w:p>
        </w:tc>
        <w:tc>
          <w:tcPr>
            <w:tcW w:type="dxa" w:w="124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4535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외벽 BI 면 291㎡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</w:r>
          </w:p>
        </w:tc>
        <w:tc>
          <w:tcPr>
            <w:tcW w:type="dxa" w:w="3288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합계</w:t>
            </w:r>
          </w:p>
        </w:tc>
        <w:tc>
          <w:tcPr>
            <w:tcW w:type="dxa" w:w="1247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5 EA</w:t>
            </w:r>
          </w:p>
        </w:tc>
        <w:tc>
          <w:tcPr>
            <w:tcW w:type="dxa" w:w="4535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57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_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7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교체 전 현황 사진 (조사보고서) — 왼쪽: 문주 및 옥외 난간대, 오른쪽: 201·205·209동 외벽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10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_gate_sig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문주 사인 디자인 (디자인 도면)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60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_wall_2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201동 외벽 BI 디자인 (205동, 209동도 같은 형식 — 합의서 공개본 p.23~p.25)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2번 (공개본 p.7), 조사보고서 (공개본 p.13~p.30)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0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_wall_m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동 외벽 BI 교체 위치 — 201동·205동·209동 (조사보고서 단지 배치도)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00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_gate_ma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문주 BI 교체 위치 (조사보고서 단지 배치도)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2-2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단지 내 문구 교체 · 주차등록증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별첨1-2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단지 내 기존 '수피움' 문구와 그래픽 중 남아 있는 부분은 모두 아테라 BI로 교체합니다.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주차등록증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차량 등록용 주차스티커인 주차등록증은 새 디자인으로 제작합니다.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교체 대상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907"/>
        <w:gridCol w:w="8845"/>
      </w:tblGrid>
      <w:tr>
        <w:trPr>
          <w:cantSplit/>
        </w:trPr>
        <w:tc>
          <w:tcPr>
            <w:tcW w:type="dxa" w:w="907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884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884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동별 게시판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884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엘리베이터(EV) 게시판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884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현관 스티커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884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단지 내 게시판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884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자동문 그래픽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884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세대 호수 사인 BI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884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그 밖에 수피움 기존 그래픽이 남아 있는 부분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884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주차등록증 (새 디자인)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88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_ma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8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단지 내 문구 교체 위치와 현황 (조사보고서) — 빨간 네모: 동, 초록 원: 단지 내 게시판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2번 (공개본 p.7), 조사보고서 (공개본 p.18~p.19)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2724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_stick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2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주차등록증 현황 (조사보고서) — 기존 'SOOPIUM' 스티커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0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_boar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내부 게시판 변경 전·후 — SOOPIUM 로고 → ARTERA 로고 (디자인 도면)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4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_doo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세대 호수 사인 변경 전·후 — 하단 로고 SOOPIUM → ARTERA (디자인 도면)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3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스마트룸 재구성(스터디룸 인테리어)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별첨1-3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합의서 표기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스마트룸 재구성(인테리어 공사)  /  조사보고서 표기: 도서관 인테리어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기존 스마트 멀티룸을 스터디룸(열람실) 형태로 인테리어합니다.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도면에 적힌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• 바닥 카펫 설치 약 145㎡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• 가벽 설치 후 수성페인트 도장 마감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• 열람용 책상과 회의용 테이블·의자 배치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• 입구 목재 루버 가벽, 천장 조명, 벽체 하단 LED (설치 예시 이미지)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8246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pla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82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스터디룸 평면도와 설치 예시 (조사보고서)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69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ref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6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설치 예시 이미지 — 입구 루버, 천장 조명·바닥 카펫, 회의 테이블·의자, 독서실 책상 (조사보고서)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3번 (공개본 p.7), 조사보고서 (공개본 p.31~p.32)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4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게스트하우스 및 카페 집기 구매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별첨1-4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합의서 표기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게스트하우스 및 카페 집기 구매 공사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게스트하우스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게스트하우스(1층)에 필요한 물품 15종을 구입해 설치합니다. 조사보고서에 '게스트하우스 집기 미설치'로 적혀 있던 공간입니다.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카페(커피머신)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커피머신은 설치 공사 대신, 커피머신 1대와 운영에 필요한 부대 물품 구입 비용으로 정리했습니다. 기기 2대만 구입하기보다, 1대를 구입하고 이를 운영하는 데 필요한 부대 물품 비용까지 확보하는 편이 운영 효율 면에서 유리하다고 입대의가 판단했습니다. 단지에 2대까지는 필요하지 않다고 보았습니다. 별첨 수량표에는 게스트하우스 15종만 적혀 있습니다.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게스트하우스 물품 (수량표)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072" w:type="dxa"/>
      </w:tblPr>
      <w:tblGrid>
        <w:gridCol w:w="623"/>
        <w:gridCol w:w="2948"/>
        <w:gridCol w:w="963"/>
        <w:gridCol w:w="623"/>
        <w:gridCol w:w="2948"/>
        <w:gridCol w:w="963"/>
      </w:tblGrid>
      <w:tr>
        <w:trPr>
          <w:cantSplit/>
        </w:trPr>
        <w:tc>
          <w:tcPr>
            <w:tcW w:type="dxa" w:w="62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294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품목</w:t>
            </w:r>
          </w:p>
        </w:tc>
        <w:tc>
          <w:tcPr>
            <w:tcW w:type="dxa" w:w="96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  <w:tc>
          <w:tcPr>
            <w:tcW w:type="dxa" w:w="62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294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품목</w:t>
            </w:r>
          </w:p>
        </w:tc>
        <w:tc>
          <w:tcPr>
            <w:tcW w:type="dxa" w:w="96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4인 식탁세트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4도어 냉장고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65인치 TV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10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침구세트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암막커튼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소파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4인용 식기세트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12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침대협탁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티테이블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카페트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TV 서랍장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14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안방 TV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전기 주전자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전자레인지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침대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</w:r>
          </w:p>
        </w:tc>
        <w:tc>
          <w:tcPr>
            <w:tcW w:type="dxa" w:w="2948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합계</w:t>
            </w:r>
          </w:p>
        </w:tc>
        <w:tc>
          <w:tcPr>
            <w:tcW w:type="dxa" w:w="964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</w:r>
          </w:p>
        </w:tc>
        <w:tc>
          <w:tcPr>
            <w:tcW w:type="dxa" w:w="624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</w:r>
          </w:p>
        </w:tc>
        <w:tc>
          <w:tcPr>
            <w:tcW w:type="dxa" w:w="2948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</w:r>
          </w:p>
        </w:tc>
        <w:tc>
          <w:tcPr>
            <w:tcW w:type="dxa" w:w="964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15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557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_pla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게스트하우스 1층 평면도 — 번호는 위 수량표의 품목 번호 (조사보고서)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566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_phot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게스트하우스 현황 사진 (조사보고서)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4번 (공개본 p.7), 조사보고서 (공개본 p.33~p.34)  ·  커피머신 항목은 입대의와 금호건설 협의 내용 기준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5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주차관제 업그레이드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별첨1-5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합의서 표기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주차관제 설치 공사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기존 구형 주차관제 시스템은 유지 관리가 어려워 교체·개선하고, 방문증 키오스크를 추가 설치합니다. 도면에는 통합형 차량번호인식 차단기, 방문증 키오스크, VoIP폰, 모니터링 PC, 주차관제 서버(중앙방재센터·관리사무소) 구성이 그려져 있습니다.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구성 품목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072" w:type="dxa"/>
      </w:tblPr>
      <w:tblGrid>
        <w:gridCol w:w="623"/>
        <w:gridCol w:w="2948"/>
        <w:gridCol w:w="963"/>
        <w:gridCol w:w="623"/>
        <w:gridCol w:w="2948"/>
        <w:gridCol w:w="963"/>
      </w:tblGrid>
      <w:tr>
        <w:trPr>
          <w:cantSplit/>
        </w:trPr>
        <w:tc>
          <w:tcPr>
            <w:tcW w:type="dxa" w:w="62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294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품목</w:t>
            </w:r>
          </w:p>
        </w:tc>
        <w:tc>
          <w:tcPr>
            <w:tcW w:type="dxa" w:w="96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  <w:tc>
          <w:tcPr>
            <w:tcW w:type="dxa" w:w="62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294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품목</w:t>
            </w:r>
          </w:p>
        </w:tc>
        <w:tc>
          <w:tcPr>
            <w:tcW w:type="dxa" w:w="96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차량번호인식 차단기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모니터링 컴퓨터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방문증 키오스크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방문예약시스템 배관배선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VoIP폰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배관배선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루프코일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8</w:t>
            </w:r>
          </w:p>
        </w:tc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10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토목공사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수동스위치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네트워크 장치</w:t>
            </w:r>
          </w:p>
        </w:tc>
        <w:tc>
          <w:tcPr>
            <w:tcW w:type="dxa" w:w="96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중앙관리 컴퓨터</w:t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2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  <w:tc>
          <w:tcPr>
            <w:tcW w:type="dxa" w:w="294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  <w:tc>
          <w:tcPr>
            <w:tcW w:type="dxa" w:w="96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489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_sy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주차관제 시스템 구성도와 정문 입·출구 (조사보고서)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51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_map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주차관제 설치 위치 — 단지 정문 (조사보고서 배치도)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5번 (공개본 p.7), 조사보고서 (공개본 p.35~p.36)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6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잔디광장 개선 공사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별첨1-6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합의서 표기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잔디 광장 개선 공사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단지 내 잔디광장 구간(약 130㎡)에 고무블록을 시공합니다. 현황 사진에는 잔디가 훼손된 구간이 표시되어 있습니다.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수량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907"/>
        <w:gridCol w:w="6463"/>
        <w:gridCol w:w="2381"/>
      </w:tblGrid>
      <w:tr>
        <w:trPr>
          <w:cantSplit/>
        </w:trPr>
        <w:tc>
          <w:tcPr>
            <w:tcW w:type="dxa" w:w="907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6463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38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463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고무블록 시공</w:t>
            </w:r>
          </w:p>
        </w:tc>
        <w:tc>
          <w:tcPr>
            <w:tcW w:type="dxa" w:w="238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130㎡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6463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벤치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 SET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218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n_pla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잔디광장 개선 위치 (조사보고서 평면도)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06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n_phot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현황 사진과 시공 예시 (조사보고서)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6번 (공개본 p.7), 조사보고서 (공개본 p.37~p.38)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7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스쿨버스 승강장 설치 공사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별첨1-7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합의서 표기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스쿨버스 승강장 설치 공사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이동식 승강장 부스 1세트를 설치하고 전기 배선 작업을 합니다.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수량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907"/>
        <w:gridCol w:w="6463"/>
        <w:gridCol w:w="2381"/>
      </w:tblGrid>
      <w:tr>
        <w:trPr>
          <w:cantSplit/>
        </w:trPr>
        <w:tc>
          <w:tcPr>
            <w:tcW w:type="dxa" w:w="907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6463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238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6463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이동식 승강장 부스 (5000×3000×3000, 슬라이딩 자동문, 냉난방기 포함)</w:t>
            </w:r>
          </w:p>
        </w:tc>
        <w:tc>
          <w:tcPr>
            <w:tcW w:type="dxa" w:w="238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SET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6463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전기 배선 작업</w:t>
            </w:r>
          </w:p>
        </w:tc>
        <w:tc>
          <w:tcPr>
            <w:tcW w:type="dxa" w:w="238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8 M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643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pla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스쿨버스 승강장 위치 (조사보고서 평면도)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489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ref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어린이 승강장 시안과 현황 사진 (조사보고서)</w:t>
      </w:r>
    </w:p>
    <w:p>
      <w:pPr>
        <w:wordWrap w:val="0"/>
        <w:autoSpaceDE w:val="0"/>
        <w:autoSpaceDN w:val="0"/>
        <w:spacing w:before="80"/>
      </w:pPr>
      <w:r>
        <w:rPr>
          <w:rFonts w:ascii="맑은 고딕" w:hAnsi="맑은 고딕" w:eastAsia="맑은 고딕"/>
          <w:b/>
          <w:i w:val="0"/>
          <w:color w:val="14304F"/>
          <w:sz w:val="20"/>
        </w:rPr>
        <w:t>참고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</w:tcPr>
          <w:p>
            <w:pPr>
              <w:wordWrap w:val="0"/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51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_bus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5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51"/>
          </w:tcPr>
          <w:p>
            <w:pPr>
              <w:wordWrap w:val="0"/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821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_bus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8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51"/>
          </w:tcPr>
          <w:p>
            <w:pPr>
              <w:wordWrap w:val="0"/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3996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_bus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399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ordWrap w:val="0"/>
        <w:autoSpaceDE w:val="0"/>
        <w:autoSpaceDN w:val="0"/>
        <w:spacing w:after="8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다른 단지에 설치된 승강장 부스 사례입니다. 합의서 별첨의 규격은 위 표를 기준으로 합니다.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7번 (공개본 p.7), 조사보고서 (공개본 p.39~p.40)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첨부 8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헬스장 기구 추가 및 스트레칭룸 공사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별첨1-8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공사명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헬스장 기구 추가 및 스트레칭룸 공사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공사 내용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헬스장에 운동기구 3종을 추가하고, 스트레칭룸(사무실 리모델링 공간)에 용품 구입과 바닥공사, 벽체 유리 거울 설치를 합니다.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수량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680"/>
        <w:gridCol w:w="3969"/>
        <w:gridCol w:w="1474"/>
        <w:gridCol w:w="3628"/>
      </w:tblGrid>
      <w:tr>
        <w:trPr>
          <w:cantSplit/>
        </w:trPr>
        <w:tc>
          <w:tcPr>
            <w:tcW w:type="dxa" w:w="68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3969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품목</w:t>
            </w:r>
          </w:p>
        </w:tc>
        <w:tc>
          <w:tcPr>
            <w:tcW w:type="dxa" w:w="1474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</w:t>
            </w:r>
          </w:p>
        </w:tc>
        <w:tc>
          <w:tcPr>
            <w:tcW w:type="dxa" w:w="362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듀얼 멀티 케이블 머신</w:t>
            </w:r>
          </w:p>
        </w:tc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362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듀얼 숄더 V 스쿼트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런닝머신</w:t>
            </w:r>
          </w:p>
        </w:tc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 EA</w:t>
            </w:r>
          </w:p>
        </w:tc>
        <w:tc>
          <w:tcPr>
            <w:tcW w:type="dxa" w:w="362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3969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스트레칭 용품</w:t>
            </w:r>
          </w:p>
        </w:tc>
        <w:tc>
          <w:tcPr>
            <w:tcW w:type="dxa" w:w="1474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구입</w:t>
            </w:r>
          </w:p>
        </w:tc>
        <w:tc>
          <w:tcPr>
            <w:tcW w:type="dxa" w:w="362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스트레칭룸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스트레칭룸 바닥공사</w:t>
            </w:r>
          </w:p>
        </w:tc>
        <w:tc>
          <w:tcPr>
            <w:tcW w:type="dxa" w:w="1474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25 ㎡</w:t>
            </w:r>
          </w:p>
        </w:tc>
        <w:tc>
          <w:tcPr>
            <w:tcW w:type="dxa" w:w="362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고무매트 (더블매트 50T, 500×500×50mm)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80"/>
      </w:pPr>
      <w:r>
        <w:rPr>
          <w:rFonts w:ascii="맑은 고딕" w:hAnsi="맑은 고딕" w:eastAsia="맑은 고딕"/>
          <w:b w:val="0"/>
          <w:i w:val="0"/>
          <w:color w:val="5B6775"/>
          <w:sz w:val="19"/>
        </w:rPr>
        <w:t>스트레칭룸 도면에는 '벽체 2면 유리거울 전체 설치'와 '바닥 고무매트 시공(25㎡)'이 표기되어 있습니다.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2442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ym_pla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44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헬스장 위치와 현황 (조사보고서 평면도)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p>
      <w:pPr>
        <w:keepNext/>
        <w:wordWrap w:val="0"/>
        <w:autoSpaceDE w:val="0"/>
        <w:autoSpaceDN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750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ym_offic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 w:val="0"/>
        <w:autoSpaceDE w:val="0"/>
        <w:autoSpaceDN w:val="0"/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스트레칭룸(사무실 리모델링) 평면도 — 거울 설치, 고무매트 시공 위치 (조사보고서)</w:t>
      </w:r>
    </w:p>
    <w:p>
      <w:pPr>
        <w:wordWrap w:val="0"/>
        <w:autoSpaceDE w:val="0"/>
        <w:autoSpaceDN w:val="0"/>
        <w:spacing w:before="80"/>
      </w:pPr>
      <w:r>
        <w:rPr>
          <w:rFonts w:ascii="맑은 고딕" w:hAnsi="맑은 고딕" w:eastAsia="맑은 고딕"/>
          <w:b/>
          <w:i w:val="0"/>
          <w:color w:val="14304F"/>
          <w:sz w:val="20"/>
        </w:rPr>
        <w:t>참고 제품 (예시)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</w:tcPr>
          <w:p>
            <w:pPr>
              <w:wordWrap w:val="0"/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26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_treadmill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26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</w:tcPr>
          <w:p>
            <w:pPr>
              <w:wordWrap w:val="0"/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38657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_cabl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386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</w:tcPr>
          <w:p>
            <w:pPr>
              <w:wordWrap w:val="0"/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46189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_pres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461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</w:tcPr>
          <w:p>
            <w:pPr>
              <w:wordWrap w:val="0"/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2745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_mat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274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color w:val="1F2933"/>
                <w:sz w:val="18"/>
              </w:rPr>
              <w:t>런닝머신 X11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속도 1.0~25.0km/h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최대 허용하중 180kg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크기 2,180×960×1,660mm</w:t>
            </w:r>
          </w:p>
        </w:tc>
        <w:tc>
          <w:tcPr>
            <w:tcW w:type="dxa" w:w="243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color w:val="1F2933"/>
                <w:sz w:val="18"/>
              </w:rPr>
              <w:t>G4 올인원 트레이너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FORCE USA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조립 크기 192×154×220cm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무게 354kg</w:t>
            </w:r>
          </w:p>
        </w:tc>
        <w:tc>
          <w:tcPr>
            <w:tcW w:type="dxa" w:w="243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color w:val="1F2933"/>
                <w:sz w:val="18"/>
              </w:rPr>
              <w:t>EM1085 체스트·숄더 프레스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듀얼머신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크기 1840×1310×1580mm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무게 204kg</w:t>
            </w:r>
          </w:p>
        </w:tc>
        <w:tc>
          <w:tcPr>
            <w:tcW w:type="dxa" w:w="243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color w:val="1F2933"/>
                <w:sz w:val="18"/>
              </w:rPr>
              <w:t>더블매트 50T (고무)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B6775"/>
                <w:sz w:val="18"/>
              </w:rPr>
              <w:t>500×500×50mm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80"/>
      </w:pPr>
      <w:r>
        <w:rPr>
          <w:rFonts w:ascii="맑은 고딕" w:hAnsi="맑은 고딕" w:eastAsia="맑은 고딕"/>
          <w:b w:val="0"/>
          <w:i w:val="0"/>
          <w:color w:val="5B6775"/>
          <w:sz w:val="18"/>
        </w:rPr>
        <w:t>참고 제품은 예시입니다. 실제 설치되는 제품의 모델과 세부 구성은 협의에 따라 달라질 수 있습니다.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별첨1 8번 (공개본 p.7), 조사보고서 (공개본 p.41~p.42)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3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전유부분 2·3년차 하자 접수건 보수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1조 5항</w:t>
            </w:r>
          </w:p>
        </w:tc>
      </w:tr>
    </w:tbl>
    <w:p>
      <w:pPr>
        <w:wordWrap w:val="0"/>
        <w:autoSpaceDE w:val="0"/>
        <w:autoSpaceDN w:val="0"/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260" w:type="dxa"/>
          <w:left w:w="300" w:type="dxa"/>
          <w:bottom w:w="260" w:type="dxa"/>
          <w:right w:w="300" w:type="dxa"/>
        </w:tblCellMar>
        <w:tblLayout w:type="fixed"/>
        <w:tblW w:w="9752" w:type="dxa"/>
      </w:tblPr>
      <w:tblGrid>
        <w:gridCol w:w="9752"/>
      </w:tblGrid>
      <w:tr>
        <w:tc>
          <w:tcPr>
            <w:tcW w:type="dxa" w:w="9751"/>
            <w:shd w:val="clear" w:color="auto" w:fill="EAF2FB"/>
          </w:tcPr>
          <w:p>
            <w:pPr>
              <w:wordWrap w:val="0"/>
              <w:autoSpaceDE w:val="0"/>
              <w:autoSpaceDN w:val="0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2E6DB5"/>
                <w:sz w:val="80"/>
              </w:rPr>
              <w:t>95%</w:t>
            </w:r>
          </w:p>
          <w:p>
            <w:pPr>
              <w:wordWrap w:val="0"/>
              <w:autoSpaceDE w:val="0"/>
              <w:autoSpaceDN w:val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4304F"/>
                <w:sz w:val="28"/>
              </w:rPr>
              <w:t>이상 처리</w:t>
            </w:r>
          </w:p>
          <w:p>
            <w:pPr>
              <w:wordWrap w:val="0"/>
              <w:autoSpaceDE w:val="0"/>
              <w:autoSpaceDN w:val="0"/>
              <w:spacing w:before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21"/>
              </w:rPr>
              <w:t>접수된 세대 내부 2·3년차 하자를 금호건설이 책임지고 보수합니다.</w:t>
            </w:r>
          </w:p>
        </w:tc>
      </w:tr>
    </w:tbl>
    <w:p>
      <w:pPr>
        <w:wordWrap w:val="0"/>
        <w:autoSpaceDE w:val="0"/>
        <w:autoSpaceDN w:val="0"/>
        <w:spacing w:after="8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합의서 문구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90" w:type="dxa"/>
          <w:left w:w="150" w:type="dxa"/>
          <w:bottom w:w="90" w:type="dxa"/>
          <w:right w:w="150" w:type="dxa"/>
        </w:tblCellMar>
        <w:tblLayout w:type="fixed"/>
        <w:tblW w:w="9752" w:type="dxa"/>
      </w:tblPr>
      <w:tblGrid>
        <w:gridCol w:w="9752"/>
      </w:tblGrid>
      <w:tr>
        <w:tc>
          <w:tcPr>
            <w:tcW w:type="dxa" w:w="9751"/>
            <w:shd w:val="clear" w:color="auto" w:fill="F3F5F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"지축역아테라 아파트 입주자(소유권자)의 전유부분 2, 3년차 하자 접수건("을"의 시공부분에 한함)은 "을"의 책임으로 하자보수 완료하며, 완료 후 "갑"에게 그 결과를 통보한다. (하자보수 처리율 95% 이상으로 하며, 미처리 건에 대해서는 보수 확약서로 대체한다)"  — 합의서 1조 5항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쉽게 풀어 쓰면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752" w:type="dxa"/>
      </w:tblPr>
      <w:tblGrid>
        <w:gridCol w:w="2041"/>
        <w:gridCol w:w="7711"/>
      </w:tblGrid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대상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입주민 세대 안(전유부분)의 2·3년차 하자 중, LH를 통해 LH 통합 건설기술정보시스템 '코티스(COTIS)'에 접수된 건입니다. 금호건설은 코티스 접수건을 기준으로 보수하며, 금호건설이 시공한 부분에 한합니다.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보수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금호건설이 책임지고 보수를 완료합니다.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결과 통보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보수가 끝나면 그 결과를 입대의에 알립니다.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처리 기준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코티스에 접수된 건의 95% 이상을 처리합니다.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처리하지 못한 건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보수 확약서로 대체합니다.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AF2FB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color w:val="14304F"/>
                <w:sz w:val="19"/>
              </w:rPr>
              <w:t>접수 외 세대 보수건</w:t>
            </w:r>
          </w:p>
        </w:tc>
        <w:tc>
          <w:tcPr>
            <w:tcW w:type="dxa" w:w="7710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코티스에 접수되지 않은 세대 보수건은 입대의와 금호건설의 협의가 필요합니다.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</w:pPr>
      <w:r>
        <w:rPr>
          <w:rFonts w:ascii="맑은 고딕" w:hAnsi="맑은 고딕" w:eastAsia="맑은 고딕"/>
          <w:b w:val="0"/>
          <w:i w:val="0"/>
          <w:color w:val="5B6775"/>
          <w:sz w:val="17"/>
        </w:rPr>
        <w:t>※ 세대 내부(전유부분) 하자는 LH를 통해 코티스에 접수하며, 처리 대상은 코티스 접수건 기준입니다.</w:t>
      </w:r>
    </w:p>
    <w:p>
      <w:pPr>
        <w:wordWrap w:val="0"/>
        <w:autoSpaceDE w:val="0"/>
        <w:autoSpaceDN w:val="0"/>
        <w:spacing w:after="80" w:before="40"/>
      </w:pPr>
      <w:r>
        <w:rPr>
          <w:rFonts w:ascii="맑은 고딕" w:hAnsi="맑은 고딕" w:eastAsia="맑은 고딕"/>
          <w:b/>
          <w:i w:val="0"/>
          <w:color w:val="2E6DB5"/>
          <w:sz w:val="17"/>
        </w:rPr>
        <w:t xml:space="preserve">근거  </w:t>
      </w:r>
      <w:r>
        <w:rPr>
          <w:rFonts w:ascii="맑은 고딕" w:hAnsi="맑은 고딕" w:eastAsia="맑은 고딕"/>
          <w:b w:val="0"/>
          <w:i w:val="0"/>
          <w:color w:val="5B6775"/>
          <w:sz w:val="17"/>
        </w:rPr>
        <w:t>합의서 본문 1조 5항 (공개본 p.3)</w:t>
      </w:r>
    </w:p>
    <w:p>
      <w:pPr>
        <w:pageBreakBefore/>
        <w:wordWrap w:val="0"/>
        <w:autoSpaceDE w:val="0"/>
        <w:autoSpaceDN w:val="0"/>
        <w:spacing w:after="0" w:before="0" w:line="20" w:lineRule="exact"/>
      </w:pPr>
      <w:r>
        <w:rPr>
          <w:sz w:val="2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120" w:type="dxa"/>
          <w:left w:w="180" w:type="dxa"/>
          <w:bottom w:w="120" w:type="dxa"/>
          <w:right w:w="180" w:type="dxa"/>
        </w:tblCellMar>
        <w:tblLayout w:type="fixed"/>
        <w:tblW w:w="9752" w:type="dxa"/>
      </w:tblPr>
      <w:tblGrid>
        <w:gridCol w:w="7021"/>
        <w:gridCol w:w="2730"/>
      </w:tblGrid>
      <w:tr>
        <w:tc>
          <w:tcPr>
            <w:tcW w:type="dxa" w:w="702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</w:pPr>
            <w:r/>
            <w:r>
              <w:rPr>
                <w:rFonts w:ascii="맑은 고딕" w:hAnsi="맑은 고딕" w:eastAsia="맑은 고딕"/>
                <w:b/>
                <w:i w:val="0"/>
                <w:color w:val="9CC9F2"/>
                <w:sz w:val="20"/>
              </w:rPr>
              <w:t xml:space="preserve">4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30"/>
              </w:rPr>
              <w:t>앞으로의 진행</w:t>
            </w:r>
          </w:p>
        </w:tc>
        <w:tc>
          <w:tcPr>
            <w:tcW w:type="dxa" w:w="2730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0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CFE0F2"/>
                <w:sz w:val="18"/>
              </w:rPr>
              <w:t>합의서 본문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앞으로의 진행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ayout w:type="fixed"/>
        <w:tblW w:w="9752" w:type="dxa"/>
      </w:tblPr>
      <w:tblGrid>
        <w:gridCol w:w="2041"/>
        <w:gridCol w:w="5443"/>
        <w:gridCol w:w="2268"/>
      </w:tblGrid>
      <w:tr>
        <w:trPr>
          <w:cantSplit/>
        </w:trPr>
        <w:tc>
          <w:tcPr>
            <w:tcW w:type="dxa" w:w="2041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5443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268"/>
            <w:shd w:val="clear" w:color="auto" w:fill="14304F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합의서 체결·공증</w:t>
            </w:r>
          </w:p>
        </w:tc>
        <w:tc>
          <w:tcPr>
            <w:tcW w:type="dxa" w:w="5443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합의서 체결과 공증</w:t>
            </w:r>
          </w:p>
        </w:tc>
        <w:tc>
          <w:tcPr>
            <w:tcW w:type="dxa" w:w="226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완료 (9.29 / 9.30)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소송 종결</w:t>
            </w:r>
          </w:p>
        </w:tc>
        <w:tc>
          <w:tcPr>
            <w:tcW w:type="dxa" w:w="5443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합의서를 법원에 제출해 화해권고결정(또는 조정에 갈음하는 결정)을 받음. 효력은 결정이 확정된 날부터 (5조)</w:t>
            </w:r>
          </w:p>
        </w:tc>
        <w:tc>
          <w:tcPr>
            <w:tcW w:type="dxa" w:w="226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법원 절차에 따름</w:t>
            </w:r>
          </w:p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(10월 중 예정)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별첨1 공사</w:t>
            </w:r>
          </w:p>
        </w:tc>
        <w:tc>
          <w:tcPr>
            <w:tcW w:type="dxa" w:w="5443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첨부 2~8 공사 진행. 공사 기간 12개월 이내 (3조 4항)</w:t>
            </w:r>
          </w:p>
        </w:tc>
        <w:tc>
          <w:tcPr>
            <w:tcW w:type="dxa" w:w="226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11월부터 (금호건설 계획)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공사 완료</w:t>
            </w:r>
          </w:p>
        </w:tc>
        <w:tc>
          <w:tcPr>
            <w:tcW w:type="dxa" w:w="5443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개별공사 완료확인서 날인 후 하자보증기간 1년 (2조 5항)</w:t>
            </w:r>
          </w:p>
        </w:tc>
        <w:tc>
          <w:tcPr>
            <w:tcW w:type="dxa" w:w="2268"/>
            <w:vAlign w:val="center"/>
            <w:shd w:val="clear" w:color="auto" w:fill="F8FAFC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공사별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하자보수 책임 종료</w:t>
            </w:r>
          </w:p>
        </w:tc>
        <w:tc>
          <w:tcPr>
            <w:tcW w:type="dxa" w:w="5443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하자보수책임 완료확인서 확인·날인 시 책임 종료, 2·3년차 하자보수보증증권 반환 (2조 5항)</w:t>
            </w:r>
          </w:p>
        </w:tc>
        <w:tc>
          <w:tcPr>
            <w:tcW w:type="dxa" w:w="2268"/>
            <w:vAlign w:val="center"/>
          </w:tcPr>
          <w:p>
            <w:pPr>
              <w:wordWrap w:val="0"/>
              <w:autoSpaceDE w:val="0"/>
              <w:autoSpaceDN w:val="0"/>
              <w:spacing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F2933"/>
                <w:sz w:val="19"/>
              </w:rPr>
              <w:t>공사 완료 시</w:t>
            </w:r>
          </w:p>
        </w:tc>
      </w:tr>
    </w:tbl>
    <w:p>
      <w:pPr>
        <w:wordWrap w:val="0"/>
        <w:autoSpaceDE w:val="0"/>
        <w:autoSpaceDN w:val="0"/>
        <w:spacing w:after="40"/>
      </w:pPr>
    </w:p>
    <w:p>
      <w:pPr>
        <w:wordWrap w:val="0"/>
        <w:autoSpaceDE w:val="0"/>
        <w:autoSpaceDN w:val="0"/>
        <w:spacing w:after="80"/>
      </w:pPr>
      <w:r>
        <w:rPr>
          <w:rFonts w:ascii="맑은 고딕" w:hAnsi="맑은 고딕" w:eastAsia="맑은 고딕"/>
          <w:b w:val="0"/>
          <w:i w:val="0"/>
          <w:color w:val="5B6775"/>
          <w:sz w:val="19"/>
        </w:rPr>
        <w:t>세부 일정은 확정되는 대로 입주민께 안내드립니다.</w:t>
      </w:r>
    </w:p>
    <w:p>
      <w:pPr>
        <w:wordWrap w:val="0"/>
        <w:autoSpaceDE w:val="0"/>
        <w:autoSpaceDN w:val="0"/>
        <w:spacing w:after="60" w:before="160"/>
      </w:pPr>
      <w:r>
        <w:rPr>
          <w:rFonts w:ascii="맑은 고딕" w:hAnsi="맑은 고딕" w:eastAsia="맑은 고딕"/>
          <w:b/>
          <w:i w:val="0"/>
          <w:color w:val="2E6DB5"/>
          <w:sz w:val="20"/>
        </w:rPr>
        <w:t xml:space="preserve">■ </w:t>
      </w:r>
      <w:r>
        <w:rPr>
          <w:rFonts w:ascii="맑은 고딕" w:hAnsi="맑은 고딕" w:eastAsia="맑은 고딕"/>
          <w:b/>
          <w:i w:val="0"/>
          <w:color w:val="14304F"/>
          <w:sz w:val="23"/>
        </w:rPr>
        <w:t>관련 문서</w:t>
      </w:r>
    </w:p>
    <w:p>
      <w:pPr>
        <w:wordWrap w:val="0"/>
        <w:autoSpaceDE w:val="0"/>
        <w:autoSpaceDN w:val="0"/>
        <w:spacing w:after="40"/>
        <w:ind w:left="283" w:hanging="227"/>
      </w:pPr>
      <w:r>
        <w:rPr>
          <w:rFonts w:ascii="맑은 고딕" w:hAnsi="맑은 고딕" w:eastAsia="맑은 고딕"/>
          <w:b/>
          <w:i w:val="0"/>
          <w:color w:val="2E6DB5"/>
          <w:sz w:val="19"/>
        </w:rPr>
        <w:t xml:space="preserve">•  </w:t>
      </w:r>
      <w:r>
        <w:rPr>
          <w:rFonts w:ascii="맑은 고딕" w:hAnsi="맑은 고딕" w:eastAsia="맑은 고딕"/>
          <w:b w:val="0"/>
          <w:i w:val="0"/>
          <w:sz w:val="19"/>
        </w:rPr>
        <w:t>합의서 공개본(agreement.pdf): 본문 p.2~p.6, 별첨1 p.7, 별첨2 p.8, 소장 p.9, 위임장 서식 p.10~p.11, 조사보고서 p.13~p.42, 공증 p.43~p.44</w:t>
      </w:r>
    </w:p>
    <w:p>
      <w:pPr>
        <w:wordWrap w:val="0"/>
        <w:autoSpaceDE w:val="0"/>
        <w:autoSpaceDN w:val="0"/>
        <w:spacing w:after="40"/>
        <w:ind w:left="283" w:hanging="227"/>
      </w:pPr>
      <w:r>
        <w:rPr>
          <w:rFonts w:ascii="맑은 고딕" w:hAnsi="맑은 고딕" w:eastAsia="맑은 고딕"/>
          <w:b/>
          <w:i w:val="0"/>
          <w:color w:val="2E6DB5"/>
          <w:sz w:val="19"/>
        </w:rPr>
        <w:t xml:space="preserve">•  </w:t>
      </w:r>
      <w:r>
        <w:rPr>
          <w:rFonts w:ascii="맑은 고딕" w:hAnsi="맑은 고딕" w:eastAsia="맑은 고딕"/>
          <w:b w:val="0"/>
          <w:i w:val="0"/>
          <w:sz w:val="19"/>
        </w:rPr>
        <w:t>공개본은 개인정보 보호를 위해 위임장 서식의 서명란(별첨3·4)을 가렸고, 세대별 제출 여부가 표시된 위임장 제출 현황표 쪽은 제외했습니다.</w:t>
      </w:r>
    </w:p>
    <w:p>
      <w:pPr>
        <w:wordWrap w:val="0"/>
        <w:autoSpaceDE w:val="0"/>
        <w:autoSpaceDN w:val="0"/>
        <w:spacing w:after="40"/>
        <w:ind w:left="283" w:hanging="227"/>
      </w:pPr>
      <w:r>
        <w:rPr>
          <w:rFonts w:ascii="맑은 고딕" w:hAnsi="맑은 고딕" w:eastAsia="맑은 고딕"/>
          <w:b/>
          <w:i w:val="0"/>
          <w:color w:val="2E6DB5"/>
          <w:sz w:val="19"/>
        </w:rPr>
        <w:t xml:space="preserve">•  </w:t>
      </w:r>
      <w:r>
        <w:rPr>
          <w:rFonts w:ascii="맑은 고딕" w:hAnsi="맑은 고딕" w:eastAsia="맑은 고딕"/>
          <w:b w:val="0"/>
          <w:i w:val="0"/>
          <w:sz w:val="19"/>
        </w:rPr>
        <w:t>이전 안내: 4월 10일 안내 (ghqlt0116-web.github.io/supium), 7월 진행경과 안내 (…/supium/0721)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0"/>
      <w:autoSpaceDE w:val="0"/>
      <w:autoSpaceDN w:val="0"/>
      <w:spacing w:after="6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