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cahier-des-charges"/>
    <w:p>
      <w:pPr>
        <w:pStyle w:val="Heading1"/>
      </w:pPr>
      <w:r>
        <w:t xml:space="preserve">Cahier des charges</w:t>
      </w:r>
    </w:p>
    <w:bookmarkStart w:id="20" w:name="Xbeb56c6b4858267dc724a4dcf9cc08388a4c9c0"/>
    <w:p>
      <w:pPr>
        <w:pStyle w:val="Heading2"/>
      </w:pPr>
      <w:r>
        <w:t xml:space="preserve">Projet : Conception et déploiement d’une infrastructure réseau distribuée</w:t>
      </w:r>
    </w:p>
    <w:p>
      <w:r>
        <w:pict>
          <v:rect style="width:0;height:1.5pt" o:hralign="center" o:hrstd="t" o:hr="t"/>
        </w:pict>
      </w:r>
    </w:p>
    <w:bookmarkEnd w:id="20"/>
    <w:bookmarkStart w:id="21" w:name="présentation-de-lentreprise"/>
    <w:p>
      <w:pPr>
        <w:pStyle w:val="Heading2"/>
      </w:pPr>
      <w:r>
        <w:t xml:space="preserve">1. Présentation de l’entreprise</w:t>
      </w:r>
    </w:p>
    <w:p>
      <w:pPr>
        <w:pStyle w:val="FirstParagraph"/>
      </w:pPr>
      <w:r>
        <w:rPr>
          <w:b/>
          <w:bCs/>
        </w:rPr>
        <w:t xml:space="preserve">TechSolutions SARL</w:t>
      </w:r>
      <w:r>
        <w:t xml:space="preserve"> </w:t>
      </w:r>
      <w:r>
        <w:t xml:space="preserve">est une entreprise spécialisée dans le développement de solutions numériques. Elle s’appuie sur plusieurs départements fonctionnels afin d’assurer ses activités :</w:t>
      </w:r>
      <w:r>
        <w:t xml:space="preserve"> </w:t>
      </w:r>
      <w:r>
        <w:t xml:space="preserve">- Web / Marketing</w:t>
      </w:r>
      <w:r>
        <w:t xml:space="preserve"> </w:t>
      </w:r>
      <w:r>
        <w:t xml:space="preserve">- Supervision / IT</w:t>
      </w:r>
      <w:r>
        <w:t xml:space="preserve"> </w:t>
      </w:r>
      <w:r>
        <w:t xml:space="preserve">- Gestion / Base de données</w:t>
      </w:r>
      <w:r>
        <w:t xml:space="preserve"> </w:t>
      </w:r>
      <w:r>
        <w:t xml:space="preserve">- Partage / Collaboration interne</w:t>
      </w:r>
    </w:p>
    <w:p>
      <w:pPr>
        <w:pStyle w:val="BodyText"/>
      </w:pPr>
      <w:r>
        <w:t xml:space="preserve">Dans un contexte de croissance et de professionnalisation, l’entreprise souhaite moderniser son infrastructure informatique afin de répondre aux exigences actuelles de disponibilité, de sécurité et d’évolutivité.</w:t>
      </w:r>
    </w:p>
    <w:p>
      <w:r>
        <w:pict>
          <v:rect style="width:0;height:1.5pt" o:hralign="center" o:hrstd="t" o:hr="t"/>
        </w:pict>
      </w:r>
    </w:p>
    <w:bookmarkEnd w:id="21"/>
    <w:bookmarkStart w:id="24" w:name="contexte-et-objectifs-du-projet"/>
    <w:p>
      <w:pPr>
        <w:pStyle w:val="Heading2"/>
      </w:pPr>
      <w:r>
        <w:t xml:space="preserve">2. Contexte et objectifs du projet</w:t>
      </w:r>
    </w:p>
    <w:bookmarkStart w:id="22" w:name="contexte"/>
    <w:p>
      <w:pPr>
        <w:pStyle w:val="Heading3"/>
      </w:pPr>
      <w:r>
        <w:t xml:space="preserve">2.1 Contexte</w:t>
      </w:r>
    </w:p>
    <w:p>
      <w:pPr>
        <w:pStyle w:val="FirstParagraph"/>
      </w:pPr>
      <w:r>
        <w:t xml:space="preserve">Le projet s’inscrit dans un cadre pédagogique sous forme de workshop. Il vise à simuler un environnement réseau d’entreprise réel à l’aide d’outils de virtualisation et de simulation réseau (GNS3, Packet Tracer, VirtualBox).</w:t>
      </w:r>
    </w:p>
    <w:p>
      <w:pPr>
        <w:pStyle w:val="BodyText"/>
      </w:pPr>
      <w:r>
        <w:t xml:space="preserve">Chaque étudiant représente un rôle réseau ou un département spécifique. L’architecture repose sur un nœud principal (backbone) assurant l’interconnexion de l’ensemble des départements.</w:t>
      </w:r>
    </w:p>
    <w:bookmarkEnd w:id="22"/>
    <w:bookmarkStart w:id="23" w:name="objectifs-principaux"/>
    <w:p>
      <w:pPr>
        <w:pStyle w:val="Heading3"/>
      </w:pPr>
      <w:r>
        <w:t xml:space="preserve">2.2 Objectifs principaux</w:t>
      </w:r>
    </w:p>
    <w:p>
      <w:pPr>
        <w:pStyle w:val="Compact"/>
        <w:numPr>
          <w:ilvl w:val="0"/>
          <w:numId w:val="1001"/>
        </w:numPr>
      </w:pPr>
      <w:r>
        <w:t xml:space="preserve">Garantir la</w:t>
      </w:r>
      <w:r>
        <w:t xml:space="preserve"> </w:t>
      </w:r>
      <w:r>
        <w:rPr>
          <w:b/>
          <w:bCs/>
        </w:rPr>
        <w:t xml:space="preserve">disponibilité des services critiques</w:t>
      </w:r>
      <w:r>
        <w:t xml:space="preserve"> </w:t>
      </w:r>
      <w:r>
        <w:t xml:space="preserve">pour les employés et les clients.</w:t>
      </w:r>
    </w:p>
    <w:p>
      <w:pPr>
        <w:pStyle w:val="Compact"/>
        <w:numPr>
          <w:ilvl w:val="0"/>
          <w:numId w:val="1001"/>
        </w:numPr>
      </w:pPr>
      <w:r>
        <w:t xml:space="preserve">Assurer une</w:t>
      </w:r>
      <w:r>
        <w:t xml:space="preserve"> </w:t>
      </w:r>
      <w:r>
        <w:rPr>
          <w:b/>
          <w:bCs/>
        </w:rPr>
        <w:t xml:space="preserve">sécurité renforcée</w:t>
      </w:r>
      <w:r>
        <w:t xml:space="preserve"> </w:t>
      </w:r>
      <w:r>
        <w:t xml:space="preserve">du réseau et une hiérarchisation efficace des flux.</w:t>
      </w:r>
    </w:p>
    <w:p>
      <w:pPr>
        <w:pStyle w:val="Compact"/>
        <w:numPr>
          <w:ilvl w:val="0"/>
          <w:numId w:val="1001"/>
        </w:numPr>
      </w:pPr>
      <w:r>
        <w:t xml:space="preserve">Mettre en place une</w:t>
      </w:r>
      <w:r>
        <w:t xml:space="preserve"> </w:t>
      </w:r>
      <w:r>
        <w:rPr>
          <w:b/>
          <w:bCs/>
        </w:rPr>
        <w:t xml:space="preserve">supervision proactive</w:t>
      </w:r>
      <w:r>
        <w:t xml:space="preserve"> </w:t>
      </w:r>
      <w:r>
        <w:t xml:space="preserve">pour anticiper et corriger les incidents.</w:t>
      </w:r>
    </w:p>
    <w:p>
      <w:pPr>
        <w:pStyle w:val="Compact"/>
        <w:numPr>
          <w:ilvl w:val="0"/>
          <w:numId w:val="1001"/>
        </w:numPr>
      </w:pPr>
      <w:r>
        <w:t xml:space="preserve">Concevoir une architecture</w:t>
      </w:r>
      <w:r>
        <w:t xml:space="preserve"> </w:t>
      </w:r>
      <w:r>
        <w:rPr>
          <w:b/>
          <w:bCs/>
        </w:rPr>
        <w:t xml:space="preserve">évolutive</w:t>
      </w:r>
      <w:r>
        <w:t xml:space="preserve">, modulaire et conforme aux standards professionnels.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érimètre-du-projet"/>
    <w:p>
      <w:pPr>
        <w:pStyle w:val="Heading2"/>
      </w:pPr>
      <w:r>
        <w:t xml:space="preserve">3. Périmètre du projet</w:t>
      </w:r>
    </w:p>
    <w:bookmarkStart w:id="25" w:name="inclus-dans-le-projet"/>
    <w:p>
      <w:pPr>
        <w:pStyle w:val="Heading3"/>
      </w:pPr>
      <w:r>
        <w:t xml:space="preserve">3.1 Inclus dans le projet</w:t>
      </w:r>
    </w:p>
    <w:p>
      <w:pPr>
        <w:pStyle w:val="Compact"/>
        <w:numPr>
          <w:ilvl w:val="0"/>
          <w:numId w:val="1002"/>
        </w:numPr>
      </w:pPr>
      <w:r>
        <w:t xml:space="preserve">Conception d’une topologie réseau multi-zones.</w:t>
      </w:r>
    </w:p>
    <w:p>
      <w:pPr>
        <w:pStyle w:val="Compact"/>
        <w:numPr>
          <w:ilvl w:val="0"/>
          <w:numId w:val="1002"/>
        </w:numPr>
      </w:pPr>
      <w:r>
        <w:t xml:space="preserve">Mise en place d’un backbone OSPF.</w:t>
      </w:r>
    </w:p>
    <w:p>
      <w:pPr>
        <w:pStyle w:val="Compact"/>
        <w:numPr>
          <w:ilvl w:val="0"/>
          <w:numId w:val="1002"/>
        </w:numPr>
      </w:pPr>
      <w:r>
        <w:t xml:space="preserve">Segmentation du réseau via VLSM.</w:t>
      </w:r>
    </w:p>
    <w:p>
      <w:pPr>
        <w:pStyle w:val="Compact"/>
        <w:numPr>
          <w:ilvl w:val="0"/>
          <w:numId w:val="1002"/>
        </w:numPr>
      </w:pPr>
      <w:r>
        <w:t xml:space="preserve">Déploiement de services sur machines virtuelles.</w:t>
      </w:r>
    </w:p>
    <w:p>
      <w:pPr>
        <w:pStyle w:val="Compact"/>
        <w:numPr>
          <w:ilvl w:val="0"/>
          <w:numId w:val="1002"/>
        </w:numPr>
      </w:pPr>
      <w:r>
        <w:t xml:space="preserve">Mise en œuvre des mécanismes de sécurité (VPN, NAT).</w:t>
      </w:r>
    </w:p>
    <w:p>
      <w:pPr>
        <w:pStyle w:val="Compact"/>
        <w:numPr>
          <w:ilvl w:val="0"/>
          <w:numId w:val="1002"/>
        </w:numPr>
      </w:pPr>
      <w:r>
        <w:t xml:space="preserve">Documentation complète du projet.</w:t>
      </w:r>
    </w:p>
    <w:bookmarkEnd w:id="25"/>
    <w:bookmarkStart w:id="26" w:name="hors-périmètre"/>
    <w:p>
      <w:pPr>
        <w:pStyle w:val="Heading3"/>
      </w:pPr>
      <w:r>
        <w:t xml:space="preserve">3.2 Hors périmètre</w:t>
      </w:r>
    </w:p>
    <w:p>
      <w:pPr>
        <w:pStyle w:val="Compact"/>
        <w:numPr>
          <w:ilvl w:val="0"/>
          <w:numId w:val="1003"/>
        </w:numPr>
      </w:pPr>
      <w:r>
        <w:t xml:space="preserve">Déploiement sur infrastructure physique réelle.</w:t>
      </w:r>
    </w:p>
    <w:p>
      <w:pPr>
        <w:pStyle w:val="Compact"/>
        <w:numPr>
          <w:ilvl w:val="0"/>
          <w:numId w:val="1003"/>
        </w:numPr>
      </w:pPr>
      <w:r>
        <w:t xml:space="preserve">Haute disponibilité avancée (cluster, load balancing réel).</w:t>
      </w:r>
    </w:p>
    <w:p>
      <w:pPr>
        <w:pStyle w:val="Compact"/>
        <w:numPr>
          <w:ilvl w:val="0"/>
          <w:numId w:val="1003"/>
        </w:numPr>
      </w:pPr>
      <w:r>
        <w:t xml:space="preserve">Sécurité applicative approfondie.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a3d5c1e657a2ce83ebe23b883edc80d28d8f571"/>
    <w:p>
      <w:pPr>
        <w:pStyle w:val="Heading2"/>
      </w:pPr>
      <w:r>
        <w:t xml:space="preserve">4. Description générale de l’architecture réseau</w:t>
      </w:r>
    </w:p>
    <w:bookmarkStart w:id="28" w:name="backbone-cœur-du-réseau"/>
    <w:p>
      <w:pPr>
        <w:pStyle w:val="Heading3"/>
      </w:pPr>
      <w:r>
        <w:t xml:space="preserve">4.1 Backbone (cœur du réseau)</w:t>
      </w:r>
    </w:p>
    <w:p>
      <w:pPr>
        <w:pStyle w:val="FirstParagraph"/>
      </w:pPr>
      <w:r>
        <w:t xml:space="preserve">Le backbone représente le</w:t>
      </w:r>
      <w:r>
        <w:t xml:space="preserve"> </w:t>
      </w:r>
      <w:r>
        <w:rPr>
          <w:b/>
          <w:bCs/>
        </w:rPr>
        <w:t xml:space="preserve">cœur de l’infrastructure réseau</w:t>
      </w:r>
      <w:r>
        <w:t xml:space="preserve"> </w:t>
      </w:r>
      <w:r>
        <w:t xml:space="preserve">de TechSolutions SARL. Il assure l’interconnexion de l’ensemble des départements et garantit la circulation fiable et sécurisée des flux internes.</w:t>
      </w:r>
    </w:p>
    <w:p>
      <w:pPr>
        <w:pStyle w:val="Compact"/>
        <w:numPr>
          <w:ilvl w:val="0"/>
          <w:numId w:val="1004"/>
        </w:numPr>
      </w:pPr>
      <w:r>
        <w:t xml:space="preserve">Constitué de</w:t>
      </w:r>
      <w:r>
        <w:t xml:space="preserve"> </w:t>
      </w:r>
      <w:r>
        <w:rPr>
          <w:b/>
          <w:bCs/>
        </w:rPr>
        <w:t xml:space="preserve">N + 1 routeurs</w:t>
      </w:r>
      <w:r>
        <w:t xml:space="preserve">, où N correspond au nombre de départements/services.</w:t>
      </w:r>
    </w:p>
    <w:p>
      <w:pPr>
        <w:pStyle w:val="Compact"/>
        <w:numPr>
          <w:ilvl w:val="0"/>
          <w:numId w:val="1004"/>
        </w:numPr>
      </w:pPr>
      <w:r>
        <w:t xml:space="preserve">Topologie</w:t>
      </w:r>
      <w:r>
        <w:t xml:space="preserve"> </w:t>
      </w:r>
      <w:r>
        <w:rPr>
          <w:b/>
          <w:bCs/>
        </w:rPr>
        <w:t xml:space="preserve">maillée</w:t>
      </w:r>
      <w:r>
        <w:t xml:space="preserve">, permettant une redondance logique et une meilleure tolérance aux pannes.</w:t>
      </w:r>
    </w:p>
    <w:p>
      <w:pPr>
        <w:pStyle w:val="Compact"/>
        <w:numPr>
          <w:ilvl w:val="0"/>
          <w:numId w:val="1004"/>
        </w:numPr>
      </w:pPr>
      <w:r>
        <w:t xml:space="preserve">Utilisation du protocole de routage dynamique</w:t>
      </w:r>
      <w:r>
        <w:t xml:space="preserve"> </w:t>
      </w:r>
      <w:r>
        <w:rPr>
          <w:b/>
          <w:bCs/>
        </w:rPr>
        <w:t xml:space="preserve">OSPF</w:t>
      </w:r>
      <w:r>
        <w:t xml:space="preserve">, assurant une convergence rapide et une gestion hiérarchisée des routes.</w:t>
      </w:r>
    </w:p>
    <w:p>
      <w:pPr>
        <w:pStyle w:val="Compact"/>
        <w:numPr>
          <w:ilvl w:val="0"/>
          <w:numId w:val="1004"/>
        </w:numPr>
      </w:pPr>
      <w:r>
        <w:t xml:space="preserve">Un routeur du backbone est désigné comme</w:t>
      </w:r>
      <w:r>
        <w:t xml:space="preserve"> </w:t>
      </w:r>
      <w:r>
        <w:rPr>
          <w:b/>
          <w:bCs/>
        </w:rPr>
        <w:t xml:space="preserve">nœud principal</w:t>
      </w:r>
      <w:r>
        <w:t xml:space="preserve">, jouant le rôle de point central d’interconnexion et de coordination.</w:t>
      </w:r>
    </w:p>
    <w:p>
      <w:pPr>
        <w:pStyle w:val="FirstParagraph"/>
      </w:pPr>
      <w:r>
        <w:t xml:space="preserve">Le backbone constitue également le point d’intégration des mécanismes de sécurité globaux et de l’accès Internet.</w:t>
      </w:r>
    </w:p>
    <w:bookmarkEnd w:id="28"/>
    <w:bookmarkStart w:id="29" w:name="accès-internet"/>
    <w:p>
      <w:pPr>
        <w:pStyle w:val="Heading3"/>
      </w:pPr>
      <w:r>
        <w:t xml:space="preserve">4.2 Accès Internet</w:t>
      </w:r>
    </w:p>
    <w:p>
      <w:pPr>
        <w:pStyle w:val="Compact"/>
        <w:numPr>
          <w:ilvl w:val="0"/>
          <w:numId w:val="1005"/>
        </w:numPr>
      </w:pPr>
      <w:r>
        <w:t xml:space="preserve">Routeur principal</w:t>
      </w:r>
      <w:r>
        <w:t xml:space="preserve"> </w:t>
      </w:r>
      <w:r>
        <w:rPr>
          <w:b/>
          <w:bCs/>
        </w:rPr>
        <w:t xml:space="preserve">R-Internet</w:t>
      </w:r>
      <w:r>
        <w:t xml:space="preserve">, connecté au backbone.</w:t>
      </w:r>
    </w:p>
    <w:p>
      <w:pPr>
        <w:pStyle w:val="Compact"/>
        <w:numPr>
          <w:ilvl w:val="0"/>
          <w:numId w:val="1005"/>
        </w:numPr>
      </w:pPr>
      <w:r>
        <w:t xml:space="preserve">Simulation de l’accès Internet via la mise en œuvre de</w:t>
      </w:r>
      <w:r>
        <w:t xml:space="preserve"> </w:t>
      </w:r>
      <w:r>
        <w:rPr>
          <w:b/>
          <w:bCs/>
        </w:rPr>
        <w:t xml:space="preserve">NAT/PAT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Séparation claire entre réseau interne et réseau externe.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lan-dadressage-ip"/>
    <w:p>
      <w:pPr>
        <w:pStyle w:val="Heading2"/>
      </w:pPr>
      <w:r>
        <w:t xml:space="preserve">5. Plan d’adressage IP</w:t>
      </w:r>
    </w:p>
    <w:p>
      <w:pPr>
        <w:pStyle w:val="Compact"/>
        <w:numPr>
          <w:ilvl w:val="0"/>
          <w:numId w:val="1006"/>
        </w:numPr>
      </w:pPr>
      <w:r>
        <w:t xml:space="preserve">Plage allouée par le fournisseur :</w:t>
      </w:r>
      <w:r>
        <w:t xml:space="preserve"> </w:t>
      </w:r>
      <w:r>
        <w:rPr>
          <w:b/>
          <w:bCs/>
        </w:rPr>
        <w:t xml:space="preserve">10.10.0.0/15</w:t>
      </w:r>
    </w:p>
    <w:p>
      <w:pPr>
        <w:pStyle w:val="Compact"/>
        <w:numPr>
          <w:ilvl w:val="0"/>
          <w:numId w:val="1006"/>
        </w:numPr>
      </w:pPr>
      <w:r>
        <w:t xml:space="preserve">Segmentation du réseau via</w:t>
      </w:r>
      <w:r>
        <w:t xml:space="preserve"> </w:t>
      </w:r>
      <w:r>
        <w:rPr>
          <w:b/>
          <w:bCs/>
        </w:rPr>
        <w:t xml:space="preserve">VLSM</w:t>
      </w:r>
      <w:r>
        <w:t xml:space="preserve"> </w:t>
      </w:r>
      <w:r>
        <w:t xml:space="preserve">afin d’optimiser l’utilisation des adresses IP.</w:t>
      </w:r>
    </w:p>
    <w:p>
      <w:pPr>
        <w:pStyle w:val="Compact"/>
        <w:numPr>
          <w:ilvl w:val="0"/>
          <w:numId w:val="1006"/>
        </w:numPr>
      </w:pPr>
      <w:r>
        <w:t xml:space="preserve">Chaque département dispose de son propre sous-réseau adapté au nombre d’hôtes requis.</w:t>
      </w:r>
    </w:p>
    <w:p>
      <w:r>
        <w:pict>
          <v:rect style="width:0;height:1.5pt" o:hralign="center" o:hrstd="t" o:hr="t"/>
        </w:pict>
      </w:r>
    </w:p>
    <w:bookmarkEnd w:id="31"/>
    <w:bookmarkStart w:id="37" w:name="départements-et-services"/>
    <w:p>
      <w:pPr>
        <w:pStyle w:val="Heading2"/>
      </w:pPr>
      <w:r>
        <w:t xml:space="preserve">6. Départements et services</w:t>
      </w:r>
    </w:p>
    <w:bookmarkStart w:id="32" w:name="département-sécurité-transversal"/>
    <w:p>
      <w:pPr>
        <w:pStyle w:val="Heading3"/>
      </w:pPr>
      <w:r>
        <w:t xml:space="preserve">6.1 Département Sécurité (transversal)</w:t>
      </w:r>
    </w:p>
    <w:p>
      <w:pPr>
        <w:pStyle w:val="FirstParagraph"/>
      </w:pPr>
      <w:r>
        <w:t xml:space="preserve">Le département Sécurité n’est pas une zone utilisateur classique, mais un</w:t>
      </w:r>
      <w:r>
        <w:t xml:space="preserve"> </w:t>
      </w:r>
      <w:r>
        <w:rPr>
          <w:b/>
          <w:bCs/>
        </w:rPr>
        <w:t xml:space="preserve">rôle transversal</w:t>
      </w:r>
      <w:r>
        <w:t xml:space="preserve"> </w:t>
      </w:r>
      <w:r>
        <w:t xml:space="preserve">intégré principalement au backbone.</w:t>
      </w:r>
    </w:p>
    <w:p>
      <w:pPr>
        <w:pStyle w:val="BodyText"/>
      </w:pPr>
      <w:r>
        <w:t xml:space="preserve">Il est chargé de :</w:t>
      </w:r>
      <w:r>
        <w:t xml:space="preserve"> </w:t>
      </w:r>
      <w:r>
        <w:t xml:space="preserve">- La définition et l’application des</w:t>
      </w:r>
      <w:r>
        <w:t xml:space="preserve"> </w:t>
      </w:r>
      <w:r>
        <w:rPr>
          <w:b/>
          <w:bCs/>
        </w:rPr>
        <w:t xml:space="preserve">politiques de sécurité réseau</w:t>
      </w:r>
      <w:r>
        <w:t xml:space="preserve">.</w:t>
      </w:r>
      <w:r>
        <w:t xml:space="preserve"> </w:t>
      </w:r>
      <w:r>
        <w:t xml:space="preserve">- La mise en œuvre des</w:t>
      </w:r>
      <w:r>
        <w:t xml:space="preserve"> </w:t>
      </w:r>
      <w:r>
        <w:rPr>
          <w:b/>
          <w:bCs/>
        </w:rPr>
        <w:t xml:space="preserve">VPN site-à-site ou client-serveur</w:t>
      </w:r>
      <w:r>
        <w:t xml:space="preserve"> </w:t>
      </w:r>
      <w:r>
        <w:t xml:space="preserve">entre le backbone et les départements.</w:t>
      </w:r>
      <w:r>
        <w:t xml:space="preserve"> </w:t>
      </w:r>
      <w:r>
        <w:t xml:space="preserve">- Le contrôle et la hiérarchisation des flux inter-départements.</w:t>
      </w:r>
      <w:r>
        <w:t xml:space="preserve"> </w:t>
      </w:r>
      <w:r>
        <w:t xml:space="preserve">- La sécurisation de l’accès Internet via NAT et règles de filtrage.</w:t>
      </w:r>
    </w:p>
    <w:p>
      <w:pPr>
        <w:pStyle w:val="BodyText"/>
      </w:pPr>
      <w:r>
        <w:t xml:space="preserve">Ce département s’appuie sur les équipements du backbone et sur le routeur Internet pour garantir la confidentialité, l’intégrité et la disponibilité des communications.</w:t>
      </w:r>
    </w:p>
    <w:bookmarkEnd w:id="32"/>
    <w:bookmarkStart w:id="33" w:name="web-marketing"/>
    <w:p>
      <w:pPr>
        <w:pStyle w:val="Heading3"/>
      </w:pPr>
      <w:r>
        <w:t xml:space="preserve">6.1 Web / Marketing</w:t>
      </w:r>
    </w:p>
    <w:p>
      <w:pPr>
        <w:pStyle w:val="Compact"/>
        <w:numPr>
          <w:ilvl w:val="0"/>
          <w:numId w:val="1007"/>
        </w:numPr>
      </w:pPr>
      <w:r>
        <w:t xml:space="preserve">Routeur local : RZ-1</w:t>
      </w:r>
    </w:p>
    <w:p>
      <w:pPr>
        <w:pStyle w:val="Compact"/>
        <w:numPr>
          <w:ilvl w:val="0"/>
          <w:numId w:val="1007"/>
        </w:numPr>
      </w:pPr>
      <w:r>
        <w:t xml:space="preserve">Service VM : Serveur Web</w:t>
      </w:r>
    </w:p>
    <w:p>
      <w:pPr>
        <w:pStyle w:val="Compact"/>
        <w:numPr>
          <w:ilvl w:val="0"/>
          <w:numId w:val="1007"/>
        </w:numPr>
      </w:pPr>
      <w:r>
        <w:t xml:space="preserve">Nombre théorique de clients : 6810 PCs</w:t>
      </w:r>
    </w:p>
    <w:p>
      <w:pPr>
        <w:pStyle w:val="Compact"/>
        <w:numPr>
          <w:ilvl w:val="0"/>
          <w:numId w:val="1007"/>
        </w:numPr>
      </w:pPr>
      <w:r>
        <w:t xml:space="preserve">Rôle : Gestion du site Internet et interactions avec les clients externes.</w:t>
      </w:r>
    </w:p>
    <w:bookmarkEnd w:id="33"/>
    <w:bookmarkStart w:id="34" w:name="supervision-it"/>
    <w:p>
      <w:pPr>
        <w:pStyle w:val="Heading3"/>
      </w:pPr>
      <w:r>
        <w:t xml:space="preserve">6.2 Supervision / IT</w:t>
      </w:r>
    </w:p>
    <w:p>
      <w:pPr>
        <w:pStyle w:val="Compact"/>
        <w:numPr>
          <w:ilvl w:val="0"/>
          <w:numId w:val="1008"/>
        </w:numPr>
      </w:pPr>
      <w:r>
        <w:t xml:space="preserve">Routeur local : RZ-2</w:t>
      </w:r>
    </w:p>
    <w:p>
      <w:pPr>
        <w:pStyle w:val="Compact"/>
        <w:numPr>
          <w:ilvl w:val="0"/>
          <w:numId w:val="1008"/>
        </w:numPr>
      </w:pPr>
      <w:r>
        <w:t xml:space="preserve">Service VM : Serveur de monitoring</w:t>
      </w:r>
    </w:p>
    <w:p>
      <w:pPr>
        <w:pStyle w:val="Compact"/>
        <w:numPr>
          <w:ilvl w:val="0"/>
          <w:numId w:val="1008"/>
        </w:numPr>
      </w:pPr>
      <w:r>
        <w:t xml:space="preserve">Nombre théorique de clients : 1270 PCs</w:t>
      </w:r>
    </w:p>
    <w:p>
      <w:pPr>
        <w:pStyle w:val="Compact"/>
        <w:numPr>
          <w:ilvl w:val="0"/>
          <w:numId w:val="1008"/>
        </w:numPr>
      </w:pPr>
      <w:r>
        <w:t xml:space="preserve">Rôle : Supervision des performances et de la disponibilité des équipements.</w:t>
      </w:r>
    </w:p>
    <w:bookmarkEnd w:id="34"/>
    <w:bookmarkStart w:id="35" w:name="gestion-base-de-données"/>
    <w:p>
      <w:pPr>
        <w:pStyle w:val="Heading3"/>
      </w:pPr>
      <w:r>
        <w:t xml:space="preserve">6.3 Gestion / Base de données</w:t>
      </w:r>
    </w:p>
    <w:p>
      <w:pPr>
        <w:pStyle w:val="Compact"/>
        <w:numPr>
          <w:ilvl w:val="0"/>
          <w:numId w:val="1009"/>
        </w:numPr>
      </w:pPr>
      <w:r>
        <w:t xml:space="preserve">Routeur local : RZ-3</w:t>
      </w:r>
    </w:p>
    <w:p>
      <w:pPr>
        <w:pStyle w:val="Compact"/>
        <w:numPr>
          <w:ilvl w:val="0"/>
          <w:numId w:val="1009"/>
        </w:numPr>
      </w:pPr>
      <w:r>
        <w:t xml:space="preserve">Service VM : Serveur Base de Données</w:t>
      </w:r>
    </w:p>
    <w:p>
      <w:pPr>
        <w:pStyle w:val="Compact"/>
        <w:numPr>
          <w:ilvl w:val="0"/>
          <w:numId w:val="1009"/>
        </w:numPr>
      </w:pPr>
      <w:r>
        <w:t xml:space="preserve">Nombre théorique de clients : 424 PCs</w:t>
      </w:r>
    </w:p>
    <w:p>
      <w:pPr>
        <w:pStyle w:val="Compact"/>
        <w:numPr>
          <w:ilvl w:val="0"/>
          <w:numId w:val="1009"/>
        </w:numPr>
      </w:pPr>
      <w:r>
        <w:t xml:space="preserve">Rôle : Centralisation et sécurisation des données.</w:t>
      </w:r>
    </w:p>
    <w:bookmarkEnd w:id="35"/>
    <w:bookmarkStart w:id="36" w:name="partage-collaboration"/>
    <w:p>
      <w:pPr>
        <w:pStyle w:val="Heading3"/>
      </w:pPr>
      <w:r>
        <w:t xml:space="preserve">6.4 Partage / Collaboration</w:t>
      </w:r>
    </w:p>
    <w:p>
      <w:pPr>
        <w:pStyle w:val="Compact"/>
        <w:numPr>
          <w:ilvl w:val="0"/>
          <w:numId w:val="1010"/>
        </w:numPr>
      </w:pPr>
      <w:r>
        <w:t xml:space="preserve">Routeur local : RZ-4</w:t>
      </w:r>
    </w:p>
    <w:p>
      <w:pPr>
        <w:pStyle w:val="Compact"/>
        <w:numPr>
          <w:ilvl w:val="0"/>
          <w:numId w:val="1010"/>
        </w:numPr>
      </w:pPr>
      <w:r>
        <w:t xml:space="preserve">Service VM : Serveur NFS</w:t>
      </w:r>
    </w:p>
    <w:p>
      <w:pPr>
        <w:pStyle w:val="Compact"/>
        <w:numPr>
          <w:ilvl w:val="0"/>
          <w:numId w:val="1010"/>
        </w:numPr>
      </w:pPr>
      <w:r>
        <w:t xml:space="preserve">Nombre théorique de clients : 192 PCs</w:t>
      </w:r>
    </w:p>
    <w:p>
      <w:pPr>
        <w:pStyle w:val="Compact"/>
        <w:numPr>
          <w:ilvl w:val="0"/>
          <w:numId w:val="1010"/>
        </w:numPr>
      </w:pPr>
      <w:r>
        <w:t xml:space="preserve">Rôle : Partage interne de fichiers et documents.</w:t>
      </w:r>
    </w:p>
    <w:p>
      <w:pPr>
        <w:pStyle w:val="BlockText"/>
      </w:pPr>
      <w:r>
        <w:rPr>
          <w:b/>
          <w:bCs/>
        </w:rPr>
        <w:t xml:space="preserve">Remarque</w:t>
      </w:r>
      <w:r>
        <w:t xml:space="preserve"> </w:t>
      </w:r>
      <w:r>
        <w:t xml:space="preserve">: Sur la maquette GNS3, un maximum de</w:t>
      </w:r>
      <w:r>
        <w:t xml:space="preserve"> </w:t>
      </w:r>
      <w:r>
        <w:rPr>
          <w:b/>
          <w:bCs/>
        </w:rPr>
        <w:t xml:space="preserve">trois postes clients</w:t>
      </w:r>
      <w:r>
        <w:t xml:space="preserve"> </w:t>
      </w:r>
      <w:r>
        <w:t xml:space="preserve">sera configuré à titre représentatif par zone.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fonctionnalités-à-implémenter"/>
    <w:p>
      <w:pPr>
        <w:pStyle w:val="Heading2"/>
      </w:pPr>
      <w:r>
        <w:t xml:space="preserve">7. Fonctionnalités à implémenter</w:t>
      </w:r>
    </w:p>
    <w:bookmarkStart w:id="38" w:name="réseau-et-connectivité"/>
    <w:p>
      <w:pPr>
        <w:pStyle w:val="Heading3"/>
      </w:pPr>
      <w:r>
        <w:t xml:space="preserve">7.1 Réseau et connectivité</w:t>
      </w:r>
    </w:p>
    <w:p>
      <w:pPr>
        <w:pStyle w:val="Compact"/>
        <w:numPr>
          <w:ilvl w:val="0"/>
          <w:numId w:val="1011"/>
        </w:numPr>
      </w:pPr>
      <w:r>
        <w:t xml:space="preserve">Routage dynamique OSPF.</w:t>
      </w:r>
    </w:p>
    <w:p>
      <w:pPr>
        <w:pStyle w:val="Compact"/>
        <w:numPr>
          <w:ilvl w:val="0"/>
          <w:numId w:val="1011"/>
        </w:numPr>
      </w:pPr>
      <w:r>
        <w:t xml:space="preserve">Segmentation VLSM.</w:t>
      </w:r>
    </w:p>
    <w:p>
      <w:pPr>
        <w:pStyle w:val="Compact"/>
        <w:numPr>
          <w:ilvl w:val="0"/>
          <w:numId w:val="1011"/>
        </w:numPr>
      </w:pPr>
      <w:r>
        <w:t xml:space="preserve">Attribution automatique des adresses IP via DHCP.</w:t>
      </w:r>
    </w:p>
    <w:p>
      <w:pPr>
        <w:pStyle w:val="Compact"/>
        <w:numPr>
          <w:ilvl w:val="0"/>
          <w:numId w:val="1011"/>
        </w:numPr>
      </w:pPr>
      <w:r>
        <w:t xml:space="preserve">Vérification de l’accessibilité entre réseaux locaux et distants.</w:t>
      </w:r>
    </w:p>
    <w:bookmarkEnd w:id="38"/>
    <w:bookmarkStart w:id="39" w:name="services-sur-machines-virtuelles"/>
    <w:p>
      <w:pPr>
        <w:pStyle w:val="Heading3"/>
      </w:pPr>
      <w:r>
        <w:t xml:space="preserve">7.2 Services sur machines virtuelles</w:t>
      </w:r>
    </w:p>
    <w:p>
      <w:pPr>
        <w:pStyle w:val="Compact"/>
        <w:numPr>
          <w:ilvl w:val="0"/>
          <w:numId w:val="1012"/>
        </w:numPr>
      </w:pPr>
      <w:r>
        <w:t xml:space="preserve">Serveur Web (Marketing).</w:t>
      </w:r>
    </w:p>
    <w:p>
      <w:pPr>
        <w:pStyle w:val="Compact"/>
        <w:numPr>
          <w:ilvl w:val="0"/>
          <w:numId w:val="1012"/>
        </w:numPr>
      </w:pPr>
      <w:r>
        <w:t xml:space="preserve">Serveur Base de Données (Gestion).</w:t>
      </w:r>
    </w:p>
    <w:p>
      <w:pPr>
        <w:pStyle w:val="Compact"/>
        <w:numPr>
          <w:ilvl w:val="0"/>
          <w:numId w:val="1012"/>
        </w:numPr>
      </w:pPr>
      <w:r>
        <w:t xml:space="preserve">Serveur NFS (Collaboration).</w:t>
      </w:r>
    </w:p>
    <w:p>
      <w:pPr>
        <w:pStyle w:val="Compact"/>
        <w:numPr>
          <w:ilvl w:val="0"/>
          <w:numId w:val="1012"/>
        </w:numPr>
      </w:pPr>
      <w:r>
        <w:t xml:space="preserve">Serveur de Monitoring (IT).</w:t>
      </w:r>
    </w:p>
    <w:bookmarkEnd w:id="39"/>
    <w:bookmarkStart w:id="40" w:name="sécurité"/>
    <w:p>
      <w:pPr>
        <w:pStyle w:val="Heading3"/>
      </w:pPr>
      <w:r>
        <w:t xml:space="preserve">7.3 Sécurité</w:t>
      </w:r>
    </w:p>
    <w:p>
      <w:pPr>
        <w:pStyle w:val="Compact"/>
        <w:numPr>
          <w:ilvl w:val="0"/>
          <w:numId w:val="1013"/>
        </w:numPr>
      </w:pPr>
      <w:r>
        <w:t xml:space="preserve">VPN site-à-site ou client-serveur entre le backbone et les départements.</w:t>
      </w:r>
    </w:p>
    <w:p>
      <w:pPr>
        <w:pStyle w:val="Compact"/>
        <w:numPr>
          <w:ilvl w:val="0"/>
          <w:numId w:val="1013"/>
        </w:numPr>
      </w:pPr>
      <w:r>
        <w:t xml:space="preserve">NAT pour l’accès Internet sécurisé.</w:t>
      </w:r>
    </w:p>
    <w:p>
      <w:pPr>
        <w:pStyle w:val="Compact"/>
        <w:numPr>
          <w:ilvl w:val="0"/>
          <w:numId w:val="1013"/>
        </w:numPr>
      </w:pPr>
      <w:r>
        <w:t xml:space="preserve">Contrôle des flux inter-zones.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organisation-des-rôles"/>
    <w:p>
      <w:pPr>
        <w:pStyle w:val="Heading2"/>
      </w:pPr>
      <w:r>
        <w:t xml:space="preserve">8. Organisation des rôles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Administrateur Backbone / Internet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Configuration OSPF, NAT et VPN.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Administrateurs de départements (4)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Configuration des routeurs locaux, PC clients et serveurs VM.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Responsable coordination, documentation et sécurité (optionnel)</w:t>
      </w:r>
      <w:r>
        <w:t xml:space="preserve"> 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t xml:space="preserve">Supervision globale du projet.</w:t>
      </w:r>
    </w:p>
    <w:p>
      <w:pPr>
        <w:pStyle w:val="Compact"/>
        <w:numPr>
          <w:ilvl w:val="1"/>
          <w:numId w:val="1017"/>
        </w:numPr>
      </w:pPr>
      <w:r>
        <w:t xml:space="preserve">Rédaction de la documentation.</w:t>
      </w:r>
    </w:p>
    <w:p>
      <w:pPr>
        <w:pStyle w:val="Compact"/>
        <w:numPr>
          <w:ilvl w:val="1"/>
          <w:numId w:val="1017"/>
        </w:numPr>
      </w:pPr>
      <w:r>
        <w:t xml:space="preserve">Vérification de la cohérence et des mesures de sécurité.</w:t>
      </w:r>
    </w:p>
    <w:p>
      <w:r>
        <w:pict>
          <v:rect style="width:0;height:1.5pt" o:hralign="center" o:hrstd="t" o:hr="t"/>
        </w:pict>
      </w:r>
    </w:p>
    <w:bookmarkEnd w:id="42"/>
    <w:bookmarkStart w:id="43" w:name="déroulement-du-projet"/>
    <w:p>
      <w:pPr>
        <w:pStyle w:val="Heading2"/>
      </w:pPr>
      <w:r>
        <w:t xml:space="preserve">9. Déroulement du projet</w:t>
      </w:r>
    </w:p>
    <w:p>
      <w:pPr>
        <w:pStyle w:val="FirstParagraph"/>
      </w:pPr>
      <w:r>
        <w:t xml:space="preserve">Chaque séance du workshop comprend :</w:t>
      </w:r>
      <w:r>
        <w:t xml:space="preserve"> </w:t>
      </w:r>
      <w:r>
        <w:t xml:space="preserve">- Une partie théorique (OSPF, VLSM, DHCP, VPN, NAT).</w:t>
      </w:r>
      <w:r>
        <w:t xml:space="preserve"> </w:t>
      </w:r>
      <w:r>
        <w:t xml:space="preserve">- Une mise en pratique sur les outils de simulation.</w:t>
      </w:r>
    </w:p>
    <w:p>
      <w:pPr>
        <w:pStyle w:val="BodyText"/>
      </w:pPr>
      <w:r>
        <w:t xml:space="preserve">Un fascicule pédagogique guide les différentes étapes de configuration et de validation.</w:t>
      </w:r>
    </w:p>
    <w:p>
      <w:r>
        <w:pict>
          <v:rect style="width:0;height:1.5pt" o:hralign="center" o:hrstd="t" o:hr="t"/>
        </w:pict>
      </w:r>
    </w:p>
    <w:bookmarkEnd w:id="43"/>
    <w:bookmarkStart w:id="44" w:name="livrables-attendus"/>
    <w:p>
      <w:pPr>
        <w:pStyle w:val="Heading2"/>
      </w:pPr>
      <w:r>
        <w:t xml:space="preserve">10. Livrables attendus</w:t>
      </w:r>
    </w:p>
    <w:p>
      <w:pPr>
        <w:pStyle w:val="Compact"/>
        <w:numPr>
          <w:ilvl w:val="0"/>
          <w:numId w:val="1018"/>
        </w:numPr>
      </w:pPr>
      <w:r>
        <w:t xml:space="preserve">Topologie réseau fonctionnelle sous GNS3.</w:t>
      </w:r>
    </w:p>
    <w:p>
      <w:pPr>
        <w:pStyle w:val="Compact"/>
        <w:numPr>
          <w:ilvl w:val="0"/>
          <w:numId w:val="1018"/>
        </w:numPr>
      </w:pPr>
      <w:r>
        <w:t xml:space="preserve">Configuration des routeurs et services.</w:t>
      </w:r>
    </w:p>
    <w:p>
      <w:pPr>
        <w:pStyle w:val="Compact"/>
        <w:numPr>
          <w:ilvl w:val="0"/>
          <w:numId w:val="1018"/>
        </w:numPr>
      </w:pPr>
      <w:r>
        <w:t xml:space="preserve">Documentation technique complète.</w:t>
      </w:r>
    </w:p>
    <w:p>
      <w:pPr>
        <w:pStyle w:val="Compact"/>
        <w:numPr>
          <w:ilvl w:val="0"/>
          <w:numId w:val="1018"/>
        </w:numPr>
      </w:pPr>
      <w:r>
        <w:t xml:space="preserve">Captures d’écran justifiant la faisabilité et le bon fonctionnement.</w:t>
      </w:r>
    </w:p>
    <w:p>
      <w:r>
        <w:pict>
          <v:rect style="width:0;height:1.5pt" o:hralign="center" o:hrstd="t" o:hr="t"/>
        </w:pict>
      </w:r>
    </w:p>
    <w:bookmarkEnd w:id="44"/>
    <w:bookmarkStart w:id="45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Ce projet permet de mettre en œuvre une architecture réseau professionnelle, sécurisée et évolutive, tout en développant des compétences pratiques en conception, configuration, supervision et documentation d’infrastructures réseau d’entreprise.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2026-01-05T09:07:20Z</dcterms:created>
  <dcterms:modified xsi:type="dcterms:W3CDTF">2026-01-05T09:07:20Z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