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atériels-utilisés"/>
    <w:p>
      <w:pPr>
        <w:pStyle w:val="Heading1"/>
      </w:pPr>
      <w:r>
        <w:t xml:space="preserve">Matériels utilisés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Ce document présente l’ensemble des</w:t>
      </w:r>
      <w:r>
        <w:t xml:space="preserve"> </w:t>
      </w:r>
      <w:r>
        <w:rPr>
          <w:b/>
          <w:bCs/>
        </w:rPr>
        <w:t xml:space="preserve">matériels et outils logiciels</w:t>
      </w:r>
      <w:r>
        <w:t xml:space="preserve"> </w:t>
      </w:r>
      <w:r>
        <w:t xml:space="preserve">utilisés pour la conception, la simulation et la validation de l’infrastructure réseau du projet</w:t>
      </w:r>
      <w:r>
        <w:t xml:space="preserve"> </w:t>
      </w:r>
      <w:r>
        <w:rPr>
          <w:b/>
          <w:bCs/>
        </w:rPr>
        <w:t xml:space="preserve">TechSolutions SARL</w:t>
      </w:r>
      <w:r>
        <w:t xml:space="preserve">.</w:t>
      </w:r>
    </w:p>
    <w:p>
      <w:pPr>
        <w:pStyle w:val="BodyText"/>
      </w:pPr>
      <w:r>
        <w:t xml:space="preserve">L’architecture a été déployée dans un environnement virtualisé afin de reproduire un contexte d’entreprise réel, tout en respectant les contraintes pédagogiques du workshop.</w:t>
      </w:r>
    </w:p>
    <w:p>
      <w:r>
        <w:pict>
          <v:rect style="width:0;height:1.5pt" o:hralign="center" o:hrstd="t" o:hr="t"/>
        </w:pict>
      </w:r>
    </w:p>
    <w:bookmarkEnd w:id="20"/>
    <w:bookmarkStart w:id="22" w:name="environnement-de-simulation"/>
    <w:p>
      <w:pPr>
        <w:pStyle w:val="Heading2"/>
      </w:pPr>
      <w:r>
        <w:t xml:space="preserve">2. Environnement de simulation</w:t>
      </w:r>
    </w:p>
    <w:bookmarkStart w:id="21" w:name="outils-de-simulation-et-virtualisation"/>
    <w:p>
      <w:pPr>
        <w:pStyle w:val="Heading3"/>
      </w:pPr>
      <w:r>
        <w:t xml:space="preserve">2.1 Outils de simulation et virtualisation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GNS3</w:t>
      </w:r>
      <w:r>
        <w:br/>
      </w:r>
      <w:r>
        <w:t xml:space="preserve">Utilisé pour la conception de la topologie réseau, la configuration des routeurs et la simulation du backbone OSPF.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VirtualBox / VMware</w:t>
      </w:r>
      <w:r>
        <w:br/>
      </w:r>
      <w:r>
        <w:t xml:space="preserve">Utilisé pour l’hébergement des machines virtuelles (serveurs et postes clients).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Packet Tracer</w:t>
      </w:r>
      <w:r>
        <w:t xml:space="preserve"> </w:t>
      </w:r>
      <w:r>
        <w:t xml:space="preserve">(optionnel)</w:t>
      </w:r>
      <w:r>
        <w:br/>
      </w:r>
      <w:r>
        <w:t xml:space="preserve">Utilisé à des fins pédagogiques pour certains tests ou validations de concepts.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équipements-réseau"/>
    <w:p>
      <w:pPr>
        <w:pStyle w:val="Heading2"/>
      </w:pPr>
      <w:r>
        <w:t xml:space="preserve">3. Équipements réseau</w:t>
      </w:r>
    </w:p>
    <w:bookmarkStart w:id="23" w:name="routeurs"/>
    <w:p>
      <w:pPr>
        <w:pStyle w:val="Heading3"/>
      </w:pPr>
      <w:r>
        <w:t xml:space="preserve">3.1 Routeurs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Routeurs virtuels (Cisco / IOS-like)</w:t>
      </w:r>
    </w:p>
    <w:p>
      <w:pPr>
        <w:pStyle w:val="Compact"/>
        <w:numPr>
          <w:ilvl w:val="1"/>
          <w:numId w:val="1003"/>
        </w:numPr>
      </w:pPr>
      <w:r>
        <w:t xml:space="preserve">Routeur Backbone (nœud principal)</w:t>
      </w:r>
    </w:p>
    <w:p>
      <w:pPr>
        <w:pStyle w:val="Compact"/>
        <w:numPr>
          <w:ilvl w:val="1"/>
          <w:numId w:val="1003"/>
        </w:numPr>
      </w:pPr>
      <w:r>
        <w:t xml:space="preserve">Routeur Internet (R-Internet)</w:t>
      </w:r>
    </w:p>
    <w:p>
      <w:pPr>
        <w:pStyle w:val="Compact"/>
        <w:numPr>
          <w:ilvl w:val="1"/>
          <w:numId w:val="1003"/>
        </w:numPr>
      </w:pPr>
      <w:r>
        <w:t xml:space="preserve">Routeurs locaux des départements (RZ-1 à RZ-4)</w:t>
      </w:r>
    </w:p>
    <w:p>
      <w:pPr>
        <w:pStyle w:val="FirstParagraph"/>
      </w:pPr>
      <w:r>
        <w:rPr>
          <w:b/>
          <w:bCs/>
        </w:rPr>
        <w:t xml:space="preserve">Rôle :</w:t>
      </w:r>
      <w:r>
        <w:t xml:space="preserve"> </w:t>
      </w:r>
      <w:r>
        <w:t xml:space="preserve">- Routage dynamique OSPF</w:t>
      </w:r>
      <w:r>
        <w:t xml:space="preserve"> </w:t>
      </w:r>
      <w:r>
        <w:t xml:space="preserve">- Interconnexion des départements</w:t>
      </w:r>
      <w:r>
        <w:t xml:space="preserve"> </w:t>
      </w:r>
      <w:r>
        <w:t xml:space="preserve">- Mise en œuvre du NAT et du VPN</w:t>
      </w:r>
    </w:p>
    <w:p>
      <w:r>
        <w:pict>
          <v:rect style="width:0;height:1.5pt" o:hralign="center" o:hrstd="t" o:hr="t"/>
        </w:pict>
      </w:r>
    </w:p>
    <w:bookmarkEnd w:id="23"/>
    <w:bookmarkStart w:id="24" w:name="switchs"/>
    <w:p>
      <w:pPr>
        <w:pStyle w:val="Heading3"/>
      </w:pPr>
      <w:r>
        <w:t xml:space="preserve">3.2 Switchs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Switchs virtuels Ethernet</w:t>
      </w:r>
    </w:p>
    <w:p>
      <w:pPr>
        <w:pStyle w:val="FirstParagraph"/>
      </w:pPr>
      <w:r>
        <w:rPr>
          <w:b/>
          <w:bCs/>
        </w:rPr>
        <w:t xml:space="preserve">Rôle :</w:t>
      </w:r>
      <w:r>
        <w:t xml:space="preserve"> </w:t>
      </w:r>
      <w:r>
        <w:t xml:space="preserve">- Connexion des postes clients et des serveurs au réseau local de chaque département</w:t>
      </w:r>
      <w:r>
        <w:t xml:space="preserve"> </w:t>
      </w:r>
      <w:r>
        <w:t xml:space="preserve">- Segmentation logique des réseaux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machines-virtuelles-serveurs"/>
    <w:p>
      <w:pPr>
        <w:pStyle w:val="Heading2"/>
      </w:pPr>
      <w:r>
        <w:t xml:space="preserve">4. Machines virtuelles (serveurs)</w:t>
      </w:r>
    </w:p>
    <w:bookmarkStart w:id="26" w:name="serveur-web-département-marketing"/>
    <w:p>
      <w:pPr>
        <w:pStyle w:val="Heading3"/>
      </w:pPr>
      <w:r>
        <w:t xml:space="preserve">4.1 Serveur Web – Département Marketing</w:t>
      </w:r>
    </w:p>
    <w:p>
      <w:pPr>
        <w:pStyle w:val="Compact"/>
        <w:numPr>
          <w:ilvl w:val="0"/>
          <w:numId w:val="1005"/>
        </w:numPr>
      </w:pPr>
      <w:r>
        <w:t xml:space="preserve">Type : Machine virtuelle Linux</w:t>
      </w:r>
    </w:p>
    <w:p>
      <w:pPr>
        <w:pStyle w:val="Compact"/>
        <w:numPr>
          <w:ilvl w:val="0"/>
          <w:numId w:val="1005"/>
        </w:numPr>
      </w:pPr>
      <w:r>
        <w:t xml:space="preserve">Service principal : Serveur Web (HTTP)</w:t>
      </w:r>
    </w:p>
    <w:p>
      <w:pPr>
        <w:pStyle w:val="Compact"/>
        <w:numPr>
          <w:ilvl w:val="0"/>
          <w:numId w:val="1005"/>
        </w:numPr>
      </w:pPr>
      <w:r>
        <w:t xml:space="preserve">Rôle : Hébergement du site Internet de l’entreprise</w:t>
      </w:r>
    </w:p>
    <w:bookmarkEnd w:id="26"/>
    <w:bookmarkStart w:id="27" w:name="serveur-monitoring-département-it"/>
    <w:p>
      <w:pPr>
        <w:pStyle w:val="Heading3"/>
      </w:pPr>
      <w:r>
        <w:t xml:space="preserve">4.2 Serveur Monitoring – Département IT</w:t>
      </w:r>
    </w:p>
    <w:p>
      <w:pPr>
        <w:pStyle w:val="Compact"/>
        <w:numPr>
          <w:ilvl w:val="0"/>
          <w:numId w:val="1006"/>
        </w:numPr>
      </w:pPr>
      <w:r>
        <w:t xml:space="preserve">Type : Machine virtuelle Linux</w:t>
      </w:r>
    </w:p>
    <w:p>
      <w:pPr>
        <w:pStyle w:val="Compact"/>
        <w:numPr>
          <w:ilvl w:val="0"/>
          <w:numId w:val="1006"/>
        </w:numPr>
      </w:pPr>
      <w:r>
        <w:t xml:space="preserve">Service principal : Supervision réseau et systèmes</w:t>
      </w:r>
    </w:p>
    <w:p>
      <w:pPr>
        <w:pStyle w:val="Compact"/>
        <w:numPr>
          <w:ilvl w:val="0"/>
          <w:numId w:val="1006"/>
        </w:numPr>
      </w:pPr>
      <w:r>
        <w:t xml:space="preserve">Rôle : Surveillance de la disponibilité et des performances</w:t>
      </w:r>
    </w:p>
    <w:bookmarkEnd w:id="27"/>
    <w:bookmarkStart w:id="28" w:name="X2d3e3c400caf8dbab6dc34e9ee7a8512ec83dd0"/>
    <w:p>
      <w:pPr>
        <w:pStyle w:val="Heading3"/>
      </w:pPr>
      <w:r>
        <w:t xml:space="preserve">4.3 Serveur Base de Données – Département Gestion</w:t>
      </w:r>
    </w:p>
    <w:p>
      <w:pPr>
        <w:pStyle w:val="Compact"/>
        <w:numPr>
          <w:ilvl w:val="0"/>
          <w:numId w:val="1007"/>
        </w:numPr>
      </w:pPr>
      <w:r>
        <w:t xml:space="preserve">Type : Machine virtuelle Linux</w:t>
      </w:r>
    </w:p>
    <w:p>
      <w:pPr>
        <w:pStyle w:val="Compact"/>
        <w:numPr>
          <w:ilvl w:val="0"/>
          <w:numId w:val="1007"/>
        </w:numPr>
      </w:pPr>
      <w:r>
        <w:t xml:space="preserve">Service principal : Base de données</w:t>
      </w:r>
    </w:p>
    <w:p>
      <w:pPr>
        <w:pStyle w:val="Compact"/>
        <w:numPr>
          <w:ilvl w:val="0"/>
          <w:numId w:val="1007"/>
        </w:numPr>
      </w:pPr>
      <w:r>
        <w:t xml:space="preserve">Rôle : Stockage et gestion des données internes</w:t>
      </w:r>
    </w:p>
    <w:bookmarkEnd w:id="28"/>
    <w:bookmarkStart w:id="29" w:name="serveur-nfs-département-collaboration"/>
    <w:p>
      <w:pPr>
        <w:pStyle w:val="Heading3"/>
      </w:pPr>
      <w:r>
        <w:t xml:space="preserve">4.4 Serveur NFS – Département Collaboration</w:t>
      </w:r>
    </w:p>
    <w:p>
      <w:pPr>
        <w:pStyle w:val="Compact"/>
        <w:numPr>
          <w:ilvl w:val="0"/>
          <w:numId w:val="1008"/>
        </w:numPr>
      </w:pPr>
      <w:r>
        <w:t xml:space="preserve">Type : Machine virtuelle Linux</w:t>
      </w:r>
    </w:p>
    <w:p>
      <w:pPr>
        <w:pStyle w:val="Compact"/>
        <w:numPr>
          <w:ilvl w:val="0"/>
          <w:numId w:val="1008"/>
        </w:numPr>
      </w:pPr>
      <w:r>
        <w:t xml:space="preserve">Service principal : Partage de fichiers (NFS)</w:t>
      </w:r>
    </w:p>
    <w:p>
      <w:pPr>
        <w:pStyle w:val="Compact"/>
        <w:numPr>
          <w:ilvl w:val="0"/>
          <w:numId w:val="1008"/>
        </w:numPr>
      </w:pPr>
      <w:r>
        <w:t xml:space="preserve">Rôle : Partage de documents entre les employés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ostes-clients"/>
    <w:p>
      <w:pPr>
        <w:pStyle w:val="Heading2"/>
      </w:pPr>
      <w:r>
        <w:t xml:space="preserve">5. Postes clients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PC clients virtuels</w:t>
      </w:r>
      <w:r>
        <w:t xml:space="preserve"> </w:t>
      </w:r>
      <w:r>
        <w:t xml:space="preserve">(Linux ou Windows)</w:t>
      </w:r>
    </w:p>
    <w:p>
      <w:pPr>
        <w:pStyle w:val="Compact"/>
        <w:numPr>
          <w:ilvl w:val="0"/>
          <w:numId w:val="1009"/>
        </w:numPr>
      </w:pPr>
      <w:r>
        <w:t xml:space="preserve">Nombre simulé : jusqu’à 3 postes par département (à titre représentatif)</w:t>
      </w:r>
    </w:p>
    <w:p>
      <w:pPr>
        <w:pStyle w:val="FirstParagraph"/>
      </w:pPr>
      <w:r>
        <w:rPr>
          <w:b/>
          <w:bCs/>
        </w:rPr>
        <w:t xml:space="preserve">Rôle :</w:t>
      </w:r>
      <w:r>
        <w:t xml:space="preserve"> </w:t>
      </w:r>
      <w:r>
        <w:t xml:space="preserve">- Représentation des employés</w:t>
      </w:r>
      <w:r>
        <w:t xml:space="preserve"> </w:t>
      </w:r>
      <w:r>
        <w:t xml:space="preserve">- Accès aux services internes et externes</w:t>
      </w:r>
    </w:p>
    <w:p>
      <w:r>
        <w:pict>
          <v:rect style="width:0;height:1.5pt" o:hralign="center" o:hrstd="t" o:hr="t"/>
        </w:pict>
      </w:r>
    </w:p>
    <w:bookmarkEnd w:id="31"/>
    <w:bookmarkStart w:id="32" w:name="sécurité-rappel"/>
    <w:p>
      <w:pPr>
        <w:pStyle w:val="Heading2"/>
      </w:pPr>
      <w:r>
        <w:t xml:space="preserve">6. Sécurité (rappel)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VPN</w:t>
      </w:r>
      <w:r>
        <w:t xml:space="preserve"> </w:t>
      </w:r>
      <w:r>
        <w:t xml:space="preserve">mis en place entre le backbone et les départements afin de sécuriser les communications internes.</w:t>
      </w:r>
    </w:p>
    <w:p>
      <w:pPr>
        <w:pStyle w:val="BlockText"/>
      </w:pPr>
      <w:r>
        <w:t xml:space="preserve">Les aspects de sécurité sont volontairement limités au VPN dans le cadre de ce projet.</w:t>
      </w:r>
    </w:p>
    <w:p>
      <w:r>
        <w:pict>
          <v:rect style="width:0;height:1.5pt" o:hralign="center" o:hrstd="t" o:hr="t"/>
        </w:pict>
      </w:r>
    </w:p>
    <w:bookmarkEnd w:id="32"/>
    <w:bookmarkStart w:id="33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Les matériels et outils utilisés permettent de simuler une infrastructure réseau d’entreprise réaliste, tout en offrant la flexibilité nécessaire à l’expérimentation, à la configuration et à la documentation du projet.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2026-01-05T09:07:31Z</dcterms:created>
  <dcterms:modified xsi:type="dcterms:W3CDTF">2026-01-05T09:07:31Z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