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0"/>
        <w:jc w:val="left"/>
      </w:pPr>
      <w:r>
        <w:rPr>
          <w:b/>
          <w:lang w:val="ro-RO"/>
        </w:rPr>
        <w:t>NOTĂ EXPLICATIVĂ</w:t>
      </w:r>
    </w:p>
    <w:p>
      <w:pPr>
        <w:pStyle w:val="Subtitle"/>
        <w:keepNext/>
        <w:spacing w:before="0" w:after="80"/>
        <w:jc w:val="left"/>
      </w:pPr>
      <w:r>
        <w:rPr>
          <w:i/>
          <w:lang w:val="ro-RO"/>
        </w:rPr>
        <w:t>privind realitatea economică, necesitatea și remunerarea finanțării acordate de asociați</w:t>
      </w:r>
    </w:p>
    <w:p>
      <w:pPr>
        <w:keepNext/>
        <w:spacing w:before="0" w:after="200"/>
        <w:jc w:val="left"/>
      </w:pPr>
      <w:r>
        <w:rPr>
          <w:b/>
          <w:sz w:val="20"/>
          <w:lang w:val="ro-RO"/>
        </w:rPr>
        <w:t>nr. 1 din |~DataNotaExplicativa~|</w:t>
      </w:r>
    </w:p>
    <w:p>
      <w:pPr>
        <w:spacing w:line="252" w:lineRule="auto" w:after="120"/>
        <w:jc w:val="left"/>
      </w:pPr>
      <w:r>
        <w:rPr>
          <w:lang w:val="ro-RO"/>
        </w:rPr>
        <w:t>Societatea: |~CompanieNume~| · CUI |~CompanieCUI~| · Nr. RC |~CompanieNrRC~|</w:t>
      </w:r>
    </w:p>
    <w:p>
      <w:pPr>
        <w:spacing w:line="252" w:lineRule="auto" w:after="120"/>
        <w:jc w:val="left"/>
      </w:pPr>
      <w:r>
        <w:rPr>
          <w:lang w:val="ro-RO"/>
        </w:rPr>
        <w:t>Obiect: explicitarea și justificarea operațională, financiar-contabilă și fiscală a împrumuturilor acordate de asociații |~AdministratorNume~| și |~Asociat2Nume~|, a utilizării lor pentru finanțarea capitalului de lucru și a principiilor aplicabile administrării creanțelor comerciale neîncasate.</w:t>
      </w:r>
    </w:p>
    <w:p>
      <w:pPr>
        <w:pStyle w:val="Heading1"/>
        <w:keepNext/>
        <w:jc w:val="left"/>
      </w:pPr>
      <w:r>
        <w:rPr>
          <w:lang w:val="ro-RO"/>
        </w:rPr>
        <w:t>1. Documente și situații avute în vedere</w:t>
      </w:r>
    </w:p>
    <w:p>
      <w:pPr>
        <w:pStyle w:val="ListBullet"/>
        <w:spacing w:after="80" w:line="252" w:lineRule="auto"/>
        <w:jc w:val="both"/>
      </w:pPr>
      <w:r>
        <w:rPr>
          <w:lang w:val="ro-RO"/>
        </w:rPr>
        <w:t>contractele-cadru IA-01/2020 și IA-02/2020, semnate la 27.12.2019 și producând efecte de la 01.01.2020;</w:t>
      </w:r>
    </w:p>
    <w:p>
      <w:pPr>
        <w:pStyle w:val="ListBullet"/>
        <w:spacing w:after="80" w:line="252" w:lineRule="auto"/>
        <w:jc w:val="both"/>
      </w:pPr>
      <w:r>
        <w:rPr>
          <w:lang w:val="ro-RO"/>
        </w:rPr>
        <w:t>actele adiționale nr. 1, semnate la 27.12.2024, prin care durata finanțării a fost prelungită până la 01.01.2030;</w:t>
      </w:r>
    </w:p>
    <w:p>
      <w:pPr>
        <w:pStyle w:val="ListBullet"/>
        <w:spacing w:after="80" w:line="252" w:lineRule="auto"/>
        <w:jc w:val="both"/>
      </w:pPr>
      <w:r>
        <w:rPr>
          <w:lang w:val="ro-RO"/>
        </w:rPr>
        <w:t>actele adiționale nr. 2, semnate la |~DataNotaExplicativa~|, prin care soldurile efective devin purtătoare, de la |~DataEfecteDobanda~|, de dobândă variabilă egală cu rata dobânzii de referință a BNR, respectiv rata dobânzii de politică monetară valabilă în fiecare zi;</w:t>
      </w:r>
    </w:p>
    <w:p>
      <w:pPr>
        <w:pStyle w:val="ListBullet"/>
        <w:spacing w:after="80" w:line="252" w:lineRule="auto"/>
        <w:jc w:val="both"/>
      </w:pPr>
      <w:r>
        <w:rPr>
          <w:lang w:val="ro-RO"/>
        </w:rPr>
        <w:t>fișele contului 4551 pentru perioada 2020-2026 și procesele-verbale de reconciliere a soldurilor;</w:t>
      </w:r>
    </w:p>
    <w:p>
      <w:pPr>
        <w:pStyle w:val="ListBullet"/>
        <w:spacing w:after="80" w:line="252" w:lineRule="auto"/>
        <w:jc w:val="both"/>
      </w:pPr>
      <w:r>
        <w:rPr>
          <w:lang w:val="ro-RO"/>
        </w:rPr>
        <w:t>specificul activității Societății, care presupune achiziția și menținerea de stocuri, executarea și livrarea înaintea încasării integrale, precum și acordarea de termene comerciale clienților.</w:t>
      </w:r>
    </w:p>
    <w:p>
      <w:pPr>
        <w:pStyle w:val="Heading1"/>
        <w:keepNext/>
        <w:jc w:val="left"/>
      </w:pPr>
      <w:r>
        <w:rPr>
          <w:lang w:val="ro-RO"/>
        </w:rPr>
        <w:t>2. Prevalența economicului asupra juridicului și rolul prezentei note</w:t>
      </w:r>
    </w:p>
    <w:p>
      <w:pPr>
        <w:spacing w:line="252" w:lineRule="auto" w:after="120"/>
        <w:jc w:val="both"/>
      </w:pPr>
      <w:r>
        <w:rPr>
          <w:lang w:val="ro-RO"/>
        </w:rPr>
        <w:t>În aplicarea principiului prevalenței economicului asupra juridicului, contabilizarea și prezentarea operațiunilor trebuie să reflecte fondul, natura și realitatea lor economică, nu numai forma juridică. Potrivit pct. 57 din Reglementările contabile aprobate prin O.M.F.P. nr. 1802/2014, documentele justificative trebuie să redea modul real de derulare a operațiunilor, iar forma juridică trebuie să fie în concordanță cu realitatea economică.</w:t>
      </w:r>
    </w:p>
    <w:p>
      <w:pPr>
        <w:spacing w:line="252" w:lineRule="auto" w:after="120"/>
        <w:jc w:val="both"/>
      </w:pPr>
      <w:r>
        <w:rPr>
          <w:lang w:val="ro-RO"/>
        </w:rPr>
        <w:t>Prezenta notă are caracter declarativ, explicativ și justificativ. Ea corelează fluxurile financiare, fișele contului 4551, hotărârile asociaților, contractele și conduita efectivă a părților, pentru a descrie complet scopul finanțării, durata, utilizarea resurselor, riscurile, remunerarea și modalitatea de rambursare.</w:t>
      </w:r>
    </w:p>
    <w:p>
      <w:pPr>
        <w:spacing w:line="252" w:lineRule="auto" w:after="120"/>
        <w:jc w:val="both"/>
      </w:pPr>
      <w:r>
        <w:rPr>
          <w:lang w:val="ro-RO"/>
        </w:rPr>
        <w:t>Întocmirea ulterioară a acestei note reprezintă o formă de completare a trasabilității și de explicitare detaliată, relevantă operațional, financiar-contabil și fiscal, a unei operațiuni reale deja produse și reflectate în evidențe. Nota nu creează artificial o operațiune inexistentă, nu schimbă faptele ori datele istorice, nu substituie documentele justificative primare și nu poate fi utilizată pentru antedatarea sau simularea post factum a unor raporturi juridice care nu au existat în realitate.</w:t>
      </w:r>
    </w:p>
    <w:p>
      <w:pPr>
        <w:pStyle w:val="Heading1"/>
        <w:keepNext/>
        <w:jc w:val="left"/>
      </w:pPr>
      <w:r>
        <w:rPr>
          <w:lang w:val="ro-RO"/>
        </w:rPr>
        <w:t>3. Necesitatea economică a finanțării</w:t>
      </w:r>
    </w:p>
    <w:p>
      <w:pPr>
        <w:spacing w:line="252" w:lineRule="auto" w:after="120"/>
        <w:jc w:val="both"/>
      </w:pPr>
      <w:r>
        <w:rPr>
          <w:lang w:val="ro-RO"/>
        </w:rPr>
        <w:t>Activitatea Societății generează un necesar structural de capital de lucru. Numerarul este angajat înainte de încasarea veniturilor, în special pentru achiziția și constituirea stocurilor necesare executării comenzilor, pentru plata furnizorilor și pentru susținerea costurilor operaționale până la transformarea stocurilor și lucrărilor în creanțe încasabile.</w:t>
      </w:r>
    </w:p>
    <w:p>
      <w:pPr>
        <w:spacing w:line="252" w:lineRule="auto" w:after="120"/>
        <w:jc w:val="both"/>
      </w:pPr>
      <w:r>
        <w:rPr>
          <w:lang w:val="ro-RO"/>
        </w:rPr>
        <w:t>Termenele de plată acordate clienților produc un decalaj între data livrării/facturării și data încasării. În acest interval, Societatea finanțează atât stocul, cât și creanța comercială, deși obligațiile față de furnizori, salariați și buget pot deveni scadente anterior încasării.</w:t>
      </w:r>
    </w:p>
    <w:p>
      <w:pPr>
        <w:spacing w:line="252" w:lineRule="auto" w:after="120"/>
        <w:jc w:val="both"/>
      </w:pPr>
      <w:r>
        <w:rPr>
          <w:lang w:val="ro-RO"/>
        </w:rPr>
        <w:t>Necesarul de finanțare poate fi urmărit prin relația managerială: stocuri și lucrări în curs + creanțe comerciale - credit furnizor - disponibilități operaționale. Împrumuturile asociaților acoperă temporar acest decalaj și reduc riscul de întrerupere a aprovizionării, de întârziere a lucrărilor sau de forțare a unor vânzări/încasări în condiții nefavorabile.</w:t>
      </w:r>
    </w:p>
    <w:p>
      <w:pPr>
        <w:pStyle w:val="Heading1"/>
        <w:keepNext/>
        <w:jc w:val="left"/>
      </w:pPr>
      <w:r>
        <w:rPr>
          <w:lang w:val="ro-RO"/>
        </w:rPr>
        <w:t>4. Adecvarea finanțării prin împrumuturi ale asociaților</w:t>
      </w:r>
    </w:p>
    <w:p>
      <w:pPr>
        <w:spacing w:line="252" w:lineRule="auto" w:after="120"/>
        <w:jc w:val="both"/>
      </w:pPr>
      <w:r>
        <w:rPr>
          <w:lang w:val="ro-RO"/>
        </w:rPr>
        <w:t>Finanțarea prin conturile curente ale asociaților a fost aleasă deoarece poate fi acordată în tranșe și rambursată în funcție de lichiditatea efectivă a Societății. Principalul nu este stabilit arbitrar, ci rezultă din mișcările și soldurile efective ale contului 4551, reconciliate distinct pe fiecare creditor.</w:t>
      </w:r>
    </w:p>
    <w:p>
      <w:pPr>
        <w:spacing w:line="252" w:lineRule="auto" w:after="120"/>
        <w:jc w:val="both"/>
      </w:pPr>
      <w:r>
        <w:rPr>
          <w:lang w:val="ro-RO"/>
        </w:rPr>
        <w:t>În perioada 01.01.2020-31.12.2025 finanțarea a fost fără dobândă, ceea ce a limitat costul financiar suportat de Societate. În plan economic și managerial, asociații au acceptat ca randamentul global al capitalului investit și al resurselor lăsate pe termen lung la dispoziția Societății să fie realizat preponderent prin dividende, fără o remunerare distinctă a finanțării.</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3213"/>
        <w:gridCol w:w="3213"/>
        <w:gridCol w:w="3213"/>
      </w:tblGrid>
      <w:tr>
        <w:trPr>
          <w:tblHeader w:val="true"/>
        </w:trPr>
        <w:tc>
          <w:tcPr>
            <w:tcW w:type="dxa" w:w="1871"/>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shd w:fill="E9EDF1"/>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Moment de referință</w:t>
            </w:r>
          </w:p>
        </w:tc>
        <w:tc>
          <w:tcPr>
            <w:tcW w:type="dxa" w:w="1984"/>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shd w:fill="E9EDF1"/>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Sold total 4551</w:t>
            </w:r>
          </w:p>
        </w:tc>
        <w:tc>
          <w:tcPr>
            <w:tcW w:type="dxa" w:w="5102"/>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shd w:fill="E9EDF1"/>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Semnificație</w:t>
            </w:r>
          </w:p>
        </w:tc>
      </w:tr>
      <w:tr>
        <w:tc>
          <w:tcPr>
            <w:tcW w:type="dxa" w:w="1871"/>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ind w:left="576" w:hanging="432"/>
              <w:jc w:val="right"/>
            </w:pPr>
            <w:r>
              <w:rPr>
                <w:rFonts w:ascii="Aptos" w:hAnsi="Aptos" w:cs="Segoe UI"/>
                <w:color w:val="232F38"/>
                <w:sz w:val="19"/>
                <w:lang w:val="ro-RO"/>
              </w:rPr>
              <w:t>01.01.2025</w:t>
            </w:r>
          </w:p>
        </w:tc>
        <w:tc>
          <w:tcPr>
            <w:tcW w:type="dxa" w:w="1984"/>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jc w:val="right"/>
            </w:pPr>
            <w:r>
              <w:rPr>
                <w:rFonts w:ascii="Aptos" w:hAnsi="Aptos" w:cs="Segoe UI"/>
                <w:color w:val="232F38"/>
                <w:sz w:val="19"/>
                <w:lang w:val="ro-RO"/>
              </w:rPr>
              <w:t>|~SoldImprumutAnterior~| lei</w:t>
            </w:r>
          </w:p>
        </w:tc>
        <w:tc>
          <w:tcPr>
            <w:tcW w:type="dxa" w:w="5102"/>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jc w:val="both"/>
            </w:pPr>
            <w:r>
              <w:rPr>
                <w:rFonts w:ascii="Aptos" w:hAnsi="Aptos" w:cs="Segoe UI"/>
                <w:color w:val="232F38"/>
                <w:sz w:val="19"/>
                <w:lang w:val="ro-RO"/>
              </w:rPr>
              <w:t>Sold recunoscut și repartizat economic 50%/50% între asociați.</w:t>
            </w:r>
          </w:p>
        </w:tc>
      </w:tr>
      <w:tr>
        <w:tc>
          <w:tcPr>
            <w:tcW w:type="dxa" w:w="1871"/>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jc w:val="both"/>
            </w:pPr>
            <w:r>
              <w:rPr>
                <w:rFonts w:ascii="Aptos" w:hAnsi="Aptos" w:cs="Segoe UI"/>
                <w:color w:val="232F38"/>
                <w:sz w:val="19"/>
                <w:lang w:val="ro-RO"/>
              </w:rPr>
              <w:t>|~DataEfecteDobanda~|</w:t>
            </w:r>
          </w:p>
        </w:tc>
        <w:tc>
          <w:tcPr>
            <w:tcW w:type="dxa" w:w="1984"/>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jc w:val="right"/>
            </w:pPr>
            <w:r>
              <w:rPr>
                <w:rFonts w:ascii="Aptos" w:hAnsi="Aptos" w:cs="Segoe UI"/>
                <w:color w:val="232F38"/>
                <w:sz w:val="19"/>
                <w:lang w:val="ro-RO"/>
              </w:rPr>
              <w:t>|~SoldImprumutLaData~| lei</w:t>
            </w:r>
          </w:p>
        </w:tc>
        <w:tc>
          <w:tcPr>
            <w:tcW w:type="dxa" w:w="5102"/>
            <w:vAlign w:val="center"/>
            <w:tcBorders>
              <w:top w:val="single" w:sz="4" w:space="0" w:color="666666"/>
              <w:left w:val="single" w:sz="4" w:space="0" w:color="666666"/>
              <w:bottom w:val="single" w:sz="4" w:space="0" w:color="666666"/>
              <w:right w:val="single" w:sz="4" w:space="0" w:color="666666"/>
              <w:insideH w:val="single" w:sz="4" w:space="0" w:color="666666"/>
              <w:insideV w:val="single" w:sz="4" w:space="0" w:color="666666"/>
            </w:tcBorders>
            <w:tcMar>
              <w:top w:w="80" w:type="dxa"/>
              <w:start w:w="100" w:type="dxa"/>
              <w:bottom w:w="80" w:type="dxa"/>
              <w:end w:w="100" w:type="dxa"/>
            </w:tcMar>
          </w:tcPr>
          <w:p>
            <w:pPr>
              <w:spacing w:line="240" w:lineRule="auto" w:after="40" w:before="0"/>
              <w:jc w:val="both"/>
            </w:pPr>
            <w:r>
              <w:rPr>
                <w:rFonts w:ascii="Aptos" w:hAnsi="Aptos" w:cs="Segoe UI"/>
                <w:color w:val="232F38"/>
                <w:sz w:val="19"/>
                <w:lang w:val="ro-RO"/>
              </w:rPr>
              <w:t>Sold reconciliat utilizat ca bază pentru calculul dobânzii.</w:t>
            </w:r>
          </w:p>
        </w:tc>
      </w:tr>
    </w:tbl>
    <w:p>
      <w:pPr>
        <w:spacing w:line="252" w:lineRule="auto" w:after="120"/>
        <w:jc w:val="both"/>
      </w:pPr>
      <w:r>
        <w:rPr>
          <w:lang w:val="ro-RO"/>
        </w:rPr>
        <w:t>De la |~DataEfecteDobanda~|, remunerarea resurselor financiare este separată de remunerarea capitalului social: dividendele rămân remunerația participării la capital și a riscului antreprenorial, iar dobânda remunerează distinct punerea la dispoziție pe termen lung a fondurilor împrumutate. În acest sens economic, dobânda explicită înlocuiește practica unei remunerări globale și implicite exclusiv prin dividende, fără a transforma juridic dividendele în dobândă și fără a afecta distribuțiile de profit deja aprobate.</w:t>
      </w:r>
    </w:p>
    <w:p>
      <w:pPr>
        <w:spacing w:line="252" w:lineRule="auto" w:after="120"/>
        <w:jc w:val="both"/>
      </w:pPr>
      <w:r>
        <w:rPr>
          <w:lang w:val="ro-RO"/>
        </w:rPr>
        <w:t>Dobânda anuală este variabilă și egală, pentru fiecare zi, cu rata dobânzii de referință stabilită de Banca Națională a României, în sensul O.G. nr. 13/2011, respectiv rata dobânzii de politică monetară. La |~DataEfecteDobanda~| rata aplicabilă este |~RataBNRLaData~| pe an, valabilă din 08.08.2024. Orice modificare ulterioară decisă de BNR se aplică automat din data intrării sale în vigoare, fără încheierea unui nou act adițional.</w:t>
      </w:r>
    </w:p>
    <w:p>
      <w:pPr>
        <w:spacing w:line="252" w:lineRule="auto" w:after="120"/>
        <w:jc w:val="both"/>
      </w:pPr>
      <w:r>
        <w:rPr>
          <w:lang w:val="ro-RO"/>
        </w:rPr>
        <w:t>Dobânda se calculează zilnic la sold, pe baza Actual/365. Dacă rata BNR se modifică în interiorul unei luni sau al unui trimestru, perioada de calcul se fragmentează la data modificării, iar dobânda totală este suma dobânzilor aferente subperioadelor determinate de fiecare rată aplicabilă. Societatea păstrează registrul ratelor BNR, sursa oficială și fișele de calcul pe subperioade.</w:t>
      </w:r>
    </w:p>
    <w:p>
      <w:pPr>
        <w:pStyle w:val="Heading1"/>
        <w:keepNext/>
        <w:jc w:val="left"/>
      </w:pPr>
      <w:r>
        <w:rPr>
          <w:lang w:val="ro-RO"/>
        </w:rPr>
        <w:t>5. Riscul creanțelor comerciale neîncasate</w:t>
      </w:r>
    </w:p>
    <w:p>
      <w:pPr>
        <w:spacing w:line="252" w:lineRule="auto" w:after="120"/>
        <w:jc w:val="both"/>
      </w:pPr>
      <w:r>
        <w:rPr>
          <w:lang w:val="ro-RO"/>
        </w:rPr>
        <w:t>Acordarea termenelor de plată este o componentă comercială necesară, dar poate genera întârzieri, litigii, insolvențe sau pierderi definitive. Finanțarea asociaților permite Societății să suporte intervalul de recuperare fără a transfera imediat presiunea de lichiditate asupra furnizorilor și fără a bloca stocurile sau lucrările în curs.</w:t>
      </w:r>
    </w:p>
    <w:p>
      <w:pPr>
        <w:spacing w:line="252" w:lineRule="auto" w:after="120"/>
        <w:jc w:val="both"/>
      </w:pPr>
      <w:r>
        <w:rPr>
          <w:lang w:val="ro-RO"/>
        </w:rPr>
        <w:t>Pentru limitarea riscului, fiecare creanță semnificativă trebuie urmărită prin scadențar și analiză de vechime, confirmări de sold, notificări de plată, garanții disponibile, acțiuni de recuperare, evaluarea probabilității de încasare și ajustări pentru depreciere atunci când sunt îndeplinite condițiile contabile.</w:t>
      </w:r>
    </w:p>
    <w:p>
      <w:pPr>
        <w:spacing w:line="252" w:lineRule="auto" w:after="120"/>
        <w:jc w:val="both"/>
      </w:pPr>
      <w:r>
        <w:rPr>
          <w:lang w:val="ro-RO"/>
        </w:rPr>
        <w:t>Cesiunea unei creanțe către unul dintre creditori poate fi analizată numai ca măsură individuală de recuperare și de stingere totală sau parțială a împrumutului, nu ca mecanism automat de transfer al tuturor creanțelor restante.</w:t>
      </w:r>
    </w:p>
    <w:p>
      <w:pPr>
        <w:pStyle w:val="Heading1"/>
        <w:keepNext/>
        <w:jc w:val="left"/>
      </w:pPr>
      <w:r>
        <w:rPr>
          <w:lang w:val="ro-RO"/>
        </w:rPr>
        <w:t>6. Considerente privind impozitul pe profit, TVA și dividendele</w:t>
      </w:r>
    </w:p>
    <w:p>
      <w:pPr>
        <w:spacing w:line="252" w:lineRule="auto" w:after="120"/>
        <w:jc w:val="both"/>
      </w:pPr>
      <w:r>
        <w:rPr>
          <w:lang w:val="ro-RO"/>
        </w:rPr>
        <w:t>Veniturile aferente livrărilor care au generat creanțele comerciale au fost sau urmează să fie reflectate în rezultatul contabil și fiscal potrivit regulilor aplicabile, iar TVA aferentă a fost colectată/declarată potrivit exigibilității operațiunilor. Neîncasarea ulterioară nu transformă automat creanța într-o cheltuială integral deductibilă și nu permite automat ajustarea TVA; aceste efecte sunt recunoscute numai în condițiile expres prevăzute de legislația fiscală.</w:t>
      </w:r>
    </w:p>
    <w:p>
      <w:pPr>
        <w:spacing w:line="252" w:lineRule="auto" w:after="120"/>
        <w:jc w:val="both"/>
      </w:pPr>
      <w:r>
        <w:rPr>
          <w:lang w:val="ro-RO"/>
        </w:rPr>
        <w:t>În măsura în care o componentă a soldului 4551 provine din dividende nete lăsate la dispoziția Societății, dosarul trebuie să conțină hotărârile de distribuire, calculul dividendelor, declarațiile și dovezile de plată a impozitului aferent. Această trasabilitate arată că finanțarea nu reprezintă o retragere netaxată de valoare din Societate.</w:t>
      </w:r>
    </w:p>
    <w:p>
      <w:pPr>
        <w:spacing w:line="252" w:lineRule="auto" w:after="120"/>
        <w:jc w:val="both"/>
      </w:pPr>
      <w:r>
        <w:rPr>
          <w:lang w:val="ro-RO"/>
        </w:rPr>
        <w:t>Faptul că veniturile comerciale și dividendele au fost supuse obligațiilor fiscale aplicabile susține substanța economică și reduce riscul unei interpretări de evitare fiscală. Totuși, nu este corectă calificarea generică a riscului fiscal drept „nul”. Riscul este controlabil și poate fi redus la un nivel rezonabil numai dacă operațiunea este reală, documentată, evaluată la valoare de piață și înregistrată fiscal-contabil conform naturii sale.</w:t>
      </w:r>
    </w:p>
    <w:p>
      <w:pPr>
        <w:pStyle w:val="Heading1"/>
        <w:keepNext/>
        <w:jc w:val="left"/>
      </w:pPr>
      <w:r>
        <w:rPr>
          <w:lang w:val="ro-RO"/>
        </w:rPr>
        <w:t>7. Condiții pentru o eventuală cesiune de creanță în contul împrumutului</w:t>
      </w:r>
    </w:p>
    <w:p>
      <w:pPr>
        <w:pStyle w:val="ListBullet"/>
        <w:spacing w:after="80" w:line="252" w:lineRule="auto"/>
        <w:jc w:val="both"/>
      </w:pPr>
      <w:r>
        <w:rPr>
          <w:lang w:val="ro-RO"/>
        </w:rPr>
        <w:t>aprobarea prealabilă prin hotărâre separată și individualizarea creanței, a facturilor, scadenței, garanțiilor și demersurilor de recuperare;</w:t>
      </w:r>
    </w:p>
    <w:p>
      <w:pPr>
        <w:pStyle w:val="ListBullet"/>
        <w:spacing w:after="80" w:line="252" w:lineRule="auto"/>
        <w:jc w:val="both"/>
      </w:pPr>
      <w:r>
        <w:rPr>
          <w:lang w:val="ro-RO"/>
        </w:rPr>
        <w:t>stabilirea valorii de cesiune prin analiza probabilității de recuperare și respectarea principiului valorii de piață între persoane afiliate;</w:t>
      </w:r>
    </w:p>
    <w:p>
      <w:pPr>
        <w:pStyle w:val="ListBullet"/>
        <w:spacing w:after="80" w:line="252" w:lineRule="auto"/>
        <w:jc w:val="both"/>
      </w:pPr>
      <w:r>
        <w:rPr>
          <w:lang w:val="ro-RO"/>
        </w:rPr>
        <w:t>încheierea contractului de cesiune și a documentului de stingere, cu indicarea principalului stins și îndeplinirea formalităților față de debitor;</w:t>
      </w:r>
    </w:p>
    <w:p>
      <w:pPr>
        <w:pStyle w:val="ListBullet"/>
        <w:spacing w:after="80" w:line="252" w:lineRule="auto"/>
        <w:jc w:val="both"/>
      </w:pPr>
      <w:r>
        <w:rPr>
          <w:lang w:val="ro-RO"/>
        </w:rPr>
        <w:t>analizarea distinctă a pierderii din cesiune și a TVA, fără a prezuma deductibilitatea integrală sau ajustarea automată a taxei;</w:t>
      </w:r>
    </w:p>
    <w:p>
      <w:pPr>
        <w:pStyle w:val="ListBullet"/>
        <w:spacing w:after="80" w:line="252" w:lineRule="auto"/>
        <w:jc w:val="both"/>
      </w:pPr>
      <w:r>
        <w:rPr>
          <w:lang w:val="ro-RO"/>
        </w:rPr>
        <w:t>păstrarea dosarului de justificare: referat economic, vechime, recuperare, evaluare, hotărâre, contract și înregistrări fiscal-contabile.</w:t>
      </w:r>
    </w:p>
    <w:p>
      <w:pPr>
        <w:pStyle w:val="Heading1"/>
        <w:keepNext/>
        <w:jc w:val="left"/>
      </w:pPr>
      <w:r>
        <w:rPr>
          <w:lang w:val="ro-RO"/>
        </w:rPr>
        <w:t>8. Concluzie și propunere</w:t>
      </w:r>
    </w:p>
    <w:p>
      <w:pPr>
        <w:spacing w:line="252" w:lineRule="auto" w:after="120"/>
        <w:jc w:val="both"/>
      </w:pPr>
      <w:r>
        <w:rPr>
          <w:lang w:val="ro-RO"/>
        </w:rPr>
        <w:t>Împrumuturile asociaților sunt justificate de finanțarea stocurilor, de decalajul dintre livrare și încasarea creanțelor și de protejarea continuității activității. Menținerea finanțării până la 01.01.2030 este proporțională cu necesarul de capital de lucru și cu durata resurselor puse la dispoziția Societății.</w:t>
      </w:r>
    </w:p>
    <w:p>
      <w:pPr>
        <w:spacing w:line="252" w:lineRule="auto" w:after="120"/>
        <w:jc w:val="both"/>
      </w:pPr>
      <w:r>
        <w:rPr>
          <w:lang w:val="ro-RO"/>
        </w:rPr>
        <w:t>Se propune urmărirea distinctă a principalului și dobânzii, actualizarea registrului ratelor BNR la fiecare decizie de politică monetară, recalcularea pe subperioade fracționate, monitorizarea trimestrială a capitalului de lucru și aprobarea cesiunilor numai pe baza unui dosar individual care demonstrează valoarea de piață și efectul economic al stingerii împrumutului.</w:t>
      </w:r>
    </w:p>
    <w:p>
      <w:pPr>
        <w:pStyle w:val="Heading1"/>
        <w:keepNext/>
        <w:jc w:val="left"/>
      </w:pPr>
      <w:r>
        <w:rPr>
          <w:lang w:val="ro-RO"/>
        </w:rPr>
        <w:t>Bază normativă relevantă</w:t>
      </w:r>
    </w:p>
    <w:p>
      <w:pPr>
        <w:pStyle w:val="ListBullet"/>
        <w:spacing w:after="80" w:line="252" w:lineRule="auto"/>
        <w:jc w:val="both"/>
      </w:pPr>
      <w:r>
        <w:rPr>
          <w:lang w:val="ro-RO"/>
        </w:rPr>
        <w:t>Codul civil - împrumutul, cesiunea de creanță, opozabilitatea și stingerea obligațiilor;</w:t>
      </w:r>
    </w:p>
    <w:p>
      <w:pPr>
        <w:pStyle w:val="ListBullet"/>
        <w:spacing w:after="80" w:line="252" w:lineRule="auto"/>
        <w:jc w:val="both"/>
      </w:pPr>
      <w:r>
        <w:rPr>
          <w:lang w:val="ro-RO"/>
        </w:rPr>
        <w:t>Legea nr. 227/2015 privind Codul fiscal: art. 11 alin. (4), art. 25 și art. 287;</w:t>
      </w:r>
    </w:p>
    <w:p>
      <w:pPr>
        <w:pStyle w:val="ListBullet"/>
        <w:spacing w:after="80" w:line="252" w:lineRule="auto"/>
        <w:jc w:val="both"/>
      </w:pPr>
      <w:r>
        <w:rPr>
          <w:lang w:val="ro-RO"/>
        </w:rPr>
        <w:t>Normele metodologice ale Codului fiscal privind operațiunile cu creanțe;</w:t>
      </w:r>
    </w:p>
    <w:p>
      <w:pPr>
        <w:pStyle w:val="ListBullet"/>
        <w:spacing w:after="80" w:line="252" w:lineRule="auto"/>
        <w:jc w:val="both"/>
      </w:pPr>
      <w:r>
        <w:rPr>
          <w:lang w:val="ro-RO"/>
        </w:rPr>
        <w:t>O.G. nr. 13/2011 - rata dobânzii de referință a BNR și dobânda remuneratorie;</w:t>
      </w:r>
    </w:p>
    <w:p>
      <w:pPr>
        <w:pStyle w:val="ListBullet"/>
        <w:spacing w:after="80" w:line="252" w:lineRule="auto"/>
        <w:jc w:val="both"/>
      </w:pPr>
      <w:r>
        <w:rPr>
          <w:lang w:val="ro-RO"/>
        </w:rPr>
        <w:t>O.M.F.P. nr. 1802/2014, în special pct. 57 - prevalența economicului asupra juridicului, realitatea operațiunilor și documentele justificative; creanțe, ajustări pentru depreciere și datorii față de asociați.</w:t>
      </w:r>
    </w:p>
    <w:p>
      <w:pPr>
        <w:spacing w:line="252" w:lineRule="auto" w:after="120"/>
        <w:jc w:val="left"/>
      </w:pPr>
      <w:r>
        <w:rPr>
          <w:lang w:val="ro-RO"/>
        </w:rPr>
        <w:tab/>
        <w:t>____________________________</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3213"/>
        <w:gridCol w:w="3213"/>
        <w:gridCol w:w="3213"/>
      </w:tblGrid>
      <w:tr>
        <w:trPr>
          <w:tblHeader w:val="true"/>
        </w:trPr>
        <w:tc>
          <w:tcPr>
            <w:tcW w:type="dxa" w:w="2948"/>
            <w:vAlign w:val="center"/>
            <w:tcMar>
              <w:top w:w="80" w:type="dxa"/>
              <w:start w:w="100" w:type="dxa"/>
              <w:bottom w:w="80" w:type="dxa"/>
              <w:end w:w="100" w:type="dxa"/>
            </w:tcMar>
            <w:shd w:fill="E9EDF1"/>
          </w:tcPr>
          <w:p>
            <w:pPr>
              <w:spacing w:after="40" w:line="240" w:lineRule="auto" w:before="0"/>
              <w:jc w:val="center"/>
            </w:pPr>
            <w:r>
              <w:rPr>
                <w:rFonts w:ascii="Aptos" w:hAnsi="Aptos" w:cs="Segoe UI"/>
                <w:b/>
                <w:color w:val="232F38"/>
                <w:sz w:val="19"/>
                <w:lang w:val="ro-RO"/>
              </w:rPr>
              <w:t>ÎNTOCMIT,</w:t>
            </w:r>
          </w:p>
        </w:tc>
        <w:tc>
          <w:tcPr>
            <w:tcW w:type="dxa" w:w="2948"/>
            <w:vAlign w:val="center"/>
            <w:tcMar>
              <w:top w:w="80" w:type="dxa"/>
              <w:start w:w="100" w:type="dxa"/>
              <w:bottom w:w="80" w:type="dxa"/>
              <w:end w:w="100" w:type="dxa"/>
            </w:tcMar>
            <w:shd w:fill="E9EDF1"/>
          </w:tcPr>
          <w:p>
            <w:pPr>
              <w:spacing w:after="40" w:line="240" w:lineRule="auto" w:before="0"/>
              <w:jc w:val="center"/>
            </w:pPr>
            <w:r>
              <w:rPr>
                <w:rFonts w:ascii="Aptos" w:hAnsi="Aptos" w:cs="Segoe UI"/>
                <w:b/>
                <w:color w:val="232F38"/>
                <w:sz w:val="19"/>
                <w:lang w:val="ro-RO"/>
              </w:rPr>
              <w:t>ASOCIAT,</w:t>
            </w:r>
          </w:p>
        </w:tc>
        <w:tc>
          <w:tcPr>
            <w:tcW w:type="dxa" w:w="2948"/>
            <w:vAlign w:val="center"/>
            <w:tcMar>
              <w:top w:w="80" w:type="dxa"/>
              <w:start w:w="100" w:type="dxa"/>
              <w:bottom w:w="80" w:type="dxa"/>
              <w:end w:w="100" w:type="dxa"/>
            </w:tcMar>
            <w:shd w:fill="E9EDF1"/>
          </w:tcPr>
          <w:p>
            <w:pPr>
              <w:spacing w:after="40" w:line="240" w:lineRule="auto" w:before="0"/>
              <w:jc w:val="center"/>
            </w:pPr>
            <w:r>
              <w:rPr>
                <w:rFonts w:ascii="Aptos" w:hAnsi="Aptos" w:cs="Segoe UI"/>
                <w:b/>
                <w:color w:val="232F38"/>
                <w:sz w:val="19"/>
                <w:lang w:val="ro-RO"/>
              </w:rPr>
              <w:t>ASOCIAT,</w:t>
            </w:r>
          </w:p>
        </w:tc>
      </w:tr>
      <w:tr>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____________________</w:t>
            </w:r>
          </w:p>
        </w:tc>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____________________</w:t>
            </w:r>
          </w:p>
        </w:tc>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____________________</w:t>
            </w:r>
          </w:p>
        </w:tc>
      </w:tr>
      <w:tr>
        <w:tc>
          <w:tcPr>
            <w:tcW w:type="dxa" w:w="2948"/>
            <w:vAlign w:val="center"/>
            <w:tcMar>
              <w:top w:w="80" w:type="dxa"/>
              <w:start w:w="100" w:type="dxa"/>
              <w:bottom w:w="80" w:type="dxa"/>
              <w:end w:w="100" w:type="dxa"/>
            </w:tcMar>
          </w:tcPr>
          <w:p>
            <w:pPr>
              <w:spacing w:after="40" w:line="240" w:lineRule="auto" w:before="0"/>
              <w:jc w:val="both"/>
            </w:pPr>
            <w:r>
              <w:rPr>
                <w:rFonts w:ascii="Aptos" w:hAnsi="Aptos" w:cs="Segoe UI"/>
                <w:b w:val="0"/>
                <w:color w:val="232F38"/>
                <w:sz w:val="19"/>
                <w:lang w:val="ro-RO"/>
              </w:rPr>
              <w:t>Administrator / Director economic</w:t>
            </w:r>
          </w:p>
        </w:tc>
        <w:tc>
          <w:tcPr>
            <w:tcW w:type="dxa" w:w="2948"/>
            <w:vAlign w:val="center"/>
            <w:tcMar>
              <w:top w:w="80" w:type="dxa"/>
              <w:start w:w="100" w:type="dxa"/>
              <w:bottom w:w="80" w:type="dxa"/>
              <w:end w:w="100" w:type="dxa"/>
            </w:tcMar>
          </w:tcPr>
          <w:p>
            <w:pPr>
              <w:spacing w:after="40" w:line="240" w:lineRule="auto" w:before="0"/>
              <w:jc w:val="both"/>
            </w:pPr>
            <w:r>
              <w:rPr>
                <w:rFonts w:ascii="Aptos" w:hAnsi="Aptos" w:cs="Segoe UI"/>
                <w:b w:val="0"/>
                <w:color w:val="232F38"/>
                <w:sz w:val="19"/>
                <w:lang w:val="ro-RO"/>
              </w:rPr>
              <w:t>|~AdministratorNume~|</w:t>
            </w:r>
          </w:p>
        </w:tc>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|~Asociat2Nume~|</w:t>
            </w:r>
          </w:p>
        </w:tc>
      </w:tr>
      <w:tr>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Data: |~DataNotaExplicativa~|</w:t>
            </w:r>
          </w:p>
        </w:tc>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Data: |~DataNotaExplicativa~|</w:t>
            </w:r>
          </w:p>
        </w:tc>
        <w:tc>
          <w:tcPr>
            <w:tcW w:type="dxa" w:w="2948"/>
            <w:vAlign w:val="center"/>
            <w:tcMar>
              <w:top w:w="80" w:type="dxa"/>
              <w:start w:w="100" w:type="dxa"/>
              <w:bottom w:w="80" w:type="dxa"/>
              <w:end w:w="100" w:type="dxa"/>
            </w:tcMar>
          </w:tcPr>
          <w:p>
            <w:pPr>
              <w:spacing w:after="40" w:line="240" w:lineRule="auto" w:before="0"/>
              <w:jc w:val="left"/>
            </w:pPr>
            <w:r>
              <w:rPr>
                <w:rFonts w:ascii="Aptos" w:hAnsi="Aptos" w:cs="Segoe UI"/>
                <w:b w:val="0"/>
                <w:color w:val="232F38"/>
                <w:sz w:val="19"/>
                <w:lang w:val="ro-RO"/>
              </w:rPr>
              <w:t>Data: |~DataNotaExplicativa~|</w:t>
            </w:r>
          </w:p>
        </w:tc>
      </w:tr>
    </w:tbl>
    <w:sectPr w:rsidR="00FC693F" w:rsidRPr="0006063C" w:rsidSect="00034616">
      <w:headerReference w:type="default" r:id="rId9"/>
      <w:footerReference w:type="default" r:id="rId10"/>
      <w:headerReference w:type="first" r:id="rId11"/>
      <w:footerReference w:type="first" r:id="rId12"/>
      <w:pgSz w:w="11906" w:h="16838"/>
      <w:pgMar w:top="851" w:right="1134" w:bottom="1021"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05_Nota_explicativa_finantare_capital_lucru_si_gestiune_creante.docx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05_Nota_explicativa_finantare_capital_lucru_si_gestiune_creante.docx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p>
  <w:p>
    <w:pPr>
      <w:spacing w:after="0"/>
      <w:ind w:right="6264"/>
      <w:pBdr>
        <w:top w:val="single" w:sz="2" w:space="1" w:color="343434"/>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r>
      <w:tab/>
    </w:r>
    <w:r>
      <w:rPr>
        <w:rFonts w:ascii="Aptos" w:hAnsi="Aptos" w:cs="Segoe UI"/>
        <w:b/>
        <w:color w:val="373D42"/>
        <w:sz w:val="14"/>
      </w:rPr>
      <w:t>CUI |~CompanieCUI~| · Nr. RC |~CompanieNrRC~|</w:t>
    </w:r>
  </w:p>
  <w:p>
    <w:pPr>
      <w:spacing w:after="0"/>
      <w:ind w:right="6264"/>
      <w:pBdr>
        <w:top w:val="single" w:sz="2" w:space="1" w:color="3434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s="Segoe U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32F3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C394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F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85F"/>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Șablon LoanCopilot</dc:title>
  <dc:subject>Document editabil pentru împrumut asociat</dc:subject>
  <dc:creator>LoanCopilot</dc:creator>
  <cp:keywords/>
  <dc:description>Șablon generic fără datele unei companii concrete.</dc:description>
  <cp:lastModifiedBy/>
  <cp:revision>1</cp:revision>
  <dcterms:created xsi:type="dcterms:W3CDTF">2013-12-23T23:15:00Z</dcterms:created>
  <dcterms:modified xsi:type="dcterms:W3CDTF">2013-12-23T23:15:00Z</dcterms:modified>
  <cp:category/>
</cp:coreProperties>
</file>