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0" w:after="0"/>
        <w:jc w:val="left"/>
      </w:pPr>
      <w:r>
        <w:rPr>
          <w:b/>
          <w:lang w:val="ro-RO"/>
        </w:rPr>
        <w:t>HOTĂRÂREA ADUNĂRII GENERALE A ASOCIAȚILOR</w:t>
      </w:r>
    </w:p>
    <w:p>
      <w:pPr>
        <w:pStyle w:val="Subtitle"/>
        <w:keepNext/>
        <w:spacing w:before="0" w:after="80"/>
        <w:jc w:val="left"/>
      </w:pPr>
      <w:r>
        <w:rPr>
          <w:i/>
          <w:lang w:val="ro-RO"/>
        </w:rPr>
        <w:t>introducerea dobânzii variabile la nivelul ratei de referință BNR de la |~DataEfecteDobanda~|</w:t>
      </w:r>
    </w:p>
    <w:p>
      <w:pPr>
        <w:keepNext/>
        <w:spacing w:before="0" w:after="200"/>
        <w:jc w:val="left"/>
      </w:pPr>
      <w:r>
        <w:rPr>
          <w:b/>
          <w:sz w:val="20"/>
          <w:lang w:val="ro-RO"/>
        </w:rPr>
        <w:t>nr. 1 din |~DataSemnareActAditional2~|</w:t>
      </w:r>
    </w:p>
    <w:p>
      <w:pPr>
        <w:spacing w:after="0"/>
      </w:pPr>
    </w:p>
    <w:p>
      <w:pPr>
        <w:spacing w:line="252" w:lineRule="auto" w:after="120"/>
        <w:jc w:val="left"/>
      </w:pPr>
      <w:r>
        <w:rPr>
          <w:lang w:val="ro-RO"/>
        </w:rPr>
        <w:t>Asociații |~Asociat1Nume~| și |~Asociat2Nume~|, reprezentând 100% din capitalul social al |~CompanieNume~|, hotărăsc în unanimitate:</w:t>
      </w:r>
    </w:p>
    <w:p>
      <w:pPr>
        <w:spacing w:line="252" w:lineRule="auto" w:after="120"/>
        <w:jc w:val="both"/>
      </w:pPr>
      <w:r>
        <w:rPr>
          <w:lang w:val="ro-RO"/>
        </w:rPr>
        <w:t>Având în vedere Nota explicativă nr. 1/|~DataSemnareActAditional2~| privind realitatea economică a finanțării stocurilor, decalajul de încasare a creanțelor comerciale, administrarea riscului de neîncasare și remunerarea distinctă a resurselor financiare,</w:t>
      </w:r>
    </w:p>
    <w:p>
      <w:pPr>
        <w:spacing w:line="252" w:lineRule="auto" w:after="120"/>
        <w:jc w:val="both"/>
      </w:pPr>
      <w:r>
        <w:rPr>
          <w:b/>
          <w:lang w:val="ro-RO"/>
        </w:rPr>
        <w:t>Art. 1 - Se aprobă Actele adiționale nr. 2 la contractele |~Contract1Numar~| și |~Contract2Numar~|.</w:t>
      </w:r>
    </w:p>
    <w:p>
      <w:pPr>
        <w:spacing w:line="252" w:lineRule="auto" w:after="120"/>
        <w:jc w:val="both"/>
      </w:pPr>
      <w:r>
        <w:rPr>
          <w:b/>
          <w:lang w:val="ro-RO"/>
        </w:rPr>
        <w:t>Art. 2 - De la |~DataEfecteDobanda~|, soldurile efective ale principalului sunt purtătoare de dobândă variabilă egală, pentru fiecare zi, cu rata dobânzii de referință a BNR, respectiv rata dobânzii de politică monetară valabilă la data respectivă. La |~DataEfecteDobanda~| rata aplicabilă este |~RataBNRLaData~| pe an.</w:t>
      </w:r>
    </w:p>
    <w:p>
      <w:pPr>
        <w:spacing w:line="252" w:lineRule="auto" w:after="120"/>
        <w:jc w:val="both"/>
      </w:pPr>
      <w:r>
        <w:rPr>
          <w:b/>
          <w:lang w:val="ro-RO"/>
        </w:rPr>
        <w:t>Art. 3 - Dobânda se calculează zilnic la sold pe baza Actual/365, se recunoaște trimestrial și nu se capitalizează automat. Orice modificare a ratei BNR se aplică automat din data intrării în vigoare, iar trimestrul se fragmentează în subperioade corespunzătoare ratelor succesive. Perioada anterioară datei de |~DataEfecteDobanda~| rămâne fără dobândă.</w:t>
      </w:r>
    </w:p>
    <w:p>
      <w:pPr>
        <w:spacing w:line="252" w:lineRule="auto" w:after="120"/>
        <w:jc w:val="both"/>
      </w:pPr>
      <w:r>
        <w:rPr>
          <w:b/>
          <w:lang w:val="ro-RO"/>
        </w:rPr>
        <w:t>Art. 4 - La |~DataEfecteDobanda~| se folosește, până la clarificarea evidenței, soldul reconciliat de închidere 2025 de |~SoldReconciliat~| lei, nu soldul de deschidere nereconciliat de |~SoldDeschidereNereconciliat~| lei din fișa 2026.</w:t>
      </w:r>
    </w:p>
    <w:p>
      <w:pPr>
        <w:spacing w:line="252" w:lineRule="auto" w:after="120"/>
        <w:jc w:val="both"/>
      </w:pPr>
      <w:r>
        <w:rPr>
          <w:b/>
          <w:lang w:val="ro-RO"/>
        </w:rPr>
        <w:t>Art. 5 - Rambursările anticipate se efectuează la cererea creditorilor, fără comision, după verificarea lichidității, a activului net și a celorlalte interdicții legale. O eventuală stingere prin cesiune de creanță se aprobă separat și se realizează numai la o valoare justificată și documentată.</w:t>
      </w:r>
      <w:r>
        <w:rPr>
          <w:lang w:val="ro-RO"/>
        </w:rPr>
      </w:r>
    </w:p>
    <w:p>
      <w:pPr>
        <w:spacing w:line="252" w:lineRule="auto" w:after="120"/>
        <w:jc w:val="both"/>
      </w:pPr>
      <w:r>
        <w:rPr>
          <w:b/>
          <w:lang w:val="ro-RO"/>
        </w:rPr>
        <w:t xml:space="preserve">Art. 6 - </w:t>
      </w:r>
      <w:r>
        <w:rPr>
          <w:lang w:val="ro-RO"/>
        </w:rPr>
        <w:t>Se mandatează persoanele prevăzute în Hotărârea AGA nr. 1/27.12.2019 pentru semnarea actelor adiționale.</w:t>
      </w:r>
    </w:p>
    <w:p>
      <w:pPr>
        <w:tabs>
          <w:tab w:pos="4989" w:val="left"/>
        </w:tabs>
        <w:spacing w:before="280" w:line="252" w:lineRule="auto" w:after="120"/>
        <w:jc w:val="left"/>
      </w:pPr>
      <w:r>
        <w:rPr>
          <w:b/>
          <w:lang w:val="ro-RO"/>
        </w:rPr>
        <w:t>ASOCIAT,</w:t>
      </w:r>
      <w:r>
        <w:rPr>
          <w:lang w:val="ro-RO"/>
        </w:rPr>
        <w:tab/>
      </w:r>
      <w:r>
        <w:rPr>
          <w:b/>
          <w:lang w:val="ro-RO"/>
        </w:rPr>
        <w:t>ASOCIAT,</w:t>
      </w:r>
    </w:p>
    <w:p>
      <w:pPr>
        <w:tabs>
          <w:tab w:pos="4989" w:val="left"/>
        </w:tabs>
        <w:spacing w:line="252" w:lineRule="auto" w:after="120"/>
        <w:jc w:val="left"/>
      </w:pPr>
      <w:r>
        <w:rPr>
          <w:lang w:val="ro-RO"/>
        </w:rPr>
        <w:t>____________________________</w:t>
      </w:r>
      <w:r>
        <w:rPr>
          <w:lang w:val="ro-RO"/>
        </w:rPr>
        <w:tab/>
      </w:r>
      <w:r>
        <w:rPr>
          <w:lang w:val="ro-RO"/>
        </w:rPr>
        <w:t>____________________________</w:t>
      </w:r>
    </w:p>
    <w:p>
      <w:pPr>
        <w:tabs>
          <w:tab w:pos="4989" w:val="left"/>
        </w:tabs>
        <w:spacing w:line="252" w:lineRule="auto" w:after="120"/>
        <w:jc w:val="left"/>
      </w:pPr>
      <w:r>
        <w:rPr>
          <w:lang w:val="ro-RO"/>
        </w:rPr>
        <w:t>|~Asociat1Nume~|</w:t>
        <w:tab/>
        <w:t>|~Asociat2Nume~|</w:t>
      </w:r>
    </w:p>
    <w:p>
      <w:pPr>
        <w:tabs>
          <w:tab w:pos="4989" w:val="left"/>
        </w:tabs>
        <w:spacing w:line="252" w:lineRule="auto" w:after="120"/>
        <w:jc w:val="left"/>
      </w:pPr>
      <w:r>
        <w:rPr>
          <w:lang w:val="ro-RO"/>
        </w:rPr>
        <w:t>Data semnării: |~DataSemnareActAditional2~|</w:t>
        <w:tab/>
        <w:t>Data semnării: |~DataSemnareActAditional2~|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851" w:right="1134" w:bottom="1021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right="8280"/>
      <w:pBdr>
        <w:top w:val="single" w:sz="2" w:space="1" w:color="343434"/>
      </w:pBdr>
    </w:pPr>
  </w:p>
  <w:p>
    <w:pPr>
      <w:tabs>
        <w:tab w:pos="9638" w:val="right"/>
      </w:tabs>
      <w:spacing w:after="0"/>
    </w:pP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FILENAME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07_Hotarare_AGA_stabilire_dobanda_BNR.docx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ab/>
      <w:t xml:space="preserve">Pagina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PAGE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 xml:space="preserve"> |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NUMPAGES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right="8280"/>
      <w:pBdr>
        <w:top w:val="single" w:sz="2" w:space="1" w:color="343434"/>
      </w:pBdr>
    </w:pPr>
  </w:p>
  <w:p>
    <w:pPr>
      <w:tabs>
        <w:tab w:pos="9638" w:val="right"/>
      </w:tabs>
      <w:spacing w:after="0"/>
    </w:pP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FILENAME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07_Hotarare_AGA_stabilire_dobanda_BNR.docx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ab/>
      <w:t xml:space="preserve">Pagina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PAGE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  <w:r>
      <w:rPr>
        <w:rFonts w:ascii="Aptos" w:hAnsi="Aptos" w:cs="Segoe UI"/>
        <w:color w:val="555A5F"/>
        <w:sz w:val="16"/>
      </w:rPr>
      <w:t xml:space="preserve"> | </w:t>
    </w:r>
    <w:r>
      <w:rPr>
        <w:rFonts w:ascii="Aptos" w:hAnsi="Aptos" w:cs="Segoe UI"/>
        <w:color w:val="555A5F"/>
        <w:sz w:val="16"/>
      </w:rPr>
      <w:fldChar w:fldCharType="begin"/>
    </w:r>
    <w:r>
      <w:rPr>
        <w:rFonts w:ascii="Aptos" w:hAnsi="Aptos" w:cs="Segoe UI"/>
        <w:color w:val="555A5F"/>
        <w:sz w:val="16"/>
      </w:rPr>
      <w:instrText xml:space="preserve">NUMPAGES</w:instrText>
    </w:r>
    <w:r>
      <w:rPr>
        <w:rFonts w:ascii="Aptos" w:hAnsi="Aptos" w:cs="Segoe UI"/>
        <w:color w:val="555A5F"/>
        <w:sz w:val="16"/>
      </w:rPr>
      <w:fldChar w:fldCharType="separate"/>
    </w:r>
    <w:r>
      <w:rPr>
        <w:rFonts w:ascii="Aptos" w:hAnsi="Aptos" w:cs="Segoe UI"/>
        <w:color w:val="555A5F"/>
        <w:sz w:val="16"/>
      </w:rPr>
      <w:t>1</w:t>
    </w:r>
    <w:r>
      <w:rPr>
        <w:rFonts w:ascii="Aptos" w:hAnsi="Aptos" w:cs="Segoe UI"/>
        <w:color w:val="555A5F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Aptos" w:hAnsi="Aptos" w:cs="Segoe UI"/>
        <w:b/>
        <w:color w:val="373D42"/>
        <w:sz w:val="14"/>
      </w:rPr>
      <w:t>|~CompanieNume~|</w:t>
    </w:r>
  </w:p>
  <w:p>
    <w:pPr>
      <w:spacing w:after="0"/>
      <w:ind w:right="6264"/>
      <w:pBdr>
        <w:top w:val="single" w:sz="2" w:space="1" w:color="343434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Aptos" w:hAnsi="Aptos" w:cs="Segoe UI"/>
        <w:b/>
        <w:color w:val="373D42"/>
        <w:sz w:val="14"/>
      </w:rPr>
      <w:t>|~CompanieNume~|</w:t>
    </w:r>
    <w:r>
      <w:tab/>
    </w:r>
    <w:r>
      <w:rPr>
        <w:rFonts w:ascii="Aptos" w:hAnsi="Aptos" w:cs="Segoe UI"/>
        <w:b/>
        <w:color w:val="373D42"/>
        <w:sz w:val="14"/>
      </w:rPr>
      <w:t>CUI |~CompanieCUI~| · Nr. RC |~CompanieNrRC~|</w:t>
    </w:r>
  </w:p>
  <w:p>
    <w:pPr>
      <w:spacing w:after="0"/>
      <w:ind w:right="6264"/>
      <w:pBdr>
        <w:top w:val="single" w:sz="2" w:space="1" w:color="343434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cs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32F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C394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32F3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0585F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LoanCopilot</dc:creator>
  <cp:keywords/>
  <dc:description>Șablon generic fără datele unei companii concrete.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