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0" w:before="0"/>
        <w:jc w:val="left"/>
      </w:pPr>
      <w:r>
        <w:rPr>
          <w:b/>
          <w:lang w:val="ro-RO"/>
        </w:rPr>
        <w:t>ACT ADIȚIONAL NR. 2</w:t>
      </w:r>
    </w:p>
    <w:p>
      <w:pPr>
        <w:pStyle w:val="Subtitle"/>
        <w:keepNext/>
        <w:spacing w:after="80" w:before="0"/>
        <w:jc w:val="left"/>
      </w:pPr>
      <w:r>
        <w:rPr>
          <w:i/>
          <w:lang w:val="ro-RO"/>
        </w:rPr>
        <w:t>introducerea dobânzii remuneratorii variabile la nivelul ratei de referință BNR</w:t>
      </w:r>
    </w:p>
    <w:p>
      <w:pPr>
        <w:keepNext/>
        <w:spacing w:after="200" w:before="0"/>
        <w:jc w:val="left"/>
      </w:pPr>
      <w:r>
        <w:rPr>
          <w:b/>
          <w:sz w:val="20"/>
          <w:lang w:val="ro-RO"/>
        </w:rPr>
        <w:t>la Contractul nr. |~ContractNumar~| · semnat la |~DataSemnareActAditional2~| · efecte de la |~DataEfecteDobanda~|</w:t>
      </w:r>
    </w:p>
    <w:p>
      <w:pPr>
        <w:spacing w:after="0"/>
      </w:pPr>
    </w:p>
    <w:p>
      <w:pPr>
        <w:spacing w:after="120" w:line="252" w:lineRule="auto"/>
        <w:jc w:val="left"/>
      </w:pPr>
      <w:r>
        <w:rPr>
          <w:lang w:val="ro-RO"/>
        </w:rPr>
        <w:t>Între |~AsociatNume~|, în calitate de Creditor, și |~CompanieNume~|, în calitate de Societate, reprezentată prin |~ReprezentantSocietate~|, se încheie prezentul act adițional.</w:t>
      </w:r>
    </w:p>
    <w:p>
      <w:pPr>
        <w:pStyle w:val="Heading1"/>
        <w:keepNext/>
        <w:jc w:val="left"/>
      </w:pPr>
      <w:r>
        <w:rPr>
          <w:lang w:val="ro-RO"/>
        </w:rPr>
        <w:t>Art. 1 - Dobânda</w:t>
      </w:r>
    </w:p>
    <w:p>
      <w:pPr>
        <w:spacing w:line="252" w:lineRule="auto" w:after="120"/>
        <w:jc w:val="both"/>
      </w:pPr>
      <w:r>
        <w:rPr>
          <w:lang w:val="ro-RO"/>
        </w:rPr>
        <w:t>Începând cu |~DataEfecteDobanda~|, principalul efectiv rămas de restituit este purtător de dobândă remuneratorie variabilă, egală pentru fiecare zi cu rata dobânzii de referință stabilită de Banca Națională a României, respectiv rata dobânzii de politică monetară valabilă în ziua respectivă. La |~DataEfecteDobanda~| rata aplicabilă este |~RataBNRLaData~| pe an. Perioadele anterioare rămân definitiv fără dobândă.</w:t>
      </w:r>
    </w:p>
    <w:p>
      <w:pPr>
        <w:pStyle w:val="Heading1"/>
        <w:keepNext/>
        <w:jc w:val="left"/>
      </w:pPr>
      <w:r>
        <w:rPr>
          <w:lang w:val="ro-RO"/>
        </w:rPr>
        <w:t>Art. 2 - Calculul la sold</w:t>
      </w:r>
    </w:p>
    <w:p>
      <w:pPr>
        <w:spacing w:line="252" w:lineRule="auto" w:after="120"/>
        <w:ind w:left="576" w:hanging="432"/>
        <w:jc w:val="both"/>
      </w:pPr>
      <w:r>
        <w:rPr>
          <w:lang w:val="ro-RO"/>
        </w:rPr>
        <w:t>2.1. Dobânda se calculează zilnic asupra soldului principal existent după mișcările înregistrate în ziua respectivă, pe baza convenției Actual/365: Sold zilnic × rata BNR aplicabilă zilei / 365.</w:t>
      </w:r>
    </w:p>
    <w:p>
      <w:pPr>
        <w:spacing w:line="252" w:lineRule="auto" w:after="120"/>
        <w:ind w:left="576" w:hanging="432"/>
        <w:jc w:val="both"/>
      </w:pPr>
      <w:r>
        <w:rPr>
          <w:lang w:val="ro-RO"/>
        </w:rPr>
        <w:t>2.2. Rambursările reduc baza de calcul din data plății. Tranșele suplimentare majorează baza din data punerii la dispoziție. Dobânda este simplă și nu se capitalizează automat. Orice modificare a ratei BNR se aplică de drept din data intrării sale în vigoare, fără un nou act adițional; perioada de calcul se fragmentează automat în subperioade determinate de ratele succesive.</w:t>
      </w:r>
    </w:p>
    <w:p>
      <w:pPr>
        <w:pStyle w:val="Heading1"/>
        <w:keepNext/>
        <w:jc w:val="left"/>
      </w:pPr>
      <w:r>
        <w:rPr>
          <w:lang w:val="ro-RO"/>
        </w:rPr>
        <w:t>Art. 3 - Recunoaștere și plată</w:t>
      </w:r>
    </w:p>
    <w:p>
      <w:pPr>
        <w:spacing w:line="252" w:lineRule="auto" w:after="120"/>
        <w:ind w:left="576" w:hanging="432"/>
        <w:jc w:val="both"/>
      </w:pPr>
      <w:r>
        <w:rPr>
          <w:lang w:val="ro-RO"/>
        </w:rPr>
        <w:t>3.1. Societatea calculează și recunoaște dobânda trimestrial, la 31 martie, 30 iunie, 30 septembrie și 31 decembrie, pe baza fișei soldurilor zilnice și a registrului ratelor BNR. Pentru fiecare subperioadă se păstrează rata, data de aplicare, sursa oficială, numărul de zile, soldul-zile și dobânda rezultată.</w:t>
      </w:r>
    </w:p>
    <w:p>
      <w:pPr>
        <w:spacing w:line="252" w:lineRule="auto" w:after="120"/>
        <w:ind w:left="576" w:hanging="432"/>
        <w:jc w:val="both"/>
      </w:pPr>
      <w:r>
        <w:rPr>
          <w:lang w:val="ro-RO"/>
        </w:rPr>
        <w:t>3.2. Rata de referință este preluată din pagina oficială BNR sau din decizia oficială de politică monetară. Dacă actualizarea automată nu este disponibilă, rata se introduce manual numai după verificarea sursei și se păstrează în registrul de audit.</w:t>
      </w:r>
    </w:p>
    <w:p>
      <w:pPr>
        <w:spacing w:line="252" w:lineRule="auto" w:after="120"/>
        <w:ind w:left="576" w:hanging="432"/>
        <w:jc w:val="both"/>
      </w:pPr>
      <w:r>
        <w:rPr>
          <w:lang w:val="ro-RO"/>
        </w:rPr>
        <w:t>3.3. Dobânda recunoscută este exigibilă la cererea scrisă a Creditorului și, în orice caz, la scadența finală ori la rambursarea integrală a principalului. Plata se efectuează prin bancă.</w:t>
      </w:r>
    </w:p>
    <w:p>
      <w:pPr>
        <w:spacing w:line="252" w:lineRule="auto" w:after="120"/>
        <w:ind w:left="576" w:hanging="432"/>
        <w:jc w:val="both"/>
      </w:pPr>
      <w:r>
        <w:rPr>
          <w:lang w:val="ro-RO"/>
        </w:rPr>
        <w:t>3.4. Dobânda este exprimată în sumă brută. La plată, Societatea calculează, reține, declară și virează impozitul aplicabil veniturilor din dobânzi potrivit legislației în vigoare.</w:t>
      </w:r>
    </w:p>
    <w:p>
      <w:pPr>
        <w:pStyle w:val="Heading1"/>
        <w:keepNext/>
        <w:jc w:val="left"/>
      </w:pPr>
      <w:r>
        <w:rPr>
          <w:lang w:val="ro-RO"/>
        </w:rPr>
        <w:t>Art. 4 - Rambursarea anticipată</w:t>
      </w:r>
    </w:p>
    <w:p>
      <w:pPr>
        <w:spacing w:line="252" w:lineRule="auto" w:after="120"/>
        <w:jc w:val="both"/>
      </w:pPr>
      <w:r>
        <w:rPr>
          <w:lang w:val="ro-RO"/>
        </w:rPr>
        <w:t>Creditorul poate solicita oricând rambursarea anticipată, totală sau parțială, fără comision. Plata se face după verificarea lichidităților și a condițiilor legale privind restituirea împrumuturilor către asociați.</w:t>
      </w:r>
    </w:p>
    <w:p>
      <w:pPr>
        <w:pStyle w:val="Heading1"/>
        <w:keepNext/>
        <w:jc w:val="left"/>
      </w:pPr>
      <w:r>
        <w:rPr>
          <w:lang w:val="ro-RO"/>
        </w:rPr>
        <w:t>Art. 5 - Menținerea duratei</w:t>
      </w:r>
    </w:p>
    <w:p>
      <w:pPr>
        <w:spacing w:line="252" w:lineRule="auto" w:after="120"/>
        <w:jc w:val="both"/>
      </w:pPr>
      <w:r>
        <w:rPr>
          <w:lang w:val="ro-RO"/>
        </w:rPr>
        <w:t>Scadența finală rămâne |~DataScadentaFinala~|, conform Actului adițional nr. 1. Celelalte clauze rămân neschimbate.</w:t>
      </w:r>
    </w:p>
    <w:p>
      <w:pPr>
        <w:keepNext/>
        <w:keepLines/>
        <w:tabs>
          <w:tab w:pos="4989" w:val="left"/>
        </w:tabs>
        <w:spacing w:before="140" w:after="120" w:line="252" w:lineRule="auto"/>
        <w:jc w:val="left"/>
      </w:pPr>
      <w:r>
        <w:rPr>
          <w:b/>
          <w:lang w:val="ro-RO"/>
        </w:rPr>
        <w:t>CREDITOR,</w:t>
      </w:r>
      <w:r>
        <w:rPr>
          <w:lang w:val="ro-RO"/>
        </w:rPr>
        <w:tab/>
      </w:r>
      <w:r>
        <w:rPr>
          <w:b/>
          <w:lang w:val="ro-RO"/>
        </w:rPr>
        <w:t>SOCIETATE,</w:t>
      </w:r>
    </w:p>
    <w:p>
      <w:pPr>
        <w:keepNext/>
        <w:keepLines/>
        <w:tabs>
          <w:tab w:pos="4989" w:val="left"/>
        </w:tabs>
        <w:spacing w:before="0" w:after="120" w:line="252" w:lineRule="auto"/>
        <w:jc w:val="left"/>
      </w:pPr>
      <w:r>
        <w:rPr>
          <w:lang w:val="ro-RO"/>
        </w:rPr>
        <w:t>____________________________</w:t>
      </w:r>
      <w:r>
        <w:rPr>
          <w:lang w:val="ro-RO"/>
        </w:rPr>
        <w:tab/>
      </w:r>
      <w:r>
        <w:rPr>
          <w:lang w:val="ro-RO"/>
        </w:rPr>
        <w:t>____________________________</w:t>
      </w:r>
    </w:p>
    <w:p>
      <w:pPr>
        <w:keepNext/>
        <w:keepLines/>
        <w:tabs>
          <w:tab w:pos="4989" w:val="left"/>
        </w:tabs>
        <w:spacing w:before="0" w:after="120" w:line="252" w:lineRule="auto"/>
        <w:jc w:val="left"/>
      </w:pPr>
      <w:r>
        <w:rPr>
          <w:lang w:val="ro-RO"/>
        </w:rPr>
        <w:t>|~AsociatNume~|</w:t>
        <w:tab/>
        <w:t>|~CompanieNume~|</w:t>
        <w:br/>
        <w:t>prin |~ReprezentantSocietate~|</w:t>
      </w:r>
    </w:p>
    <w:p>
      <w:pPr>
        <w:keepLines/>
        <w:tabs>
          <w:tab w:pos="4989" w:val="left"/>
        </w:tabs>
        <w:spacing w:before="0" w:after="120" w:line="252" w:lineRule="auto"/>
        <w:jc w:val="left"/>
      </w:pPr>
      <w:r>
        <w:rPr>
          <w:lang w:val="ro-RO"/>
        </w:rPr>
        <w:t>Data semnării: |~DataSemnareActAditional2~|</w:t>
        <w:tab/>
        <w:t>Data semnării: |~DataSemnareActAditional2~|</w:t>
      </w:r>
    </w:p>
    <w:sectPr w:rsidR="00FC693F" w:rsidRPr="0006063C" w:rsidSect="00034616">
      <w:headerReference w:type="default" r:id="rId9"/>
      <w:footerReference w:type="default" r:id="rId10"/>
      <w:headerReference w:type="first" r:id="rId11"/>
      <w:footerReference w:type="first" r:id="rId12"/>
      <w:pgSz w:w="11906" w:h="16838"/>
      <w:pgMar w:top="851" w:right="1134" w:bottom="1021"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ind w:right="8280"/>
      <w:pBdr>
        <w:top w:val="single" w:sz="2" w:space="1" w:color="343434"/>
      </w:pBdr>
    </w:pPr>
  </w:p>
  <w:p>
    <w:pPr>
      <w:tabs>
        <w:tab w:pos="9638" w:val="right"/>
      </w:tabs>
      <w:spacing w:after="0"/>
    </w:pPr>
    <w:r>
      <w:rPr>
        <w:rFonts w:ascii="Aptos" w:hAnsi="Aptos" w:cs="Segoe UI"/>
        <w:color w:val="555A5F"/>
        <w:sz w:val="16"/>
      </w:rPr>
      <w:fldChar w:fldCharType="begin"/>
    </w:r>
    <w:r>
      <w:rPr>
        <w:rFonts w:ascii="Aptos" w:hAnsi="Aptos" w:cs="Segoe UI"/>
        <w:color w:val="555A5F"/>
        <w:sz w:val="16"/>
      </w:rPr>
      <w:instrText xml:space="preserve">FILENAME</w:instrText>
    </w:r>
    <w:r>
      <w:rPr>
        <w:rFonts w:ascii="Aptos" w:hAnsi="Aptos" w:cs="Segoe UI"/>
        <w:color w:val="555A5F"/>
        <w:sz w:val="16"/>
      </w:rPr>
      <w:fldChar w:fldCharType="separate"/>
    </w:r>
    <w:r>
      <w:rPr>
        <w:rFonts w:ascii="Aptos" w:hAnsi="Aptos" w:cs="Segoe UI"/>
        <w:color w:val="555A5F"/>
        <w:sz w:val="16"/>
      </w:rPr>
      <w:t>08_Act_aditional_2_dobanda_BNR.docx</w:t>
    </w:r>
    <w:r>
      <w:rPr>
        <w:rFonts w:ascii="Aptos" w:hAnsi="Aptos" w:cs="Segoe UI"/>
        <w:color w:val="555A5F"/>
        <w:sz w:val="16"/>
      </w:rPr>
      <w:fldChar w:fldCharType="end"/>
    </w:r>
    <w:r>
      <w:rPr>
        <w:rFonts w:ascii="Aptos" w:hAnsi="Aptos" w:cs="Segoe UI"/>
        <w:color w:val="555A5F"/>
        <w:sz w:val="16"/>
      </w:rPr>
      <w:tab/>
      <w:t xml:space="preserve">Pagina </w:t>
    </w:r>
    <w:r>
      <w:rPr>
        <w:rFonts w:ascii="Aptos" w:hAnsi="Aptos" w:cs="Segoe UI"/>
        <w:color w:val="555A5F"/>
        <w:sz w:val="16"/>
      </w:rPr>
      <w:fldChar w:fldCharType="begin"/>
    </w:r>
    <w:r>
      <w:rPr>
        <w:rFonts w:ascii="Aptos" w:hAnsi="Aptos" w:cs="Segoe UI"/>
        <w:color w:val="555A5F"/>
        <w:sz w:val="16"/>
      </w:rPr>
      <w:instrText xml:space="preserve">PAGE</w:instrText>
    </w:r>
    <w:r>
      <w:rPr>
        <w:rFonts w:ascii="Aptos" w:hAnsi="Aptos" w:cs="Segoe UI"/>
        <w:color w:val="555A5F"/>
        <w:sz w:val="16"/>
      </w:rPr>
      <w:fldChar w:fldCharType="separate"/>
    </w:r>
    <w:r>
      <w:rPr>
        <w:rFonts w:ascii="Aptos" w:hAnsi="Aptos" w:cs="Segoe UI"/>
        <w:color w:val="555A5F"/>
        <w:sz w:val="16"/>
      </w:rPr>
      <w:t>1</w:t>
    </w:r>
    <w:r>
      <w:rPr>
        <w:rFonts w:ascii="Aptos" w:hAnsi="Aptos" w:cs="Segoe UI"/>
        <w:color w:val="555A5F"/>
        <w:sz w:val="16"/>
      </w:rPr>
      <w:fldChar w:fldCharType="end"/>
    </w:r>
    <w:r>
      <w:rPr>
        <w:rFonts w:ascii="Aptos" w:hAnsi="Aptos" w:cs="Segoe UI"/>
        <w:color w:val="555A5F"/>
        <w:sz w:val="16"/>
      </w:rPr>
      <w:t xml:space="preserve"> | </w:t>
    </w:r>
    <w:r>
      <w:rPr>
        <w:rFonts w:ascii="Aptos" w:hAnsi="Aptos" w:cs="Segoe UI"/>
        <w:color w:val="555A5F"/>
        <w:sz w:val="16"/>
      </w:rPr>
      <w:fldChar w:fldCharType="begin"/>
    </w:r>
    <w:r>
      <w:rPr>
        <w:rFonts w:ascii="Aptos" w:hAnsi="Aptos" w:cs="Segoe UI"/>
        <w:color w:val="555A5F"/>
        <w:sz w:val="16"/>
      </w:rPr>
      <w:instrText xml:space="preserve">NUMPAGES</w:instrText>
    </w:r>
    <w:r>
      <w:rPr>
        <w:rFonts w:ascii="Aptos" w:hAnsi="Aptos" w:cs="Segoe UI"/>
        <w:color w:val="555A5F"/>
        <w:sz w:val="16"/>
      </w:rPr>
      <w:fldChar w:fldCharType="separate"/>
    </w:r>
    <w:r>
      <w:rPr>
        <w:rFonts w:ascii="Aptos" w:hAnsi="Aptos" w:cs="Segoe UI"/>
        <w:color w:val="555A5F"/>
        <w:sz w:val="16"/>
      </w:rPr>
      <w:t>1</w:t>
    </w:r>
    <w:r>
      <w:rPr>
        <w:rFonts w:ascii="Aptos" w:hAnsi="Aptos" w:cs="Segoe UI"/>
        <w:color w:val="555A5F"/>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ind w:right="8280"/>
      <w:pBdr>
        <w:top w:val="single" w:sz="2" w:space="1" w:color="343434"/>
      </w:pBdr>
    </w:pPr>
  </w:p>
  <w:p>
    <w:pPr>
      <w:tabs>
        <w:tab w:pos="9638" w:val="right"/>
      </w:tabs>
      <w:spacing w:after="0"/>
    </w:pPr>
    <w:r>
      <w:rPr>
        <w:rFonts w:ascii="Aptos" w:hAnsi="Aptos" w:cs="Segoe UI"/>
        <w:color w:val="555A5F"/>
        <w:sz w:val="16"/>
      </w:rPr>
      <w:fldChar w:fldCharType="begin"/>
    </w:r>
    <w:r>
      <w:rPr>
        <w:rFonts w:ascii="Aptos" w:hAnsi="Aptos" w:cs="Segoe UI"/>
        <w:color w:val="555A5F"/>
        <w:sz w:val="16"/>
      </w:rPr>
      <w:instrText xml:space="preserve">FILENAME</w:instrText>
    </w:r>
    <w:r>
      <w:rPr>
        <w:rFonts w:ascii="Aptos" w:hAnsi="Aptos" w:cs="Segoe UI"/>
        <w:color w:val="555A5F"/>
        <w:sz w:val="16"/>
      </w:rPr>
      <w:fldChar w:fldCharType="separate"/>
    </w:r>
    <w:r>
      <w:rPr>
        <w:rFonts w:ascii="Aptos" w:hAnsi="Aptos" w:cs="Segoe UI"/>
        <w:color w:val="555A5F"/>
        <w:sz w:val="16"/>
      </w:rPr>
      <w:t>08_Act_aditional_2_dobanda_BNR.docx</w:t>
    </w:r>
    <w:r>
      <w:rPr>
        <w:rFonts w:ascii="Aptos" w:hAnsi="Aptos" w:cs="Segoe UI"/>
        <w:color w:val="555A5F"/>
        <w:sz w:val="16"/>
      </w:rPr>
      <w:fldChar w:fldCharType="end"/>
    </w:r>
    <w:r>
      <w:rPr>
        <w:rFonts w:ascii="Aptos" w:hAnsi="Aptos" w:cs="Segoe UI"/>
        <w:color w:val="555A5F"/>
        <w:sz w:val="16"/>
      </w:rPr>
      <w:tab/>
      <w:t xml:space="preserve">Pagina </w:t>
    </w:r>
    <w:r>
      <w:rPr>
        <w:rFonts w:ascii="Aptos" w:hAnsi="Aptos" w:cs="Segoe UI"/>
        <w:color w:val="555A5F"/>
        <w:sz w:val="16"/>
      </w:rPr>
      <w:fldChar w:fldCharType="begin"/>
    </w:r>
    <w:r>
      <w:rPr>
        <w:rFonts w:ascii="Aptos" w:hAnsi="Aptos" w:cs="Segoe UI"/>
        <w:color w:val="555A5F"/>
        <w:sz w:val="16"/>
      </w:rPr>
      <w:instrText xml:space="preserve">PAGE</w:instrText>
    </w:r>
    <w:r>
      <w:rPr>
        <w:rFonts w:ascii="Aptos" w:hAnsi="Aptos" w:cs="Segoe UI"/>
        <w:color w:val="555A5F"/>
        <w:sz w:val="16"/>
      </w:rPr>
      <w:fldChar w:fldCharType="separate"/>
    </w:r>
    <w:r>
      <w:rPr>
        <w:rFonts w:ascii="Aptos" w:hAnsi="Aptos" w:cs="Segoe UI"/>
        <w:color w:val="555A5F"/>
        <w:sz w:val="16"/>
      </w:rPr>
      <w:t>1</w:t>
    </w:r>
    <w:r>
      <w:rPr>
        <w:rFonts w:ascii="Aptos" w:hAnsi="Aptos" w:cs="Segoe UI"/>
        <w:color w:val="555A5F"/>
        <w:sz w:val="16"/>
      </w:rPr>
      <w:fldChar w:fldCharType="end"/>
    </w:r>
    <w:r>
      <w:rPr>
        <w:rFonts w:ascii="Aptos" w:hAnsi="Aptos" w:cs="Segoe UI"/>
        <w:color w:val="555A5F"/>
        <w:sz w:val="16"/>
      </w:rPr>
      <w:t xml:space="preserve"> | </w:t>
    </w:r>
    <w:r>
      <w:rPr>
        <w:rFonts w:ascii="Aptos" w:hAnsi="Aptos" w:cs="Segoe UI"/>
        <w:color w:val="555A5F"/>
        <w:sz w:val="16"/>
      </w:rPr>
      <w:fldChar w:fldCharType="begin"/>
    </w:r>
    <w:r>
      <w:rPr>
        <w:rFonts w:ascii="Aptos" w:hAnsi="Aptos" w:cs="Segoe UI"/>
        <w:color w:val="555A5F"/>
        <w:sz w:val="16"/>
      </w:rPr>
      <w:instrText xml:space="preserve">NUMPAGES</w:instrText>
    </w:r>
    <w:r>
      <w:rPr>
        <w:rFonts w:ascii="Aptos" w:hAnsi="Aptos" w:cs="Segoe UI"/>
        <w:color w:val="555A5F"/>
        <w:sz w:val="16"/>
      </w:rPr>
      <w:fldChar w:fldCharType="separate"/>
    </w:r>
    <w:r>
      <w:rPr>
        <w:rFonts w:ascii="Aptos" w:hAnsi="Aptos" w:cs="Segoe UI"/>
        <w:color w:val="555A5F"/>
        <w:sz w:val="16"/>
      </w:rPr>
      <w:t>1</w:t>
    </w:r>
    <w:r>
      <w:rPr>
        <w:rFonts w:ascii="Aptos" w:hAnsi="Aptos" w:cs="Segoe UI"/>
        <w:color w:val="555A5F"/>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Aptos" w:hAnsi="Aptos" w:cs="Segoe UI"/>
        <w:b/>
        <w:color w:val="373D42"/>
        <w:sz w:val="14"/>
      </w:rPr>
      <w:t>|~CompanieNume~|</w:t>
    </w:r>
  </w:p>
  <w:p>
    <w:pPr>
      <w:spacing w:after="0"/>
      <w:ind w:right="6264"/>
      <w:pBdr>
        <w:top w:val="single" w:sz="2" w:space="1" w:color="343434"/>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Aptos" w:hAnsi="Aptos" w:cs="Segoe UI"/>
        <w:b/>
        <w:color w:val="373D42"/>
        <w:sz w:val="14"/>
      </w:rPr>
      <w:t>|~CompanieNume~|</w:t>
    </w:r>
    <w:r>
      <w:tab/>
    </w:r>
    <w:r>
      <w:rPr>
        <w:rFonts w:ascii="Aptos" w:hAnsi="Aptos" w:cs="Segoe UI"/>
        <w:b/>
        <w:color w:val="373D42"/>
        <w:sz w:val="14"/>
      </w:rPr>
      <w:t>CUI |~CompanieCUI~| · Nr. RC |~CompanieNrRC~|</w:t>
    </w:r>
  </w:p>
  <w:p>
    <w:pPr>
      <w:spacing w:after="0"/>
      <w:ind w:right="6264"/>
      <w:pBdr>
        <w:top w:val="single" w:sz="2" w:space="1" w:color="343434"/>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s="Segoe UI"/>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232F38"/>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C394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2F3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0585F"/>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LoanCopilot</dc:creator>
  <cp:keywords/>
  <dc:description>Șablon generic fără datele unei companii concrete.</dc:description>
  <cp:lastModifiedBy/>
  <cp:revision>1</cp:revision>
  <dcterms:created xsi:type="dcterms:W3CDTF">2013-12-23T23:15:00Z</dcterms:created>
  <dcterms:modified xsi:type="dcterms:W3CDTF">2013-12-23T23:15:00Z</dcterms:modified>
  <cp:category/>
</cp:coreProperties>
</file>