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0"/>
        <w:jc w:val="left"/>
      </w:pPr>
      <w:r>
        <w:rPr>
          <w:b/>
          <w:lang w:val="ro-RO"/>
        </w:rPr>
        <w:t>PROCES-VERBAL DE RECONCILIERE</w:t>
      </w:r>
    </w:p>
    <w:p>
      <w:pPr>
        <w:pStyle w:val="Subtitle"/>
        <w:keepNext/>
        <w:spacing w:before="0" w:after="80"/>
        <w:jc w:val="left"/>
      </w:pPr>
      <w:r>
        <w:rPr>
          <w:i/>
          <w:lang w:val="ro-RO"/>
        </w:rPr>
        <w:t>soldul 4551 și baza de calcul a dobânzii la |~DataReconciliere~|</w:t>
      </w:r>
    </w:p>
    <w:p>
      <w:pPr>
        <w:keepNext/>
        <w:spacing w:before="0" w:after="200"/>
        <w:jc w:val="left"/>
      </w:pPr>
      <w:r>
        <w:rPr>
          <w:b/>
          <w:sz w:val="20"/>
          <w:lang w:val="ro-RO"/>
        </w:rPr>
        <w:t>nr. 2 din |~DataSemnareReconciliere~|</w:t>
      </w:r>
    </w:p>
    <w:p>
      <w:pPr>
        <w:spacing w:after="0"/>
      </w:pPr>
    </w:p>
    <w:p>
      <w:pPr>
        <w:pStyle w:val="Heading1"/>
        <w:keepNext/>
        <w:jc w:val="left"/>
      </w:pPr>
      <w:r>
        <w:rPr>
          <w:lang w:val="ro-RO"/>
        </w:rPr>
        <w:t>1. Solduri constatate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B9C1C8"/>
          <w:left w:val="single" w:sz="4" w:space="0" w:color="B9C1C8"/>
          <w:bottom w:val="single" w:sz="4" w:space="0" w:color="B9C1C8"/>
          <w:right w:val="single" w:sz="4" w:space="0" w:color="B9C1C8"/>
          <w:insideH w:val="single" w:sz="4" w:space="0" w:color="B9C1C8"/>
          <w:insideV w:val="single" w:sz="4" w:space="0" w:color="B9C1C8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515"/>
            <w:shd w:fill="E9EDF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40" w:before="0"/>
              <w:jc w:val="center"/>
            </w:pPr>
            <w:r>
              <w:rPr>
                <w:rFonts w:ascii="Aptos" w:hAnsi="Aptos" w:cs="Segoe UI"/>
                <w:b/>
                <w:color w:val="232F38"/>
                <w:sz w:val="19"/>
                <w:lang w:val="ro-RO"/>
              </w:rPr>
              <w:t>Element</w:t>
            </w:r>
          </w:p>
        </w:tc>
        <w:tc>
          <w:tcPr>
            <w:tcW w:type="dxa" w:w="2041"/>
            <w:shd w:fill="E9EDF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40" w:before="0"/>
              <w:jc w:val="center"/>
            </w:pPr>
            <w:r>
              <w:rPr>
                <w:rFonts w:ascii="Aptos" w:hAnsi="Aptos" w:cs="Segoe UI"/>
                <w:b/>
                <w:color w:val="232F38"/>
                <w:sz w:val="19"/>
                <w:lang w:val="ro-RO"/>
              </w:rPr>
              <w:t>Total</w:t>
            </w:r>
          </w:p>
        </w:tc>
        <w:tc>
          <w:tcPr>
            <w:tcW w:type="dxa" w:w="2041"/>
            <w:shd w:fill="E9EDF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40" w:before="0"/>
              <w:jc w:val="center"/>
            </w:pPr>
            <w:r>
              <w:rPr>
                <w:rFonts w:ascii="Aptos" w:hAnsi="Aptos" w:cs="Segoe UI"/>
                <w:b/>
                <w:color w:val="232F38"/>
                <w:sz w:val="19"/>
                <w:lang w:val="ro-RO"/>
              </w:rPr>
              <w:t>|~Asociat1Scurt~|</w:t>
            </w:r>
          </w:p>
        </w:tc>
        <w:tc>
          <w:tcPr>
            <w:tcW w:type="dxa" w:w="2041"/>
            <w:shd w:fill="E9EDF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 w:after="40" w:before="0"/>
              <w:jc w:val="center"/>
            </w:pPr>
            <w:r>
              <w:rPr>
                <w:rFonts w:ascii="Aptos" w:hAnsi="Aptos" w:cs="Segoe UI"/>
                <w:b/>
                <w:color w:val="232F38"/>
                <w:sz w:val="19"/>
                <w:lang w:val="ro-RO"/>
              </w:rPr>
              <w:t>|~Asociat2Scurt~|</w:t>
            </w:r>
          </w:p>
        </w:tc>
      </w:tr>
      <w:tr>
        <w:tc>
          <w:tcPr>
            <w:tcW w:type="dxa" w:w="3515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Sold final fișa 2025</w:t>
            </w:r>
          </w:p>
        </w:tc>
        <w:tc>
          <w:tcPr>
            <w:tcW w:type="dxa" w:w="204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|~SoldFinalPerioadaAnterioara~|</w:t>
            </w:r>
          </w:p>
        </w:tc>
        <w:tc>
          <w:tcPr>
            <w:tcW w:type="dxa" w:w="204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|~SoldAsociat1~|</w:t>
            </w:r>
          </w:p>
        </w:tc>
        <w:tc>
          <w:tcPr>
            <w:tcW w:type="dxa" w:w="204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|~SoldAsociat2~|</w:t>
            </w:r>
          </w:p>
        </w:tc>
      </w:tr>
      <w:tr>
        <w:tc>
          <w:tcPr>
            <w:tcW w:type="dxa" w:w="3515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Sold deschidere fișa 2026</w:t>
            </w:r>
          </w:p>
        </w:tc>
        <w:tc>
          <w:tcPr>
            <w:tcW w:type="dxa" w:w="204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|~SoldDeschiderePerioadaCurenta~|</w:t>
            </w:r>
          </w:p>
        </w:tc>
        <w:tc>
          <w:tcPr>
            <w:tcW w:type="dxa" w:w="204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—</w:t>
            </w:r>
          </w:p>
        </w:tc>
        <w:tc>
          <w:tcPr>
            <w:tcW w:type="dxa" w:w="204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—</w:t>
            </w:r>
          </w:p>
        </w:tc>
      </w:tr>
      <w:tr>
        <w:tc>
          <w:tcPr>
            <w:tcW w:type="dxa" w:w="3515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Diferență</w:t>
            </w:r>
          </w:p>
        </w:tc>
        <w:tc>
          <w:tcPr>
            <w:tcW w:type="dxa" w:w="204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|~DiferentaReconciliere~|</w:t>
            </w:r>
          </w:p>
        </w:tc>
        <w:tc>
          <w:tcPr>
            <w:tcW w:type="dxa" w:w="204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—</w:t>
            </w:r>
          </w:p>
        </w:tc>
        <w:tc>
          <w:tcPr>
            <w:tcW w:type="dxa" w:w="204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—</w:t>
            </w:r>
          </w:p>
        </w:tc>
      </w:tr>
      <w:tr>
        <w:tc>
          <w:tcPr>
            <w:tcW w:type="dxa" w:w="3515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Rambursări 06.02 și 23.02.2026</w:t>
            </w:r>
          </w:p>
        </w:tc>
        <w:tc>
          <w:tcPr>
            <w:tcW w:type="dxa" w:w="204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|~RambursariTotal~|</w:t>
            </w:r>
          </w:p>
        </w:tc>
        <w:tc>
          <w:tcPr>
            <w:tcW w:type="dxa" w:w="204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|~RambursariAsociat~|</w:t>
            </w:r>
          </w:p>
        </w:tc>
        <w:tc>
          <w:tcPr>
            <w:tcW w:type="dxa" w:w="204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|~RambursariAsociat~|</w:t>
            </w:r>
          </w:p>
        </w:tc>
      </w:tr>
      <w:tr>
        <w:tc>
          <w:tcPr>
            <w:tcW w:type="dxa" w:w="3515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Sold după 23.02.2026</w:t>
            </w:r>
          </w:p>
        </w:tc>
        <w:tc>
          <w:tcPr>
            <w:tcW w:type="dxa" w:w="204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|~SoldDupaRambursari~|</w:t>
            </w:r>
          </w:p>
        </w:tc>
        <w:tc>
          <w:tcPr>
            <w:tcW w:type="dxa" w:w="204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|~SoldDupaRambursariAsociat1~|</w:t>
            </w:r>
          </w:p>
        </w:tc>
        <w:tc>
          <w:tcPr>
            <w:tcW w:type="dxa" w:w="2041"/>
            <w:tcBorders>
              <w:top w:val="single" w:sz="4" w:color="B7BEC6"/>
              <w:left w:val="single" w:sz="4" w:color="B7BEC6"/>
              <w:bottom w:val="single" w:sz="4" w:color="B7BEC6"/>
              <w:right w:val="single" w:sz="4" w:color="B7BEC6"/>
              <w:insideH w:val="single" w:sz="4" w:color="B7BEC6"/>
              <w:insideV w:val="single" w:sz="4" w:color="B7BEC6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 w:before="0"/>
              <w:jc w:val="both"/>
            </w:pPr>
            <w:r>
              <w:rPr>
                <w:rFonts w:ascii="Aptos" w:hAnsi="Aptos" w:cs="Segoe UI"/>
                <w:color w:val="232F38"/>
                <w:sz w:val="19"/>
                <w:lang w:val="ro-RO"/>
              </w:rPr>
              <w:t>|~SoldDupaRambursariAsociat2~|</w:t>
            </w:r>
          </w:p>
        </w:tc>
      </w:tr>
    </w:tbl>
    <w:p>
      <w:pPr>
        <w:spacing w:after="0"/>
      </w:pPr>
    </w:p>
    <w:p>
      <w:pPr>
        <w:pStyle w:val="Heading1"/>
        <w:keepNext/>
        <w:jc w:val="left"/>
      </w:pPr>
      <w:r>
        <w:rPr>
          <w:lang w:val="ro-RO"/>
        </w:rPr>
        <w:t>2. Concluzia reconcilierii</w:t>
      </w:r>
    </w:p>
    <w:p>
      <w:pPr>
        <w:spacing w:line="252" w:lineRule="auto" w:after="120"/>
        <w:jc w:val="both"/>
      </w:pPr>
      <w:r>
        <w:rPr>
          <w:lang w:val="ro-RO"/>
        </w:rPr>
        <w:t>Diferența de |~DiferentaReconciliere~| lei dintre soldul final 2025 și deschiderea din fișa 2026 este egală cu debitarea din 31.12.2025 evidențiată în fișa 2020-2025. Până la corectarea ori justificarea acestei neconcordanțe, calculul dobânzii pornește de la soldul final reconciliat de |~SoldFinalPerioadaAnterioara~| lei.</w:t>
      </w:r>
    </w:p>
    <w:p>
      <w:pPr>
        <w:spacing w:line="252" w:lineRule="auto" w:after="120"/>
        <w:jc w:val="left"/>
      </w:pPr>
      <w:r>
        <w:rPr>
          <w:lang w:val="ro-RO"/>
        </w:rPr>
        <w:t>Mișcările fără explicație individuală au fost distribuite 50%/50%, cu centul indivizibil al soldului atribuit lui |~Asociat1Nume~|. Rambursările din 2026 au fost alocate direct pe baza explicațiilor din fișă.</w:t>
      </w:r>
    </w:p>
    <w:p>
      <w:pPr>
        <w:pStyle w:val="Heading1"/>
        <w:keepNext/>
        <w:jc w:val="left"/>
      </w:pPr>
      <w:r>
        <w:rPr>
          <w:lang w:val="ro-RO"/>
        </w:rPr>
        <w:t>3. Acțiuni contabile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verificarea notei/contului corespondent aferent debitării din 31.12.2025;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corectarea soldului de deschidere 2026 sau documentarea unei eventuale storno/reîncadrări;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păstrarea analiticelor separate 4551.|~AnaliticPrincipalAsociat1~| și 4551.|~AnaliticPrincipalAsociat2~|;</w:t>
      </w:r>
    </w:p>
    <w:p>
      <w:pPr>
        <w:pStyle w:val="ListBullet"/>
        <w:spacing w:after="80" w:line="252" w:lineRule="auto"/>
        <w:jc w:val="both"/>
      </w:pPr>
      <w:r>
        <w:rPr>
          <w:lang w:val="ro-RO"/>
        </w:rPr>
        <w:t>folosirea soldului zilnic reconciliat pentru dobânda de la |~DataReconciliere~|.</w:t>
      </w:r>
    </w:p>
    <w:p>
      <w:pPr>
        <w:tabs>
          <w:tab w:pos="4989" w:val="left"/>
        </w:tabs>
        <w:spacing w:before="280" w:line="252" w:lineRule="auto" w:after="120"/>
        <w:jc w:val="left"/>
      </w:pPr>
      <w:r>
        <w:rPr>
          <w:b/>
          <w:lang w:val="ro-RO"/>
        </w:rPr>
        <w:t>SOCIETATE / ADMINISTRATOR,</w:t>
      </w:r>
      <w:r>
        <w:rPr>
          <w:lang w:val="ro-RO"/>
        </w:rPr>
        <w:tab/>
      </w:r>
      <w:r>
        <w:rPr>
          <w:b/>
          <w:lang w:val="ro-RO"/>
        </w:rPr>
        <w:t>CREDITORI,</w:t>
      </w:r>
    </w:p>
    <w:p>
      <w:pPr>
        <w:tabs>
          <w:tab w:pos="4989" w:val="left"/>
        </w:tabs>
        <w:spacing w:line="252" w:lineRule="auto" w:after="120"/>
        <w:jc w:val="left"/>
      </w:pPr>
      <w:r>
        <w:rPr>
          <w:lang w:val="ro-RO"/>
        </w:rPr>
        <w:t>____________________________</w:t>
      </w:r>
      <w:r>
        <w:rPr>
          <w:lang w:val="ro-RO"/>
        </w:rPr>
        <w:tab/>
      </w:r>
      <w:r>
        <w:rPr>
          <w:lang w:val="ro-RO"/>
        </w:rPr>
        <w:t>____________________________</w:t>
      </w:r>
    </w:p>
    <w:p>
      <w:pPr>
        <w:tabs>
          <w:tab w:pos="4989" w:val="left"/>
        </w:tabs>
        <w:spacing w:line="252" w:lineRule="auto" w:after="120"/>
        <w:jc w:val="left"/>
      </w:pPr>
      <w:r>
        <w:rPr>
          <w:lang w:val="ro-RO"/>
        </w:rPr>
        <w:t>|~Asociat1Nume~|</w:t>
        <w:tab/>
        <w:t>|~Asociat1Nume~| / |~Asociat2Nume~|</w:t>
      </w:r>
    </w:p>
    <w:p>
      <w:pPr>
        <w:tabs>
          <w:tab w:pos="4989" w:val="left"/>
        </w:tabs>
        <w:spacing w:line="252" w:lineRule="auto" w:after="120"/>
        <w:jc w:val="left"/>
      </w:pPr>
      <w:r>
        <w:rPr>
          <w:lang w:val="ro-RO"/>
        </w:rPr>
        <w:t>Data semnării: |~DataSemnareReconciliere~|</w:t>
        <w:tab/>
        <w:t>Data semnării: |~DataSemnareReconciliere~|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1" w:right="1134" w:bottom="1021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right="8280"/>
      <w:pBdr>
        <w:top w:val="single" w:sz="2" w:space="1" w:color="343434"/>
      </w:pBdr>
    </w:pPr>
  </w:p>
  <w:p>
    <w:pPr>
      <w:tabs>
        <w:tab w:pos="9638" w:val="right"/>
      </w:tabs>
      <w:spacing w:after="0"/>
    </w:pP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FILENAME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09_Proces_verbal_reconciliere_sold.docx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ab/>
      <w:t xml:space="preserve">Pagina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PAGE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 xml:space="preserve"> |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NUMPAGES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ind w:right="8280"/>
      <w:pBdr>
        <w:top w:val="single" w:sz="2" w:space="1" w:color="343434"/>
      </w:pBdr>
    </w:pPr>
  </w:p>
  <w:p>
    <w:pPr>
      <w:tabs>
        <w:tab w:pos="9638" w:val="right"/>
      </w:tabs>
      <w:spacing w:after="0"/>
    </w:pP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FILENAME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09_Proces_verbal_reconciliere_sold.docx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ab/>
      <w:t xml:space="preserve">Pagina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PAGE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  <w:r>
      <w:rPr>
        <w:rFonts w:ascii="Aptos" w:hAnsi="Aptos" w:cs="Segoe UI"/>
        <w:color w:val="555A5F"/>
        <w:sz w:val="16"/>
      </w:rPr>
      <w:t xml:space="preserve"> | </w:t>
    </w:r>
    <w:r>
      <w:rPr>
        <w:rFonts w:ascii="Aptos" w:hAnsi="Aptos" w:cs="Segoe UI"/>
        <w:color w:val="555A5F"/>
        <w:sz w:val="16"/>
      </w:rPr>
      <w:fldChar w:fldCharType="begin"/>
    </w:r>
    <w:r>
      <w:rPr>
        <w:rFonts w:ascii="Aptos" w:hAnsi="Aptos" w:cs="Segoe UI"/>
        <w:color w:val="555A5F"/>
        <w:sz w:val="16"/>
      </w:rPr>
      <w:instrText xml:space="preserve">NUMPAGES</w:instrText>
    </w:r>
    <w:r>
      <w:rPr>
        <w:rFonts w:ascii="Aptos" w:hAnsi="Aptos" w:cs="Segoe UI"/>
        <w:color w:val="555A5F"/>
        <w:sz w:val="16"/>
      </w:rPr>
      <w:fldChar w:fldCharType="separate"/>
    </w:r>
    <w:r>
      <w:rPr>
        <w:rFonts w:ascii="Aptos" w:hAnsi="Aptos" w:cs="Segoe UI"/>
        <w:color w:val="555A5F"/>
        <w:sz w:val="16"/>
      </w:rPr>
      <w:t>1</w:t>
    </w:r>
    <w:r>
      <w:rPr>
        <w:rFonts w:ascii="Aptos" w:hAnsi="Aptos" w:cs="Segoe UI"/>
        <w:color w:val="555A5F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Aptos" w:hAnsi="Aptos" w:cs="Segoe UI"/>
        <w:b/>
        <w:color w:val="373D42"/>
        <w:sz w:val="14"/>
      </w:rPr>
      <w:t>|~CompanieNume~|</w:t>
    </w:r>
  </w:p>
  <w:p>
    <w:pPr>
      <w:spacing w:after="0"/>
      <w:ind w:right="6264"/>
      <w:pBdr>
        <w:top w:val="single" w:sz="2" w:space="1" w:color="343434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Aptos" w:hAnsi="Aptos" w:cs="Segoe UI"/>
        <w:b/>
        <w:color w:val="373D42"/>
        <w:sz w:val="14"/>
      </w:rPr>
      <w:t>|~CompanieNume~|</w:t>
    </w:r>
    <w:r>
      <w:tab/>
    </w:r>
    <w:r>
      <w:rPr>
        <w:rFonts w:ascii="Aptos" w:hAnsi="Aptos" w:cs="Segoe UI"/>
        <w:b/>
        <w:color w:val="373D42"/>
        <w:sz w:val="14"/>
      </w:rPr>
      <w:t>CUI |~CompanieCUI~| · Nr. RC |~CompanieNrRC~|</w:t>
    </w:r>
  </w:p>
  <w:p>
    <w:pPr>
      <w:spacing w:after="0"/>
      <w:ind w:right="6264"/>
      <w:pBdr>
        <w:top w:val="single" w:sz="2" w:space="1" w:color="34343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cs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32F3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C394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32F3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0585F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LoanCopilot</dc:creator>
  <cp:keywords/>
  <dc:description>Șablon generic fără datele unei companii concrete.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