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0"/>
        <w:jc w:val="left"/>
      </w:pPr>
      <w:r>
        <w:rPr>
          <w:b/>
          <w:lang w:val="ro-RO"/>
        </w:rPr>
        <w:t>FIȘĂ DE CALCUL A DOBÂNZII ȘI NOTĂ CONTABILĂ</w:t>
      </w:r>
    </w:p>
    <w:p>
      <w:pPr>
        <w:pStyle w:val="Subtitle"/>
        <w:keepNext/>
        <w:spacing w:before="0" w:after="80"/>
        <w:jc w:val="left"/>
      </w:pPr>
      <w:r>
        <w:rPr>
          <w:i/>
          <w:lang w:val="ro-RO"/>
        </w:rPr>
        <w:t>T1 și T2 2026 · rata de referință BNR |~RataBNR~| pe an · Actual/365</w:t>
      </w:r>
    </w:p>
    <w:p>
      <w:pPr>
        <w:keepNext/>
        <w:spacing w:before="0" w:after="200"/>
        <w:jc w:val="left"/>
      </w:pPr>
      <w:r>
        <w:rPr>
          <w:b/>
          <w:sz w:val="20"/>
          <w:lang w:val="ro-RO"/>
        </w:rPr>
        <w:t>întocmită la |~DataCalcul~|</w:t>
      </w:r>
    </w:p>
    <w:p>
      <w:pPr>
        <w:spacing w:after="0"/>
      </w:pPr>
    </w:p>
    <w:p>
      <w:pPr>
        <w:pStyle w:val="Heading1"/>
        <w:keepNext/>
        <w:jc w:val="left"/>
      </w:pPr>
      <w:r>
        <w:rPr>
          <w:lang w:val="ro-RO"/>
        </w:rPr>
        <w:t>1. Parametri</w:t>
      </w:r>
    </w:p>
    <w:tbl>
      <w:tblPr>
        <w:tblW w:type="auto" w:w="0"/>
        <w:tblLayout w:type="autofit"/>
        <w:tblLook w:firstColumn="1" w:firstRow="1" w:lastColumn="0" w:lastRow="0" w:noHBand="0" w:noVBand="1" w:val="04A0"/>
        <w:jc w:val="center"/>
        <w:tblBorders>
          <w:top w:val="single" w:sz="4" w:space="0" w:color="B9C1C8"/>
          <w:left w:val="single" w:sz="4" w:space="0" w:color="B9C1C8"/>
          <w:bottom w:val="single" w:sz="4" w:space="0" w:color="B9C1C8"/>
          <w:right w:val="single" w:sz="4" w:space="0" w:color="B9C1C8"/>
          <w:insideH w:val="single" w:sz="4" w:space="0" w:color="B9C1C8"/>
          <w:insideV w:val="single" w:sz="4" w:space="0" w:color="B9C1C8"/>
        </w:tblBorders>
      </w:tblPr>
      <w:tblGrid>
        <w:gridCol w:w="4819"/>
        <w:gridCol w:w="4819"/>
      </w:tblGrid>
      <w:tr>
        <w:trPr>
          <w:tblHeader w:val="true"/>
        </w:trPr>
        <w:tc>
          <w:tcPr>
            <w:tcW w:type="dxa" w:w="3685"/>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Parametru</w:t>
            </w:r>
          </w:p>
        </w:tc>
        <w:tc>
          <w:tcPr>
            <w:tcW w:type="dxa" w:w="5386"/>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Valoare</w:t>
            </w:r>
          </w:p>
        </w:tc>
      </w:tr>
      <w:tr>
        <w:tc>
          <w:tcPr>
            <w:tcW w:type="dxa" w:w="3685"/>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Data de început a dobânzii</w:t>
            </w:r>
          </w:p>
        </w:tc>
        <w:tc>
          <w:tcPr>
            <w:tcW w:type="dxa" w:w="5386"/>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|~DataInceputDobanda~|</w:t>
            </w:r>
          </w:p>
        </w:tc>
      </w:tr>
      <w:tr>
        <w:tc>
          <w:tcPr>
            <w:tcW w:type="dxa" w:w="3685"/>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Rată anuală</w:t>
            </w:r>
          </w:p>
        </w:tc>
        <w:tc>
          <w:tcPr>
            <w:tcW w:type="dxa" w:w="5386"/>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|~RataBNR~| · rata BNR valabilă din |~DataRataBNR~|</w:t>
            </w:r>
          </w:p>
        </w:tc>
      </w:tr>
      <w:tr>
        <w:tc>
          <w:tcPr>
            <w:tcW w:type="dxa" w:w="3685"/>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Convenție</w:t>
            </w:r>
          </w:p>
        </w:tc>
        <w:tc>
          <w:tcPr>
            <w:tcW w:type="dxa" w:w="5386"/>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Actual/365</w:t>
            </w:r>
          </w:p>
        </w:tc>
      </w:tr>
      <w:tr>
        <w:tc>
          <w:tcPr>
            <w:tcW w:type="dxa" w:w="3685"/>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Recunoaștere</w:t>
            </w:r>
          </w:p>
        </w:tc>
        <w:tc>
          <w:tcPr>
            <w:tcW w:type="dxa" w:w="5386"/>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trimestrială</w:t>
            </w:r>
          </w:p>
        </w:tc>
      </w:tr>
      <w:tr>
        <w:tc>
          <w:tcPr>
            <w:tcW w:type="dxa" w:w="3685"/>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Capitalizare</w:t>
            </w:r>
          </w:p>
        </w:tc>
        <w:tc>
          <w:tcPr>
            <w:tcW w:type="dxa" w:w="5386"/>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nu</w:t>
            </w:r>
          </w:p>
        </w:tc>
      </w:tr>
      <w:tr>
        <w:tc>
          <w:tcPr>
            <w:tcW w:type="dxa" w:w="3685"/>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Baza totală la |~DataInceputDobanda~|</w:t>
            </w:r>
          </w:p>
        </w:tc>
        <w:tc>
          <w:tcPr>
            <w:tcW w:type="dxa" w:w="5386"/>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right"/>
            </w:pPr>
            <w:r>
              <w:rPr>
                <w:rFonts w:ascii="Aptos" w:hAnsi="Aptos" w:cs="Segoe UI"/>
                <w:color w:val="232F38"/>
                <w:sz w:val="19"/>
                <w:lang w:val="ro-RO"/>
              </w:rPr>
              <w:t>|~SoldInitialTotal~| lei</w:t>
            </w:r>
          </w:p>
        </w:tc>
      </w:tr>
    </w:tbl>
    <w:p>
      <w:pPr>
        <w:spacing w:after="0"/>
      </w:pPr>
    </w:p>
    <w:p>
      <w:pPr>
        <w:pStyle w:val="Heading1"/>
        <w:keepNext/>
        <w:jc w:val="left"/>
      </w:pPr>
      <w:r>
        <w:rPr>
          <w:lang w:val="ro-RO"/>
        </w:rPr>
        <w:t>2. Calcul T1 2026</w:t>
      </w:r>
    </w:p>
    <w:tbl>
      <w:tblPr>
        <w:tblW w:type="auto" w:w="0"/>
        <w:tblLayout w:type="autofit"/>
        <w:tblLook w:firstColumn="1" w:firstRow="1" w:lastColumn="0" w:lastRow="0" w:noHBand="0" w:noVBand="1" w:val="04A0"/>
        <w:jc w:val="center"/>
        <w:tblBorders>
          <w:top w:val="single" w:sz="4" w:space="0" w:color="B9C1C8"/>
          <w:left w:val="single" w:sz="4" w:space="0" w:color="B9C1C8"/>
          <w:bottom w:val="single" w:sz="4" w:space="0" w:color="B9C1C8"/>
          <w:right w:val="single" w:sz="4" w:space="0" w:color="B9C1C8"/>
          <w:insideH w:val="single" w:sz="4" w:space="0" w:color="B9C1C8"/>
          <w:insideV w:val="single" w:sz="4" w:space="0" w:color="B9C1C8"/>
        </w:tblBorders>
      </w:tblPr>
      <w:tblGrid>
        <w:gridCol w:w="1928"/>
        <w:gridCol w:w="1928"/>
        <w:gridCol w:w="1928"/>
        <w:gridCol w:w="1928"/>
        <w:gridCol w:w="1928"/>
      </w:tblGrid>
      <w:tr>
        <w:trPr>
          <w:tblHeader w:val="true"/>
        </w:trPr>
        <w:tc>
          <w:tcPr>
            <w:tcW w:type="dxa" w:w="2381"/>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Creditor</w:t>
            </w:r>
          </w:p>
        </w:tc>
        <w:tc>
          <w:tcPr>
            <w:tcW w:type="dxa" w:w="1871"/>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01.01-05.02</w:t>
              <w:br/>
              <w:t>36 zile</w:t>
            </w:r>
          </w:p>
        </w:tc>
        <w:tc>
          <w:tcPr>
            <w:tcW w:type="dxa" w:w="1871"/>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06.02-22.02</w:t>
              <w:br/>
              <w:t>17 zile</w:t>
            </w:r>
          </w:p>
        </w:tc>
        <w:tc>
          <w:tcPr>
            <w:tcW w:type="dxa" w:w="1871"/>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23.02-31.03</w:t>
              <w:br/>
              <w:t>37 zile</w:t>
            </w:r>
          </w:p>
        </w:tc>
        <w:tc>
          <w:tcPr>
            <w:tcW w:type="dxa" w:w="1701"/>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Dobândă T1</w:t>
            </w:r>
          </w:p>
        </w:tc>
      </w:tr>
      <w:tr>
        <w:tc>
          <w:tcPr>
            <w:tcW w:type="dxa" w:w="238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left"/>
            </w:pPr>
            <w:r>
              <w:rPr>
                <w:rFonts w:ascii="Aptos" w:hAnsi="Aptos" w:cs="Segoe UI"/>
                <w:color w:val="232F38"/>
                <w:sz w:val="19"/>
                <w:lang w:val="ro-RO"/>
              </w:rPr>
              <w:t>|~Asociat1Nume~|</w:t>
            </w:r>
          </w:p>
        </w:tc>
        <w:tc>
          <w:tcPr>
            <w:tcW w:type="dxa" w:w="187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|~SoldInitialAsociat1~|</w:t>
            </w:r>
          </w:p>
        </w:tc>
        <w:tc>
          <w:tcPr>
            <w:tcW w:type="dxa" w:w="187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|~SoldIntermediarAsociat1~|</w:t>
            </w:r>
          </w:p>
        </w:tc>
        <w:tc>
          <w:tcPr>
            <w:tcW w:type="dxa" w:w="187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|~SoldFinalAsociat1~|</w:t>
            </w:r>
          </w:p>
        </w:tc>
        <w:tc>
          <w:tcPr>
            <w:tcW w:type="dxa" w:w="170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|~DobandaT1Asociat~|</w:t>
            </w:r>
          </w:p>
        </w:tc>
      </w:tr>
      <w:tr>
        <w:tc>
          <w:tcPr>
            <w:tcW w:type="dxa" w:w="238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left"/>
            </w:pPr>
            <w:r>
              <w:rPr>
                <w:rFonts w:ascii="Aptos" w:hAnsi="Aptos" w:cs="Segoe UI"/>
                <w:color w:val="232F38"/>
                <w:sz w:val="19"/>
                <w:lang w:val="ro-RO"/>
              </w:rPr>
              <w:t>|~Asociat2Nume~|</w:t>
            </w:r>
          </w:p>
        </w:tc>
        <w:tc>
          <w:tcPr>
            <w:tcW w:type="dxa" w:w="187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|~SoldInitialAsociat2~|</w:t>
            </w:r>
          </w:p>
        </w:tc>
        <w:tc>
          <w:tcPr>
            <w:tcW w:type="dxa" w:w="187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|~SoldIntermediarAsociat2~|</w:t>
            </w:r>
          </w:p>
        </w:tc>
        <w:tc>
          <w:tcPr>
            <w:tcW w:type="dxa" w:w="187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|~SoldFinalAsociat2~|</w:t>
            </w:r>
          </w:p>
        </w:tc>
        <w:tc>
          <w:tcPr>
            <w:tcW w:type="dxa" w:w="170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|~DobandaT1Asociat~|</w:t>
            </w:r>
          </w:p>
        </w:tc>
      </w:tr>
      <w:tr>
        <w:tc>
          <w:tcPr>
            <w:tcW w:type="dxa" w:w="238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TOTAL</w:t>
            </w:r>
          </w:p>
        </w:tc>
        <w:tc>
          <w:tcPr>
            <w:tcW w:type="dxa" w:w="187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before="0" w:line="240" w:lineRule="auto"/>
            </w:pPr>
            <w:r>
              <w:rPr>
                <w:rFonts w:ascii="Aptos" w:hAnsi="Aptos" w:cs="Segoe UI"/>
                <w:color w:val="232F38"/>
                <w:sz w:val="19"/>
                <w:lang w:val="ro-RO"/>
              </w:rPr>
            </w:r>
          </w:p>
        </w:tc>
        <w:tc>
          <w:tcPr>
            <w:tcW w:type="dxa" w:w="187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before="0" w:line="240" w:lineRule="auto"/>
            </w:pPr>
            <w:r>
              <w:rPr>
                <w:rFonts w:ascii="Aptos" w:hAnsi="Aptos" w:cs="Segoe UI"/>
                <w:color w:val="232F38"/>
                <w:sz w:val="19"/>
                <w:lang w:val="ro-RO"/>
              </w:rPr>
            </w:r>
          </w:p>
        </w:tc>
        <w:tc>
          <w:tcPr>
            <w:tcW w:type="dxa" w:w="187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before="0" w:line="240" w:lineRule="auto"/>
            </w:pPr>
            <w:r>
              <w:rPr>
                <w:rFonts w:ascii="Aptos" w:hAnsi="Aptos" w:cs="Segoe UI"/>
                <w:color w:val="232F38"/>
                <w:sz w:val="19"/>
                <w:lang w:val="ro-RO"/>
              </w:rPr>
            </w:r>
          </w:p>
        </w:tc>
        <w:tc>
          <w:tcPr>
            <w:tcW w:type="dxa" w:w="170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|~DobandaT1Total~|</w:t>
            </w:r>
          </w:p>
        </w:tc>
      </w:tr>
    </w:tbl>
    <w:p>
      <w:pPr>
        <w:spacing w:after="0"/>
      </w:pPr>
    </w:p>
    <w:p>
      <w:pPr>
        <w:spacing w:line="252" w:lineRule="auto" w:after="120"/>
        <w:jc w:val="both"/>
      </w:pPr>
      <w:r>
        <w:rPr>
          <w:lang w:val="ro-RO"/>
        </w:rPr>
        <w:t>Formula pentru fiecare segment: sold zilnic × număr zile × rata BNR aplicabilă / 365. În semestrul I 2026 rata aplicabilă a fost |~RataBNR~| pe an; rambursările de 100.000 lei din 06.02.2026 și 23.02.2026 reduc baza din ziua plății. La orice modificare viitoare a ratei, calculul se separă în subperioade fracționate.</w:t>
      </w:r>
    </w:p>
    <w:p>
      <w:pPr>
        <w:pStyle w:val="Heading1"/>
        <w:keepNext/>
        <w:jc w:val="left"/>
      </w:pPr>
      <w:r>
        <w:rPr>
          <w:lang w:val="ro-RO"/>
        </w:rPr>
        <w:t>3. Calcul T2 2026</w:t>
      </w:r>
    </w:p>
    <w:tbl>
      <w:tblPr>
        <w:tblW w:type="auto" w:w="0"/>
        <w:tblLayout w:type="autofit"/>
        <w:tblLook w:firstColumn="1" w:firstRow="1" w:lastColumn="0" w:lastRow="0" w:noHBand="0" w:noVBand="1" w:val="04A0"/>
        <w:jc w:val="center"/>
        <w:tblBorders>
          <w:top w:val="single" w:sz="4" w:space="0" w:color="B9C1C8"/>
          <w:left w:val="single" w:sz="4" w:space="0" w:color="B9C1C8"/>
          <w:bottom w:val="single" w:sz="4" w:space="0" w:color="B9C1C8"/>
          <w:right w:val="single" w:sz="4" w:space="0" w:color="B9C1C8"/>
          <w:insideH w:val="single" w:sz="4" w:space="0" w:color="B9C1C8"/>
          <w:insideV w:val="single" w:sz="4" w:space="0" w:color="B9C1C8"/>
        </w:tblBorders>
      </w:tblPr>
      <w:tblGrid>
        <w:gridCol w:w="1606"/>
        <w:gridCol w:w="1606"/>
        <w:gridCol w:w="1606"/>
        <w:gridCol w:w="1606"/>
        <w:gridCol w:w="1606"/>
        <w:gridCol w:w="1606"/>
      </w:tblGrid>
      <w:tr>
        <w:trPr>
          <w:tblHeader w:val="true"/>
        </w:trPr>
        <w:tc>
          <w:tcPr>
            <w:tcW w:type="dxa" w:w="2268"/>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Creditor</w:t>
            </w:r>
          </w:p>
        </w:tc>
        <w:tc>
          <w:tcPr>
            <w:tcW w:type="dxa" w:w="1757"/>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Sold 01.04.2026</w:t>
            </w:r>
          </w:p>
        </w:tc>
        <w:tc>
          <w:tcPr>
            <w:tcW w:type="dxa" w:w="1020"/>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Zile</w:t>
            </w:r>
          </w:p>
        </w:tc>
        <w:tc>
          <w:tcPr>
            <w:tcW w:type="dxa" w:w="1417"/>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Rambursări</w:t>
            </w:r>
          </w:p>
        </w:tc>
        <w:tc>
          <w:tcPr>
            <w:tcW w:type="dxa" w:w="1757"/>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Sold |~DataCalcul~|</w:t>
            </w:r>
          </w:p>
        </w:tc>
        <w:tc>
          <w:tcPr>
            <w:tcW w:type="dxa" w:w="1587"/>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Dobândă T2</w:t>
            </w:r>
          </w:p>
        </w:tc>
      </w:tr>
      <w:tr>
        <w:tc>
          <w:tcPr>
            <w:tcW w:type="dxa" w:w="2268"/>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left"/>
            </w:pPr>
            <w:r>
              <w:rPr>
                <w:rFonts w:ascii="Aptos" w:hAnsi="Aptos" w:cs="Segoe UI"/>
                <w:color w:val="232F38"/>
                <w:sz w:val="19"/>
                <w:lang w:val="ro-RO"/>
              </w:rPr>
              <w:t>|~Asociat1Nume~|</w:t>
            </w:r>
          </w:p>
        </w:tc>
        <w:tc>
          <w:tcPr>
            <w:tcW w:type="dxa" w:w="1757"/>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|~SoldFinalAsociat1~|</w:t>
            </w:r>
          </w:p>
        </w:tc>
        <w:tc>
          <w:tcPr>
            <w:tcW w:type="dxa" w:w="1020"/>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right"/>
            </w:pPr>
            <w:r>
              <w:rPr>
                <w:rFonts w:ascii="Aptos" w:hAnsi="Aptos" w:cs="Segoe UI"/>
                <w:color w:val="232F38"/>
                <w:sz w:val="19"/>
                <w:lang w:val="ro-RO"/>
              </w:rPr>
              <w:t>91</w:t>
            </w:r>
          </w:p>
        </w:tc>
        <w:tc>
          <w:tcPr>
            <w:tcW w:type="dxa" w:w="1417"/>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right"/>
            </w:pPr>
            <w:r>
              <w:rPr>
                <w:rFonts w:ascii="Aptos" w:hAnsi="Aptos" w:cs="Segoe UI"/>
                <w:color w:val="232F38"/>
                <w:sz w:val="19"/>
                <w:lang w:val="ro-RO"/>
              </w:rPr>
              <w:t>0,00</w:t>
            </w:r>
          </w:p>
        </w:tc>
        <w:tc>
          <w:tcPr>
            <w:tcW w:type="dxa" w:w="1757"/>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|~SoldFinalAsociat1~|</w:t>
            </w:r>
          </w:p>
        </w:tc>
        <w:tc>
          <w:tcPr>
            <w:tcW w:type="dxa" w:w="1587"/>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|~DobandaT2Asociat~|</w:t>
            </w:r>
          </w:p>
        </w:tc>
      </w:tr>
      <w:tr>
        <w:tc>
          <w:tcPr>
            <w:tcW w:type="dxa" w:w="2268"/>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left"/>
            </w:pPr>
            <w:r>
              <w:rPr>
                <w:rFonts w:ascii="Aptos" w:hAnsi="Aptos" w:cs="Segoe UI"/>
                <w:color w:val="232F38"/>
                <w:sz w:val="19"/>
                <w:lang w:val="ro-RO"/>
              </w:rPr>
              <w:t>|~Asociat2Nume~|</w:t>
            </w:r>
          </w:p>
        </w:tc>
        <w:tc>
          <w:tcPr>
            <w:tcW w:type="dxa" w:w="1757"/>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|~SoldFinalAsociat2~|</w:t>
            </w:r>
          </w:p>
        </w:tc>
        <w:tc>
          <w:tcPr>
            <w:tcW w:type="dxa" w:w="1020"/>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right"/>
            </w:pPr>
            <w:r>
              <w:rPr>
                <w:rFonts w:ascii="Aptos" w:hAnsi="Aptos" w:cs="Segoe UI"/>
                <w:color w:val="232F38"/>
                <w:sz w:val="19"/>
                <w:lang w:val="ro-RO"/>
              </w:rPr>
              <w:t>91</w:t>
            </w:r>
          </w:p>
        </w:tc>
        <w:tc>
          <w:tcPr>
            <w:tcW w:type="dxa" w:w="1417"/>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right"/>
            </w:pPr>
            <w:r>
              <w:rPr>
                <w:rFonts w:ascii="Aptos" w:hAnsi="Aptos" w:cs="Segoe UI"/>
                <w:color w:val="232F38"/>
                <w:sz w:val="19"/>
                <w:lang w:val="ro-RO"/>
              </w:rPr>
              <w:t>0,00</w:t>
            </w:r>
          </w:p>
        </w:tc>
        <w:tc>
          <w:tcPr>
            <w:tcW w:type="dxa" w:w="1757"/>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|~SoldFinalAsociat2~|</w:t>
            </w:r>
          </w:p>
        </w:tc>
        <w:tc>
          <w:tcPr>
            <w:tcW w:type="dxa" w:w="1587"/>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|~DobandaT2Asociat~|</w:t>
            </w:r>
          </w:p>
        </w:tc>
      </w:tr>
      <w:tr>
        <w:tc>
          <w:tcPr>
            <w:tcW w:type="dxa" w:w="2268"/>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TOTAL</w:t>
            </w:r>
          </w:p>
        </w:tc>
        <w:tc>
          <w:tcPr>
            <w:tcW w:type="dxa" w:w="1757"/>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|~SoldFinalTotal~|</w:t>
            </w:r>
          </w:p>
        </w:tc>
        <w:tc>
          <w:tcPr>
            <w:tcW w:type="dxa" w:w="1020"/>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right"/>
            </w:pPr>
            <w:r>
              <w:rPr>
                <w:rFonts w:ascii="Aptos" w:hAnsi="Aptos" w:cs="Segoe UI"/>
                <w:color w:val="232F38"/>
                <w:sz w:val="19"/>
                <w:lang w:val="ro-RO"/>
              </w:rPr>
              <w:t>91</w:t>
            </w:r>
          </w:p>
        </w:tc>
        <w:tc>
          <w:tcPr>
            <w:tcW w:type="dxa" w:w="1417"/>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right"/>
            </w:pPr>
            <w:r>
              <w:rPr>
                <w:rFonts w:ascii="Aptos" w:hAnsi="Aptos" w:cs="Segoe UI"/>
                <w:color w:val="232F38"/>
                <w:sz w:val="19"/>
                <w:lang w:val="ro-RO"/>
              </w:rPr>
              <w:t>0,00</w:t>
            </w:r>
          </w:p>
        </w:tc>
        <w:tc>
          <w:tcPr>
            <w:tcW w:type="dxa" w:w="1757"/>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|~SoldFinalTotal~|</w:t>
            </w:r>
          </w:p>
        </w:tc>
        <w:tc>
          <w:tcPr>
            <w:tcW w:type="dxa" w:w="1587"/>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|~DobandaT2Total~|</w:t>
            </w:r>
          </w:p>
        </w:tc>
      </w:tr>
    </w:tbl>
    <w:p>
      <w:pPr>
        <w:spacing w:after="0"/>
      </w:pPr>
    </w:p>
    <w:p>
      <w:pPr>
        <w:pStyle w:val="Heading1"/>
        <w:keepNext/>
        <w:jc w:val="left"/>
      </w:pPr>
      <w:r>
        <w:rPr>
          <w:lang w:val="ro-RO"/>
        </w:rPr>
        <w:t>4. Total semestrul I 2026</w:t>
      </w:r>
    </w:p>
    <w:tbl>
      <w:tblPr>
        <w:tblW w:type="auto" w:w="0"/>
        <w:tblLayout w:type="autofit"/>
        <w:tblLook w:firstColumn="1" w:firstRow="1" w:lastColumn="0" w:lastRow="0" w:noHBand="0" w:noVBand="1" w:val="04A0"/>
        <w:jc w:val="center"/>
        <w:tblBorders>
          <w:top w:val="single" w:sz="4" w:space="0" w:color="B9C1C8"/>
          <w:left w:val="single" w:sz="4" w:space="0" w:color="B9C1C8"/>
          <w:bottom w:val="single" w:sz="4" w:space="0" w:color="B9C1C8"/>
          <w:right w:val="single" w:sz="4" w:space="0" w:color="B9C1C8"/>
          <w:insideH w:val="single" w:sz="4" w:space="0" w:color="B9C1C8"/>
          <w:insideV w:val="single" w:sz="4" w:space="0" w:color="B9C1C8"/>
        </w:tblBorders>
      </w:tblPr>
      <w:tblGrid>
        <w:gridCol w:w="2409"/>
        <w:gridCol w:w="2409"/>
        <w:gridCol w:w="2409"/>
        <w:gridCol w:w="2409"/>
      </w:tblGrid>
      <w:tr>
        <w:trPr>
          <w:tblHeader w:val="true"/>
        </w:trPr>
        <w:tc>
          <w:tcPr>
            <w:tcW w:type="dxa" w:w="3118"/>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Creditor</w:t>
            </w:r>
          </w:p>
        </w:tc>
        <w:tc>
          <w:tcPr>
            <w:tcW w:type="dxa" w:w="1984"/>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T1 2026</w:t>
            </w:r>
          </w:p>
        </w:tc>
        <w:tc>
          <w:tcPr>
            <w:tcW w:type="dxa" w:w="1984"/>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T2 2026</w:t>
            </w:r>
          </w:p>
        </w:tc>
        <w:tc>
          <w:tcPr>
            <w:tcW w:type="dxa" w:w="1984"/>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Total S1 2026</w:t>
            </w:r>
          </w:p>
        </w:tc>
      </w:tr>
      <w:tr>
        <w:tc>
          <w:tcPr>
            <w:tcW w:type="dxa" w:w="3118"/>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left"/>
            </w:pPr>
            <w:r>
              <w:rPr>
                <w:rFonts w:ascii="Aptos" w:hAnsi="Aptos" w:cs="Segoe UI"/>
                <w:color w:val="232F38"/>
                <w:sz w:val="19"/>
                <w:lang w:val="ro-RO"/>
              </w:rPr>
              <w:t>|~Asociat1Nume~|</w:t>
            </w:r>
          </w:p>
        </w:tc>
        <w:tc>
          <w:tcPr>
            <w:tcW w:type="dxa" w:w="198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|~DobandaT1Asociat~|</w:t>
            </w:r>
          </w:p>
        </w:tc>
        <w:tc>
          <w:tcPr>
            <w:tcW w:type="dxa" w:w="198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|~DobandaT2Asociat~|</w:t>
            </w:r>
          </w:p>
        </w:tc>
        <w:tc>
          <w:tcPr>
            <w:tcW w:type="dxa" w:w="198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|~DobandaS1Asociat~|</w:t>
            </w:r>
          </w:p>
        </w:tc>
      </w:tr>
      <w:tr>
        <w:tc>
          <w:tcPr>
            <w:tcW w:type="dxa" w:w="3118"/>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left"/>
            </w:pPr>
            <w:r>
              <w:rPr>
                <w:rFonts w:ascii="Aptos" w:hAnsi="Aptos" w:cs="Segoe UI"/>
                <w:color w:val="232F38"/>
                <w:sz w:val="19"/>
                <w:lang w:val="ro-RO"/>
              </w:rPr>
              <w:t>|~Asociat2Nume~|</w:t>
            </w:r>
          </w:p>
        </w:tc>
        <w:tc>
          <w:tcPr>
            <w:tcW w:type="dxa" w:w="198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|~DobandaT1Asociat~|</w:t>
            </w:r>
          </w:p>
        </w:tc>
        <w:tc>
          <w:tcPr>
            <w:tcW w:type="dxa" w:w="198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|~DobandaT2Asociat~|</w:t>
            </w:r>
          </w:p>
        </w:tc>
        <w:tc>
          <w:tcPr>
            <w:tcW w:type="dxa" w:w="198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|~DobandaS1Asociat~|</w:t>
            </w:r>
          </w:p>
        </w:tc>
      </w:tr>
      <w:tr>
        <w:tc>
          <w:tcPr>
            <w:tcW w:type="dxa" w:w="3118"/>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TOTAL</w:t>
            </w:r>
          </w:p>
        </w:tc>
        <w:tc>
          <w:tcPr>
            <w:tcW w:type="dxa" w:w="198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|~DobandaT1Total~|</w:t>
            </w:r>
          </w:p>
        </w:tc>
        <w:tc>
          <w:tcPr>
            <w:tcW w:type="dxa" w:w="198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|~DobandaT2Total~|</w:t>
            </w:r>
          </w:p>
        </w:tc>
        <w:tc>
          <w:tcPr>
            <w:tcW w:type="dxa" w:w="198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|~DobandaS1Total~|</w:t>
            </w:r>
          </w:p>
        </w:tc>
      </w:tr>
    </w:tbl>
    <w:p>
      <w:pPr>
        <w:spacing w:after="0"/>
      </w:pPr>
    </w:p>
    <w:p>
      <w:pPr>
        <w:spacing w:line="252" w:lineRule="auto" w:after="120"/>
        <w:jc w:val="both"/>
      </w:pPr>
      <w:r>
        <w:rPr>
          <w:lang w:val="ro-RO"/>
        </w:rPr>
        <w:t>Rata BNR utilizată: |~RataBNR~| pe an, valabilă din |~DataRataBNR~| și menținută în semestrul I 2026. Sursa este registrul ratelor BNR anexat calculului; în cazul unei modificări în cursul trimestrului, tabelul se dezvoltă cu câte un rând pentru fiecare subperioadă.</w:t>
      </w:r>
    </w:p>
    <w:p>
      <w:pPr>
        <w:pStyle w:val="Heading1"/>
        <w:keepNext/>
        <w:jc w:val="left"/>
      </w:pPr>
      <w:r>
        <w:rPr>
          <w:lang w:val="ro-RO"/>
        </w:rPr>
        <w:t>5. Note contabile</w:t>
      </w:r>
    </w:p>
    <w:tbl>
      <w:tblPr>
        <w:tblW w:type="auto" w:w="0"/>
        <w:tblLayout w:type="autofit"/>
        <w:tblLook w:firstColumn="1" w:firstRow="1" w:lastColumn="0" w:lastRow="0" w:noHBand="0" w:noVBand="1" w:val="04A0"/>
        <w:jc w:val="center"/>
        <w:tblBorders>
          <w:top w:val="single" w:sz="4" w:space="0" w:color="B9C1C8"/>
          <w:left w:val="single" w:sz="4" w:space="0" w:color="B9C1C8"/>
          <w:bottom w:val="single" w:sz="4" w:space="0" w:color="B9C1C8"/>
          <w:right w:val="single" w:sz="4" w:space="0" w:color="B9C1C8"/>
          <w:insideH w:val="single" w:sz="4" w:space="0" w:color="B9C1C8"/>
          <w:insideV w:val="single" w:sz="4" w:space="0" w:color="B9C1C8"/>
        </w:tblBorders>
      </w:tblPr>
      <w:tblGrid>
        <w:gridCol w:w="2409"/>
        <w:gridCol w:w="2409"/>
        <w:gridCol w:w="2409"/>
        <w:gridCol w:w="2409"/>
      </w:tblGrid>
      <w:tr>
        <w:trPr>
          <w:tblHeader w:val="true"/>
        </w:trPr>
        <w:tc>
          <w:tcPr>
            <w:tcW w:type="dxa" w:w="1474"/>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Data</w:t>
            </w:r>
          </w:p>
        </w:tc>
        <w:tc>
          <w:tcPr>
            <w:tcW w:type="dxa" w:w="3685"/>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Operațiune</w:t>
            </w:r>
          </w:p>
        </w:tc>
        <w:tc>
          <w:tcPr>
            <w:tcW w:type="dxa" w:w="2551"/>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Articol contabil</w:t>
            </w:r>
          </w:p>
        </w:tc>
        <w:tc>
          <w:tcPr>
            <w:tcW w:type="dxa" w:w="1701"/>
            <w:shd w:fill="E9EDF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line="240" w:lineRule="auto" w:after="40" w:before="0"/>
              <w:jc w:val="center"/>
            </w:pPr>
            <w:r>
              <w:rPr>
                <w:rFonts w:ascii="Aptos" w:hAnsi="Aptos" w:cs="Segoe UI"/>
                <w:b/>
                <w:color w:val="232F38"/>
                <w:sz w:val="19"/>
                <w:lang w:val="ro-RO"/>
              </w:rPr>
              <w:t>Sumă brută</w:t>
            </w:r>
          </w:p>
        </w:tc>
      </w:tr>
      <w:tr>
        <w:tc>
          <w:tcPr>
            <w:tcW w:type="dxa" w:w="147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ind w:left="576" w:hanging="432"/>
              <w:jc w:val="right"/>
            </w:pPr>
            <w:r>
              <w:rPr>
                <w:rFonts w:ascii="Aptos" w:hAnsi="Aptos" w:cs="Segoe UI"/>
                <w:color w:val="232F38"/>
                <w:sz w:val="19"/>
                <w:lang w:val="ro-RO"/>
              </w:rPr>
              <w:t>31.03.2026</w:t>
            </w:r>
          </w:p>
        </w:tc>
        <w:tc>
          <w:tcPr>
            <w:tcW w:type="dxa" w:w="3685"/>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left"/>
            </w:pPr>
            <w:r>
              <w:rPr>
                <w:rFonts w:ascii="Aptos" w:hAnsi="Aptos" w:cs="Segoe UI"/>
                <w:color w:val="232F38"/>
                <w:sz w:val="19"/>
                <w:lang w:val="ro-RO"/>
              </w:rPr>
              <w:t>Dobândă T1 - |~Asociat1Nume~|</w:t>
            </w:r>
          </w:p>
        </w:tc>
        <w:tc>
          <w:tcPr>
            <w:tcW w:type="dxa" w:w="255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666 = 4558.|~AnaliticDobandaAsociat1~|</w:t>
            </w:r>
          </w:p>
        </w:tc>
        <w:tc>
          <w:tcPr>
            <w:tcW w:type="dxa" w:w="170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|~DobandaT1Asociat~|</w:t>
            </w:r>
          </w:p>
        </w:tc>
      </w:tr>
      <w:tr>
        <w:tc>
          <w:tcPr>
            <w:tcW w:type="dxa" w:w="147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ind w:left="576" w:hanging="432"/>
              <w:jc w:val="right"/>
            </w:pPr>
            <w:r>
              <w:rPr>
                <w:rFonts w:ascii="Aptos" w:hAnsi="Aptos" w:cs="Segoe UI"/>
                <w:color w:val="232F38"/>
                <w:sz w:val="19"/>
                <w:lang w:val="ro-RO"/>
              </w:rPr>
              <w:t>31.03.2026</w:t>
            </w:r>
          </w:p>
        </w:tc>
        <w:tc>
          <w:tcPr>
            <w:tcW w:type="dxa" w:w="3685"/>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left"/>
            </w:pPr>
            <w:r>
              <w:rPr>
                <w:rFonts w:ascii="Aptos" w:hAnsi="Aptos" w:cs="Segoe UI"/>
                <w:color w:val="232F38"/>
                <w:sz w:val="19"/>
                <w:lang w:val="ro-RO"/>
              </w:rPr>
              <w:t>Dobândă T1 - |~Asociat2Nume~|</w:t>
            </w:r>
          </w:p>
        </w:tc>
        <w:tc>
          <w:tcPr>
            <w:tcW w:type="dxa" w:w="255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666 = 4558.|~AnaliticDobandaAsociat2~|</w:t>
            </w:r>
          </w:p>
        </w:tc>
        <w:tc>
          <w:tcPr>
            <w:tcW w:type="dxa" w:w="170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|~DobandaT1Asociat~|</w:t>
            </w:r>
          </w:p>
        </w:tc>
      </w:tr>
      <w:tr>
        <w:tc>
          <w:tcPr>
            <w:tcW w:type="dxa" w:w="147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|~DataCalcul~|</w:t>
            </w:r>
          </w:p>
        </w:tc>
        <w:tc>
          <w:tcPr>
            <w:tcW w:type="dxa" w:w="3685"/>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left"/>
            </w:pPr>
            <w:r>
              <w:rPr>
                <w:rFonts w:ascii="Aptos" w:hAnsi="Aptos" w:cs="Segoe UI"/>
                <w:color w:val="232F38"/>
                <w:sz w:val="19"/>
                <w:lang w:val="ro-RO"/>
              </w:rPr>
              <w:t>Dobândă T2 - |~Asociat1Nume~|</w:t>
            </w:r>
          </w:p>
        </w:tc>
        <w:tc>
          <w:tcPr>
            <w:tcW w:type="dxa" w:w="255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666 = 4558.|~AnaliticDobandaAsociat1~|</w:t>
            </w:r>
          </w:p>
        </w:tc>
        <w:tc>
          <w:tcPr>
            <w:tcW w:type="dxa" w:w="170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|~DobandaT2Asociat~|</w:t>
            </w:r>
          </w:p>
        </w:tc>
      </w:tr>
      <w:tr>
        <w:tc>
          <w:tcPr>
            <w:tcW w:type="dxa" w:w="1474"/>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|~DataCalcul~|</w:t>
            </w:r>
          </w:p>
        </w:tc>
        <w:tc>
          <w:tcPr>
            <w:tcW w:type="dxa" w:w="3685"/>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left"/>
            </w:pPr>
            <w:r>
              <w:rPr>
                <w:rFonts w:ascii="Aptos" w:hAnsi="Aptos" w:cs="Segoe UI"/>
                <w:color w:val="232F38"/>
                <w:sz w:val="19"/>
                <w:lang w:val="ro-RO"/>
              </w:rPr>
              <w:t>Dobândă T2 - |~Asociat2Nume~|</w:t>
            </w:r>
          </w:p>
        </w:tc>
        <w:tc>
          <w:tcPr>
            <w:tcW w:type="dxa" w:w="255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666 = 4558.|~AnaliticDobandaAsociat2~|</w:t>
            </w:r>
          </w:p>
        </w:tc>
        <w:tc>
          <w:tcPr>
            <w:tcW w:type="dxa" w:w="1701"/>
            <w:tcBorders>
              <w:top w:val="single" w:sz="4" w:color="B7BEC6"/>
              <w:left w:val="single" w:sz="4" w:color="B7BEC6"/>
              <w:bottom w:val="single" w:sz="4" w:color="B7BEC6"/>
              <w:right w:val="single" w:sz="4" w:color="B7BEC6"/>
              <w:insideH w:val="single" w:sz="4" w:color="B7BEC6"/>
              <w:insideV w:val="single" w:sz="4" w:color="B7BEC6"/>
            </w:tcBorders>
            <w:vAlign w:val="center"/>
            <w:tcMar>
              <w:top w:w="80" w:type="dxa"/>
              <w:start w:w="100" w:type="dxa"/>
              <w:bottom w:w="80" w:type="dxa"/>
              <w:end w:w="100" w:type="dxa"/>
            </w:tcMar>
          </w:tcPr>
          <w:p>
            <w:pPr>
              <w:spacing w:after="40" w:line="240" w:lineRule="auto" w:before="0"/>
              <w:jc w:val="both"/>
            </w:pPr>
            <w:r>
              <w:rPr>
                <w:rFonts w:ascii="Aptos" w:hAnsi="Aptos" w:cs="Segoe UI"/>
                <w:color w:val="232F38"/>
                <w:sz w:val="19"/>
                <w:lang w:val="ro-RO"/>
              </w:rPr>
              <w:t>|~DobandaT2Asociat~|</w:t>
            </w:r>
          </w:p>
        </w:tc>
      </w:tr>
    </w:tbl>
    <w:p>
      <w:pPr>
        <w:spacing w:after="0"/>
      </w:pPr>
    </w:p>
    <w:p>
      <w:pPr>
        <w:spacing w:line="252" w:lineRule="auto" w:after="120"/>
        <w:jc w:val="both"/>
      </w:pPr>
      <w:r>
        <w:rPr>
          <w:lang w:val="ro-RO"/>
        </w:rPr>
        <w:t>La plata dobânzii către persoanele fizice, impozitul se calculează și se reține la sursă la momentul plății, potrivit art. 97 din Codul fiscal în forma aplicabilă. Recunoașterea contabilă nu reprezintă, prin ea însăși, plata venitului.</w:t>
      </w:r>
    </w:p>
    <w:p>
      <w:pPr>
        <w:spacing w:line="252" w:lineRule="auto" w:after="120"/>
        <w:jc w:val="both"/>
      </w:pPr>
      <w:r>
        <w:rPr>
          <w:lang w:val="ro-RO"/>
        </w:rPr>
        <w:t>Diferențele de un ban rezultate din calcularea separată pe fiecare creditor sunt păstrate la nivelul fișelor individuale; totalul este suma valorilor individuale rotunjite la doi zecimale.</w:t>
      </w:r>
    </w:p>
    <w:p>
      <w:pPr>
        <w:tabs>
          <w:tab w:pos="4989" w:val="left"/>
        </w:tabs>
        <w:spacing w:before="280" w:line="252" w:lineRule="auto" w:after="120"/>
        <w:jc w:val="left"/>
      </w:pPr>
      <w:r>
        <w:rPr>
          <w:b/>
          <w:lang w:val="ro-RO"/>
        </w:rPr>
        <w:t>ÎNTOCMIT,</w:t>
      </w:r>
      <w:r>
        <w:rPr>
          <w:lang w:val="ro-RO"/>
        </w:rPr>
        <w:tab/>
      </w:r>
      <w:r>
        <w:rPr>
          <w:b/>
          <w:lang w:val="ro-RO"/>
        </w:rPr>
        <w:t>VERIFICAT / APROBAT,</w:t>
      </w:r>
    </w:p>
    <w:p>
      <w:pPr>
        <w:tabs>
          <w:tab w:pos="4989" w:val="left"/>
        </w:tabs>
        <w:spacing w:line="252" w:lineRule="auto" w:after="120"/>
        <w:jc w:val="left"/>
      </w:pPr>
      <w:r>
        <w:rPr>
          <w:lang w:val="ro-RO"/>
        </w:rPr>
        <w:t>____________________________</w:t>
      </w:r>
      <w:r>
        <w:rPr>
          <w:lang w:val="ro-RO"/>
        </w:rPr>
        <w:tab/>
      </w:r>
      <w:r>
        <w:rPr>
          <w:lang w:val="ro-RO"/>
        </w:rPr>
        <w:t>____________________________</w:t>
      </w:r>
    </w:p>
    <w:p>
      <w:pPr>
        <w:tabs>
          <w:tab w:pos="4989" w:val="left"/>
        </w:tabs>
        <w:spacing w:line="252" w:lineRule="auto" w:after="120"/>
        <w:jc w:val="left"/>
      </w:pPr>
      <w:r>
        <w:rPr>
          <w:lang w:val="ro-RO"/>
        </w:rPr>
        <w:t>____________________________</w:t>
      </w:r>
      <w:r>
        <w:rPr>
          <w:lang w:val="ro-RO"/>
        </w:rPr>
        <w:tab/>
      </w:r>
      <w:r>
        <w:rPr>
          <w:lang w:val="ro-RO"/>
        </w:rPr>
        <w:t>____________________________</w:t>
      </w:r>
    </w:p>
    <w:p>
      <w:pPr>
        <w:tabs>
          <w:tab w:pos="4989" w:val="left"/>
        </w:tabs>
        <w:spacing w:line="252" w:lineRule="auto" w:after="120"/>
        <w:jc w:val="left"/>
      </w:pPr>
      <w:r>
        <w:rPr>
          <w:lang w:val="ro-RO"/>
        </w:rPr>
        <w:t>Data: |~DataCalcul~|</w:t>
        <w:tab/>
        <w:t>Data: |~DataCalcul~|</w:t>
      </w:r>
    </w:p>
    <w:sectPr w:rsidR="00FC693F" w:rsidRPr="0006063C" w:rsidSect="00034616">
      <w:headerReference w:type="default" r:id="rId9"/>
      <w:footerReference w:type="default" r:id="rId10"/>
      <w:headerReference w:type="first" r:id="rId11"/>
      <w:footerReference w:type="first" r:id="rId12"/>
      <w:pgSz w:w="11906" w:h="16838"/>
      <w:pgMar w:top="851" w:right="1134" w:bottom="1021"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right="8280"/>
      <w:pBdr>
        <w:top w:val="single" w:sz="2" w:space="1" w:color="343434"/>
      </w:pBdr>
    </w:pPr>
  </w:p>
  <w:p>
    <w:pPr>
      <w:tabs>
        <w:tab w:pos="9638" w:val="right"/>
      </w:tabs>
      <w:spacing w:after="0"/>
    </w:pPr>
    <w:r>
      <w:rPr>
        <w:rFonts w:ascii="Aptos" w:hAnsi="Aptos" w:cs="Segoe UI"/>
        <w:color w:val="555A5F"/>
        <w:sz w:val="16"/>
      </w:rPr>
      <w:fldChar w:fldCharType="begin"/>
    </w:r>
    <w:r>
      <w:rPr>
        <w:rFonts w:ascii="Aptos" w:hAnsi="Aptos" w:cs="Segoe UI"/>
        <w:color w:val="555A5F"/>
        <w:sz w:val="16"/>
      </w:rPr>
      <w:instrText xml:space="preserve">FILENAME</w:instrText>
    </w:r>
    <w:r>
      <w:rPr>
        <w:rFonts w:ascii="Aptos" w:hAnsi="Aptos" w:cs="Segoe UI"/>
        <w:color w:val="555A5F"/>
        <w:sz w:val="16"/>
      </w:rPr>
      <w:fldChar w:fldCharType="separate"/>
    </w:r>
    <w:r>
      <w:rPr>
        <w:rFonts w:ascii="Aptos" w:hAnsi="Aptos" w:cs="Segoe UI"/>
        <w:color w:val="555A5F"/>
        <w:sz w:val="16"/>
      </w:rPr>
      <w:t>10_Fisa_calcul_dobanda_si_nota_contabila.docx</w:t>
    </w:r>
    <w:r>
      <w:rPr>
        <w:rFonts w:ascii="Aptos" w:hAnsi="Aptos" w:cs="Segoe UI"/>
        <w:color w:val="555A5F"/>
        <w:sz w:val="16"/>
      </w:rPr>
      <w:fldChar w:fldCharType="end"/>
    </w:r>
    <w:r>
      <w:rPr>
        <w:rFonts w:ascii="Aptos" w:hAnsi="Aptos" w:cs="Segoe UI"/>
        <w:color w:val="555A5F"/>
        <w:sz w:val="16"/>
      </w:rPr>
      <w:tab/>
      <w:t xml:space="preserve">Pagina </w:t>
    </w:r>
    <w:r>
      <w:rPr>
        <w:rFonts w:ascii="Aptos" w:hAnsi="Aptos" w:cs="Segoe UI"/>
        <w:color w:val="555A5F"/>
        <w:sz w:val="16"/>
      </w:rPr>
      <w:fldChar w:fldCharType="begin"/>
    </w:r>
    <w:r>
      <w:rPr>
        <w:rFonts w:ascii="Aptos" w:hAnsi="Aptos" w:cs="Segoe UI"/>
        <w:color w:val="555A5F"/>
        <w:sz w:val="16"/>
      </w:rPr>
      <w:instrText xml:space="preserve">PAGE</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r>
      <w:rPr>
        <w:rFonts w:ascii="Aptos" w:hAnsi="Aptos" w:cs="Segoe UI"/>
        <w:color w:val="555A5F"/>
        <w:sz w:val="16"/>
      </w:rPr>
      <w:t xml:space="preserve"> | </w:t>
    </w:r>
    <w:r>
      <w:rPr>
        <w:rFonts w:ascii="Aptos" w:hAnsi="Aptos" w:cs="Segoe UI"/>
        <w:color w:val="555A5F"/>
        <w:sz w:val="16"/>
      </w:rPr>
      <w:fldChar w:fldCharType="begin"/>
    </w:r>
    <w:r>
      <w:rPr>
        <w:rFonts w:ascii="Aptos" w:hAnsi="Aptos" w:cs="Segoe UI"/>
        <w:color w:val="555A5F"/>
        <w:sz w:val="16"/>
      </w:rPr>
      <w:instrText xml:space="preserve">NUMPAGES</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right="8280"/>
      <w:pBdr>
        <w:top w:val="single" w:sz="2" w:space="1" w:color="343434"/>
      </w:pBdr>
    </w:pPr>
  </w:p>
  <w:p>
    <w:pPr>
      <w:tabs>
        <w:tab w:pos="9638" w:val="right"/>
      </w:tabs>
      <w:spacing w:after="0"/>
    </w:pPr>
    <w:r>
      <w:rPr>
        <w:rFonts w:ascii="Aptos" w:hAnsi="Aptos" w:cs="Segoe UI"/>
        <w:color w:val="555A5F"/>
        <w:sz w:val="16"/>
      </w:rPr>
      <w:fldChar w:fldCharType="begin"/>
    </w:r>
    <w:r>
      <w:rPr>
        <w:rFonts w:ascii="Aptos" w:hAnsi="Aptos" w:cs="Segoe UI"/>
        <w:color w:val="555A5F"/>
        <w:sz w:val="16"/>
      </w:rPr>
      <w:instrText xml:space="preserve">FILENAME</w:instrText>
    </w:r>
    <w:r>
      <w:rPr>
        <w:rFonts w:ascii="Aptos" w:hAnsi="Aptos" w:cs="Segoe UI"/>
        <w:color w:val="555A5F"/>
        <w:sz w:val="16"/>
      </w:rPr>
      <w:fldChar w:fldCharType="separate"/>
    </w:r>
    <w:r>
      <w:rPr>
        <w:rFonts w:ascii="Aptos" w:hAnsi="Aptos" w:cs="Segoe UI"/>
        <w:color w:val="555A5F"/>
        <w:sz w:val="16"/>
      </w:rPr>
      <w:t>10_Fisa_calcul_dobanda_si_nota_contabila.docx</w:t>
    </w:r>
    <w:r>
      <w:rPr>
        <w:rFonts w:ascii="Aptos" w:hAnsi="Aptos" w:cs="Segoe UI"/>
        <w:color w:val="555A5F"/>
        <w:sz w:val="16"/>
      </w:rPr>
      <w:fldChar w:fldCharType="end"/>
    </w:r>
    <w:r>
      <w:rPr>
        <w:rFonts w:ascii="Aptos" w:hAnsi="Aptos" w:cs="Segoe UI"/>
        <w:color w:val="555A5F"/>
        <w:sz w:val="16"/>
      </w:rPr>
      <w:tab/>
      <w:t xml:space="preserve">Pagina </w:t>
    </w:r>
    <w:r>
      <w:rPr>
        <w:rFonts w:ascii="Aptos" w:hAnsi="Aptos" w:cs="Segoe UI"/>
        <w:color w:val="555A5F"/>
        <w:sz w:val="16"/>
      </w:rPr>
      <w:fldChar w:fldCharType="begin"/>
    </w:r>
    <w:r>
      <w:rPr>
        <w:rFonts w:ascii="Aptos" w:hAnsi="Aptos" w:cs="Segoe UI"/>
        <w:color w:val="555A5F"/>
        <w:sz w:val="16"/>
      </w:rPr>
      <w:instrText xml:space="preserve">PAGE</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r>
      <w:rPr>
        <w:rFonts w:ascii="Aptos" w:hAnsi="Aptos" w:cs="Segoe UI"/>
        <w:color w:val="555A5F"/>
        <w:sz w:val="16"/>
      </w:rPr>
      <w:t xml:space="preserve"> | </w:t>
    </w:r>
    <w:r>
      <w:rPr>
        <w:rFonts w:ascii="Aptos" w:hAnsi="Aptos" w:cs="Segoe UI"/>
        <w:color w:val="555A5F"/>
        <w:sz w:val="16"/>
      </w:rPr>
      <w:fldChar w:fldCharType="begin"/>
    </w:r>
    <w:r>
      <w:rPr>
        <w:rFonts w:ascii="Aptos" w:hAnsi="Aptos" w:cs="Segoe UI"/>
        <w:color w:val="555A5F"/>
        <w:sz w:val="16"/>
      </w:rPr>
      <w:instrText xml:space="preserve">NUMPAGES</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Aptos" w:hAnsi="Aptos" w:cs="Segoe UI"/>
        <w:b/>
        <w:color w:val="373D42"/>
        <w:sz w:val="14"/>
      </w:rPr>
      <w:t>|~CompanieNume~|</w:t>
    </w:r>
  </w:p>
  <w:p>
    <w:pPr>
      <w:spacing w:after="0"/>
      <w:ind w:right="6264"/>
      <w:pBdr>
        <w:top w:val="single" w:sz="2" w:space="1" w:color="343434"/>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Aptos" w:hAnsi="Aptos" w:cs="Segoe UI"/>
        <w:b/>
        <w:color w:val="373D42"/>
        <w:sz w:val="14"/>
      </w:rPr>
      <w:t>|~CompanieNume~|</w:t>
    </w:r>
    <w:r>
      <w:tab/>
    </w:r>
    <w:r>
      <w:rPr>
        <w:rFonts w:ascii="Aptos" w:hAnsi="Aptos" w:cs="Segoe UI"/>
        <w:b/>
        <w:color w:val="373D42"/>
        <w:sz w:val="14"/>
      </w:rPr>
      <w:t>CUI |~CompanieCUI~| · Nr. RC |~CompanieNrRC~|</w:t>
    </w:r>
  </w:p>
  <w:p>
    <w:pPr>
      <w:spacing w:after="0"/>
      <w:ind w:right="6264"/>
      <w:pBdr>
        <w:top w:val="single" w:sz="2" w:space="1" w:color="34343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s="Segoe U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32F3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C394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2F3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85F"/>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LoanCopilot</dc:creator>
  <cp:keywords/>
  <dc:description>Șablon generic fără datele unei companii concrete.</dc:description>
  <cp:lastModifiedBy/>
  <cp:revision>1</cp:revision>
  <dcterms:created xsi:type="dcterms:W3CDTF">2013-12-23T23:15:00Z</dcterms:created>
  <dcterms:modified xsi:type="dcterms:W3CDTF">2013-12-23T23:15:00Z</dcterms:modified>
  <cp:category/>
</cp:coreProperties>
</file>