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0"/>
        <w:jc w:val="left"/>
      </w:pPr>
      <w:r>
        <w:rPr>
          <w:b/>
          <w:lang w:val="ro-RO"/>
        </w:rPr>
        <w:t>CHECKLIST JURIDIC, CONTABIL ȘI FISCAL</w:t>
      </w:r>
    </w:p>
    <w:p>
      <w:pPr>
        <w:pStyle w:val="Subtitle"/>
        <w:keepNext/>
        <w:spacing w:before="0" w:after="80"/>
        <w:jc w:val="left"/>
      </w:pPr>
      <w:r>
        <w:rPr>
          <w:i/>
          <w:lang w:val="ro-RO"/>
        </w:rPr>
        <w:t>împrumuturi asociați |~CompanieScurt~| · documente 2020-2026</w:t>
      </w:r>
    </w:p>
    <w:p>
      <w:pPr>
        <w:keepNext/>
        <w:spacing w:before="0" w:after="200"/>
        <w:jc w:val="left"/>
      </w:pPr>
      <w:r>
        <w:rPr>
          <w:b/>
          <w:sz w:val="20"/>
          <w:lang w:val="ro-RO"/>
        </w:rPr>
        <w:t>versiune actualizată la |~DataActualizareChecklist~|</w:t>
      </w:r>
    </w:p>
    <w:p>
      <w:pPr>
        <w:spacing w:after="0"/>
      </w:pPr>
    </w:p>
    <w:p>
      <w:pPr>
        <w:pStyle w:val="Heading1"/>
        <w:keepNext/>
        <w:jc w:val="left"/>
      </w:pPr>
      <w:r>
        <w:rPr>
          <w:lang w:val="ro-RO"/>
        </w:rPr>
        <w:t>Documente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☐ Hotărârea AGA și contractele-cadru sunt datate |~DataSemnareContract~|, produc efecte de la |~DataEfecteContract~| și sunt semnate și arhivate.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☐ Nota explicativă nr. 1/|~DataSemnareActAditional2~| este semnată și anexată dosarului; documentează realitatea economică, fără a substitui documentele justificative primare și fără antedatarea ori simularea operațiunilor.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☐ Actele adiționale nr. 1 sunt datate |~DataSemnareActAditional1~|, produc efecte de la |~DataEfecteActAditional1~| și prelungesc scadența la |~DataScadentaFinala~|.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☐ Actele adiționale nr. 2 sunt datate |~DataSemnareActAditional2~|, prevăd dobânda variabilă egală cu rata de referință BNR și produc efecte numai de la |~DataEfecteDobanda~|.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☐ Procesele-verbale de sold sunt semnate de societate și de ambii creditori.</w:t>
      </w:r>
    </w:p>
    <w:p>
      <w:pPr>
        <w:pStyle w:val="Heading1"/>
        <w:keepNext/>
        <w:jc w:val="left"/>
      </w:pPr>
      <w:r>
        <w:rPr>
          <w:lang w:val="ro-RO"/>
        </w:rPr>
        <w:t>Evidență contabilă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☐ Mișcările fără explicație individuală sunt repartizate 50%/50% și analiticele însumează soldul sintetic.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☐ Diferența de |~DiferentaReconciliere~| lei dintre închiderea 2025 și deschiderea 2026 este corectată sau justificată documentar.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☐ Principalul este urmărit în 4551 pe creditor; dobânda este urmărită în 4558 pe creditor.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☐ Dobânda T1 și T2 2026 este recunoscută pe baza fișelor de sold zilnic, a ratei BNR valabile în fiecare zi și a subperioadelor determinate de eventualele modificări de rată.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☐ După fiecare actualizare a ratei BNR, perioadele sunt recalculate, iar diferențele față de sumele deja recunoscute sunt verificate și documentate înaintea înregistrării contabile.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☐ Registrul ratelor BNR conține data de aplicare, procentul, sursa oficială, momentul actualizării și istoricul modificărilor.</w:t>
      </w:r>
    </w:p>
    <w:p>
      <w:pPr>
        <w:pStyle w:val="Heading1"/>
        <w:keepNext/>
        <w:jc w:val="left"/>
      </w:pPr>
      <w:r>
        <w:rPr>
          <w:lang w:val="ro-RO"/>
        </w:rPr>
        <w:t>Plăți și fiscalitate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☐ Rambursările și plățile de dobândă sunt efectuate exclusiv prin instrumente fără numerar.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☐ La plata dobânzii se aplică reținerea la sursă prevăzută de Codul fiscal și se îndeplinesc obligațiile declarative.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☐ Deductibilitatea cheltuielii cu dobânda și condițiile de piață pentru părți afiliate sunt documentate fiscal.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☐ Înainte de rambursarea principalului se verifică activul net și interdicția introdusă prin art. 67 alin. (2^4)-(2^6) din Legea nr. 31/1990, astfel cum a fost modificată prin Legea nr. 239/2025.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☐ Dacă au fost distribuite dividende interimare, se verifică regularizarea și restricțiile legale aplicabile.</w:t>
      </w:r>
    </w:p>
    <w:p>
      <w:pPr>
        <w:pStyle w:val="Heading1"/>
        <w:keepNext/>
        <w:jc w:val="left"/>
      </w:pPr>
      <w:r>
        <w:rPr>
          <w:lang w:val="ro-RO"/>
        </w:rPr>
        <w:t>Cesiunea creanțelor / stingerea împrumutului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☐ Fiecare creanță propusă pentru cesiune este individualizată și are dosar de recuperare și analiză de vechime.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☐ Valoarea de cesiune este justificată prin probabilitatea de recuperare și respectă principiul valorii de piață între persoane afiliate.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☐ Hotărârea AGA, contractul de cesiune și documentul de stingere indică exact principalul compensat sau dat în plată.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☐ Pierderea din cesiune și tratamentul TVA sunt analizate separat; simpla cesiune nu produce automat deductibilitate integrală sau ajustarea TVA.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☐ Dosarul conține dovada impozitării dividendelor pentru partea din 4551 provenită din dividende nete lăsate la dispoziția Societății.</w:t>
      </w:r>
    </w:p>
    <w:p>
      <w:pPr>
        <w:pStyle w:val="Heading1"/>
        <w:keepNext/>
        <w:pageBreakBefore w:val="0"/>
        <w:jc w:val="left"/>
      </w:pPr>
      <w:r>
        <w:rPr>
          <w:lang w:val="ro-RO"/>
        </w:rPr>
        <w:t>Bază legală de control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Codul civil - împrumutul de consumație și obligațiile bănești;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O.G. nr. 13/2011 - rata dobânzii de referință a BNR, egală cu rata dobânzii de politică monetară, și dobânda remuneratorie convențională stabilită în scris;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Legea nr. 227/2015 privind Codul fiscal: art. 11 alin. (4), art. 25, art. 97 și art. 287;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O.M.F.P. nr. 1802/2014 - pct. 57 privind prevalența economicului asupra juridicului și realitatea operațiunilor; funcțiunea conturilor 4551 și 4558;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Legea nr. 70/2015 - operațiuni fără numerar;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Legea nr. 31/1990, inclusiv modificările prin Legea nr. 239/2025.</w:t>
      </w:r>
    </w:p>
    <w:p>
      <w:pPr>
        <w:tabs>
          <w:tab w:pos="4989" w:val="left"/>
        </w:tabs>
        <w:spacing w:before="280" w:line="252" w:lineRule="auto" w:after="120"/>
        <w:jc w:val="left"/>
      </w:pPr>
      <w:r>
        <w:rPr>
          <w:b/>
          <w:lang w:val="ro-RO"/>
        </w:rPr>
        <w:t>ÎNTOCMIT,</w:t>
      </w:r>
      <w:r>
        <w:rPr>
          <w:lang w:val="ro-RO"/>
        </w:rPr>
        <w:tab/>
      </w:r>
      <w:r>
        <w:rPr>
          <w:b/>
          <w:lang w:val="ro-RO"/>
        </w:rPr>
        <w:t>VERIFICAT,</w:t>
      </w:r>
    </w:p>
    <w:p>
      <w:pPr>
        <w:tabs>
          <w:tab w:pos="4989" w:val="left"/>
        </w:tabs>
        <w:spacing w:line="252" w:lineRule="auto" w:after="120"/>
        <w:jc w:val="left"/>
      </w:pPr>
      <w:r>
        <w:rPr>
          <w:lang w:val="ro-RO"/>
        </w:rPr>
        <w:t>____________________________</w:t>
      </w:r>
      <w:r>
        <w:rPr>
          <w:lang w:val="ro-RO"/>
        </w:rPr>
        <w:tab/>
      </w:r>
      <w:r>
        <w:rPr>
          <w:lang w:val="ro-RO"/>
        </w:rPr>
        <w:t>____________________________</w:t>
      </w:r>
    </w:p>
    <w:p>
      <w:pPr>
        <w:tabs>
          <w:tab w:pos="4989" w:val="left"/>
        </w:tabs>
        <w:spacing w:line="252" w:lineRule="auto" w:after="120"/>
        <w:jc w:val="left"/>
      </w:pPr>
      <w:r>
        <w:rPr>
          <w:lang w:val="ro-RO"/>
        </w:rPr>
        <w:t>____________________________</w:t>
      </w:r>
      <w:r>
        <w:rPr>
          <w:lang w:val="ro-RO"/>
        </w:rPr>
        <w:tab/>
      </w:r>
      <w:r>
        <w:rPr>
          <w:lang w:val="ro-RO"/>
        </w:rPr>
        <w:t>____________________________</w:t>
      </w:r>
    </w:p>
    <w:p>
      <w:pPr>
        <w:tabs>
          <w:tab w:pos="4989" w:val="left"/>
        </w:tabs>
        <w:spacing w:line="252" w:lineRule="auto" w:after="120"/>
        <w:jc w:val="left"/>
      </w:pPr>
      <w:r>
        <w:rPr>
          <w:lang w:val="ro-RO"/>
        </w:rPr>
        <w:t>Data: ______________</w:t>
      </w:r>
      <w:r>
        <w:rPr>
          <w:lang w:val="ro-RO"/>
        </w:rPr>
        <w:tab/>
      </w:r>
      <w:r>
        <w:rPr>
          <w:lang w:val="ro-RO"/>
        </w:rPr>
        <w:t>Data: 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851" w:right="1134" w:bottom="1021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ind w:right="8280"/>
      <w:pBdr>
        <w:top w:val="single" w:sz="2" w:space="1" w:color="343434"/>
      </w:pBdr>
    </w:pPr>
  </w:p>
  <w:p>
    <w:pPr>
      <w:tabs>
        <w:tab w:pos="9638" w:val="right"/>
      </w:tabs>
      <w:spacing w:after="0"/>
    </w:pPr>
    <w:r>
      <w:rPr>
        <w:rFonts w:ascii="Aptos" w:hAnsi="Aptos" w:cs="Segoe UI"/>
        <w:color w:val="555A5F"/>
        <w:sz w:val="16"/>
      </w:rPr>
      <w:fldChar w:fldCharType="begin"/>
    </w:r>
    <w:r>
      <w:rPr>
        <w:rFonts w:ascii="Aptos" w:hAnsi="Aptos" w:cs="Segoe UI"/>
        <w:color w:val="555A5F"/>
        <w:sz w:val="16"/>
      </w:rPr>
      <w:instrText xml:space="preserve">FILENAME</w:instrText>
    </w:r>
    <w:r>
      <w:rPr>
        <w:rFonts w:ascii="Aptos" w:hAnsi="Aptos" w:cs="Segoe UI"/>
        <w:color w:val="555A5F"/>
        <w:sz w:val="16"/>
      </w:rPr>
      <w:fldChar w:fldCharType="separate"/>
    </w:r>
    <w:r>
      <w:rPr>
        <w:rFonts w:ascii="Aptos" w:hAnsi="Aptos" w:cs="Segoe UI"/>
        <w:color w:val="555A5F"/>
        <w:sz w:val="16"/>
      </w:rPr>
      <w:t>11_Checklist_juridic_contabil_fiscal.docx</w:t>
    </w:r>
    <w:r>
      <w:rPr>
        <w:rFonts w:ascii="Aptos" w:hAnsi="Aptos" w:cs="Segoe UI"/>
        <w:color w:val="555A5F"/>
        <w:sz w:val="16"/>
      </w:rPr>
      <w:fldChar w:fldCharType="end"/>
    </w:r>
    <w:r>
      <w:rPr>
        <w:rFonts w:ascii="Aptos" w:hAnsi="Aptos" w:cs="Segoe UI"/>
        <w:color w:val="555A5F"/>
        <w:sz w:val="16"/>
      </w:rPr>
      <w:tab/>
      <w:t xml:space="preserve">Pagina </w:t>
    </w:r>
    <w:r>
      <w:rPr>
        <w:rFonts w:ascii="Aptos" w:hAnsi="Aptos" w:cs="Segoe UI"/>
        <w:color w:val="555A5F"/>
        <w:sz w:val="16"/>
      </w:rPr>
      <w:fldChar w:fldCharType="begin"/>
    </w:r>
    <w:r>
      <w:rPr>
        <w:rFonts w:ascii="Aptos" w:hAnsi="Aptos" w:cs="Segoe UI"/>
        <w:color w:val="555A5F"/>
        <w:sz w:val="16"/>
      </w:rPr>
      <w:instrText xml:space="preserve">PAGE</w:instrText>
    </w:r>
    <w:r>
      <w:rPr>
        <w:rFonts w:ascii="Aptos" w:hAnsi="Aptos" w:cs="Segoe UI"/>
        <w:color w:val="555A5F"/>
        <w:sz w:val="16"/>
      </w:rPr>
      <w:fldChar w:fldCharType="separate"/>
    </w:r>
    <w:r>
      <w:rPr>
        <w:rFonts w:ascii="Aptos" w:hAnsi="Aptos" w:cs="Segoe UI"/>
        <w:color w:val="555A5F"/>
        <w:sz w:val="16"/>
      </w:rPr>
      <w:t>1</w:t>
    </w:r>
    <w:r>
      <w:rPr>
        <w:rFonts w:ascii="Aptos" w:hAnsi="Aptos" w:cs="Segoe UI"/>
        <w:color w:val="555A5F"/>
        <w:sz w:val="16"/>
      </w:rPr>
      <w:fldChar w:fldCharType="end"/>
    </w:r>
    <w:r>
      <w:rPr>
        <w:rFonts w:ascii="Aptos" w:hAnsi="Aptos" w:cs="Segoe UI"/>
        <w:color w:val="555A5F"/>
        <w:sz w:val="16"/>
      </w:rPr>
      <w:t xml:space="preserve"> | </w:t>
    </w:r>
    <w:r>
      <w:rPr>
        <w:rFonts w:ascii="Aptos" w:hAnsi="Aptos" w:cs="Segoe UI"/>
        <w:color w:val="555A5F"/>
        <w:sz w:val="16"/>
      </w:rPr>
      <w:fldChar w:fldCharType="begin"/>
    </w:r>
    <w:r>
      <w:rPr>
        <w:rFonts w:ascii="Aptos" w:hAnsi="Aptos" w:cs="Segoe UI"/>
        <w:color w:val="555A5F"/>
        <w:sz w:val="16"/>
      </w:rPr>
      <w:instrText xml:space="preserve">NUMPAGES</w:instrText>
    </w:r>
    <w:r>
      <w:rPr>
        <w:rFonts w:ascii="Aptos" w:hAnsi="Aptos" w:cs="Segoe UI"/>
        <w:color w:val="555A5F"/>
        <w:sz w:val="16"/>
      </w:rPr>
      <w:fldChar w:fldCharType="separate"/>
    </w:r>
    <w:r>
      <w:rPr>
        <w:rFonts w:ascii="Aptos" w:hAnsi="Aptos" w:cs="Segoe UI"/>
        <w:color w:val="555A5F"/>
        <w:sz w:val="16"/>
      </w:rPr>
      <w:t>1</w:t>
    </w:r>
    <w:r>
      <w:rPr>
        <w:rFonts w:ascii="Aptos" w:hAnsi="Aptos" w:cs="Segoe UI"/>
        <w:color w:val="555A5F"/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ind w:right="8280"/>
      <w:pBdr>
        <w:top w:val="single" w:sz="2" w:space="1" w:color="343434"/>
      </w:pBdr>
    </w:pPr>
  </w:p>
  <w:p>
    <w:pPr>
      <w:tabs>
        <w:tab w:pos="9638" w:val="right"/>
      </w:tabs>
      <w:spacing w:after="0"/>
    </w:pPr>
    <w:r>
      <w:rPr>
        <w:rFonts w:ascii="Aptos" w:hAnsi="Aptos" w:cs="Segoe UI"/>
        <w:color w:val="555A5F"/>
        <w:sz w:val="16"/>
      </w:rPr>
      <w:fldChar w:fldCharType="begin"/>
    </w:r>
    <w:r>
      <w:rPr>
        <w:rFonts w:ascii="Aptos" w:hAnsi="Aptos" w:cs="Segoe UI"/>
        <w:color w:val="555A5F"/>
        <w:sz w:val="16"/>
      </w:rPr>
      <w:instrText xml:space="preserve">FILENAME</w:instrText>
    </w:r>
    <w:r>
      <w:rPr>
        <w:rFonts w:ascii="Aptos" w:hAnsi="Aptos" w:cs="Segoe UI"/>
        <w:color w:val="555A5F"/>
        <w:sz w:val="16"/>
      </w:rPr>
      <w:fldChar w:fldCharType="separate"/>
    </w:r>
    <w:r>
      <w:rPr>
        <w:rFonts w:ascii="Aptos" w:hAnsi="Aptos" w:cs="Segoe UI"/>
        <w:color w:val="555A5F"/>
        <w:sz w:val="16"/>
      </w:rPr>
      <w:t>11_Checklist_juridic_contabil_fiscal.docx</w:t>
    </w:r>
    <w:r>
      <w:rPr>
        <w:rFonts w:ascii="Aptos" w:hAnsi="Aptos" w:cs="Segoe UI"/>
        <w:color w:val="555A5F"/>
        <w:sz w:val="16"/>
      </w:rPr>
      <w:fldChar w:fldCharType="end"/>
    </w:r>
    <w:r>
      <w:rPr>
        <w:rFonts w:ascii="Aptos" w:hAnsi="Aptos" w:cs="Segoe UI"/>
        <w:color w:val="555A5F"/>
        <w:sz w:val="16"/>
      </w:rPr>
      <w:tab/>
      <w:t xml:space="preserve">Pagina </w:t>
    </w:r>
    <w:r>
      <w:rPr>
        <w:rFonts w:ascii="Aptos" w:hAnsi="Aptos" w:cs="Segoe UI"/>
        <w:color w:val="555A5F"/>
        <w:sz w:val="16"/>
      </w:rPr>
      <w:fldChar w:fldCharType="begin"/>
    </w:r>
    <w:r>
      <w:rPr>
        <w:rFonts w:ascii="Aptos" w:hAnsi="Aptos" w:cs="Segoe UI"/>
        <w:color w:val="555A5F"/>
        <w:sz w:val="16"/>
      </w:rPr>
      <w:instrText xml:space="preserve">PAGE</w:instrText>
    </w:r>
    <w:r>
      <w:rPr>
        <w:rFonts w:ascii="Aptos" w:hAnsi="Aptos" w:cs="Segoe UI"/>
        <w:color w:val="555A5F"/>
        <w:sz w:val="16"/>
      </w:rPr>
      <w:fldChar w:fldCharType="separate"/>
    </w:r>
    <w:r>
      <w:rPr>
        <w:rFonts w:ascii="Aptos" w:hAnsi="Aptos" w:cs="Segoe UI"/>
        <w:color w:val="555A5F"/>
        <w:sz w:val="16"/>
      </w:rPr>
      <w:t>1</w:t>
    </w:r>
    <w:r>
      <w:rPr>
        <w:rFonts w:ascii="Aptos" w:hAnsi="Aptos" w:cs="Segoe UI"/>
        <w:color w:val="555A5F"/>
        <w:sz w:val="16"/>
      </w:rPr>
      <w:fldChar w:fldCharType="end"/>
    </w:r>
    <w:r>
      <w:rPr>
        <w:rFonts w:ascii="Aptos" w:hAnsi="Aptos" w:cs="Segoe UI"/>
        <w:color w:val="555A5F"/>
        <w:sz w:val="16"/>
      </w:rPr>
      <w:t xml:space="preserve"> | </w:t>
    </w:r>
    <w:r>
      <w:rPr>
        <w:rFonts w:ascii="Aptos" w:hAnsi="Aptos" w:cs="Segoe UI"/>
        <w:color w:val="555A5F"/>
        <w:sz w:val="16"/>
      </w:rPr>
      <w:fldChar w:fldCharType="begin"/>
    </w:r>
    <w:r>
      <w:rPr>
        <w:rFonts w:ascii="Aptos" w:hAnsi="Aptos" w:cs="Segoe UI"/>
        <w:color w:val="555A5F"/>
        <w:sz w:val="16"/>
      </w:rPr>
      <w:instrText xml:space="preserve">NUMPAGES</w:instrText>
    </w:r>
    <w:r>
      <w:rPr>
        <w:rFonts w:ascii="Aptos" w:hAnsi="Aptos" w:cs="Segoe UI"/>
        <w:color w:val="555A5F"/>
        <w:sz w:val="16"/>
      </w:rPr>
      <w:fldChar w:fldCharType="separate"/>
    </w:r>
    <w:r>
      <w:rPr>
        <w:rFonts w:ascii="Aptos" w:hAnsi="Aptos" w:cs="Segoe UI"/>
        <w:color w:val="555A5F"/>
        <w:sz w:val="16"/>
      </w:rPr>
      <w:t>1</w:t>
    </w:r>
    <w:r>
      <w:rPr>
        <w:rFonts w:ascii="Aptos" w:hAnsi="Aptos" w:cs="Segoe UI"/>
        <w:color w:val="555A5F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Aptos" w:hAnsi="Aptos" w:cs="Segoe UI"/>
        <w:b/>
        <w:color w:val="373D42"/>
        <w:sz w:val="14"/>
      </w:rPr>
      <w:t>|~CompanieNume~|</w:t>
    </w:r>
  </w:p>
  <w:p>
    <w:pPr>
      <w:spacing w:after="0"/>
      <w:ind w:right="6264"/>
      <w:pBdr>
        <w:top w:val="single" w:sz="2" w:space="1" w:color="343434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Aptos" w:hAnsi="Aptos" w:cs="Segoe UI"/>
        <w:b/>
        <w:color w:val="373D42"/>
        <w:sz w:val="14"/>
      </w:rPr>
      <w:t>|~CompanieNume~|</w:t>
    </w:r>
    <w:r>
      <w:tab/>
    </w:r>
    <w:r>
      <w:rPr>
        <w:rFonts w:ascii="Aptos" w:hAnsi="Aptos" w:cs="Segoe UI"/>
        <w:b/>
        <w:color w:val="373D42"/>
        <w:sz w:val="14"/>
      </w:rPr>
      <w:t>CUI |~CompanieCUI~| · Nr. RC |~CompanieNrRC~|</w:t>
    </w:r>
  </w:p>
  <w:p>
    <w:pPr>
      <w:spacing w:after="0"/>
      <w:ind w:right="6264"/>
      <w:pBdr>
        <w:top w:val="single" w:sz="2" w:space="1" w:color="343434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cs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32F3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C394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32F3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0585F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LoanCopilot</dc:creator>
  <cp:keywords/>
  <dc:description>Șablon generic fără datele unei companii concrete.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