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380" w:after="140"/>
        <w:rPr>
          <w:lang w:val="ro-RO"/>
        </w:rPr>
      </w:pPr>
      <w:r>
        <w:rPr>
          <w:b/>
          <w:bCs/>
          <w:color w:val="404040"/>
          <w:sz w:val="30"/>
          <w:szCs w:val="30"/>
          <w:lang w:val="ro-RO"/>
        </w:rPr>
        <w:t>HOTĂRÂREA ADUNĂRII GENERALE A ASOCIAȚILOR</w:t>
      </w:r>
    </w:p>
    <w:p>
      <w:pPr>
        <w:spacing w:after="80"/>
        <w:rPr>
          <w:lang w:val="ro-RO"/>
        </w:rPr>
      </w:pPr>
      <w:r>
        <w:rPr>
          <w:b/>
          <w:bCs/>
          <w:color w:val="595959"/>
          <w:sz w:val="22"/>
          <w:szCs w:val="22"/>
          <w:lang w:val="ro-RO"/>
        </w:rPr>
        <w:t>nr. |~HotarareNumar~| din |~DataSemnareContract~|</w:t>
      </w:r>
    </w:p>
    <w:p>
      <w:pPr>
        <w:pBdr>
          <w:top w:val="single" w:sz="2" w:space="1" w:color="000000" w:themeColor="text1"/>
        </w:pBdr>
        <w:spacing w:before="40" w:after="300"/>
        <w:rPr>
          <w:lang w:val="ro-RO"/>
        </w:rPr>
      </w:pPr>
      <w:r/>
    </w:p>
    <w:p>
      <w:pPr>
        <w:keepLines w:val="0"/>
        <w:spacing w:before="0" w:after="90" w:line="276" w:lineRule="auto"/>
        <w:ind w:left="360"/>
        <w:jc w:val="both"/>
      </w:pPr>
      <w:r>
        <w:t>Subsemnații:</w:t>
      </w:r>
    </w:p>
    <w:p>
      <w:pPr>
        <w:keepLines/>
        <w:spacing w:before="0" w:after="90" w:line="288" w:lineRule="auto"/>
        <w:ind w:left="605" w:hanging="245"/>
        <w:jc w:val="both"/>
      </w:pPr>
      <w:r>
        <w:t xml:space="preserve">•  </w:t>
      </w:r>
      <w:r>
        <w:rPr>
          <w:b/>
        </w:rPr>
        <w:t>|~Asociat1Nume~|</w:t>
      </w:r>
      <w:r>
        <w:t>, cetățean român, domiciliat în |~Asociat1Adresa~|, identificat cu |~Asociat1ActIdentitate~|, CNP |~Asociat1CNP~|;</w:t>
      </w:r>
    </w:p>
    <w:p>
      <w:pPr>
        <w:keepLines/>
        <w:spacing w:before="0" w:after="90" w:line="288" w:lineRule="auto"/>
        <w:ind w:left="605" w:hanging="245"/>
        <w:jc w:val="both"/>
      </w:pPr>
      <w:r>
        <w:t xml:space="preserve">•  </w:t>
      </w:r>
      <w:r>
        <w:rPr>
          <w:b/>
        </w:rPr>
        <w:t>|~Asociat2Nume~|</w:t>
      </w:r>
      <w:r>
        <w:t>, cetățean român, domiciliat în |~Asociat2Adresa~|, identificat cu |~Asociat2ActIdentitate~|, CNP |~Asociat2CNP~|;</w:t>
      </w:r>
    </w:p>
    <w:p>
      <w:pPr>
        <w:keepLines w:val="0"/>
        <w:spacing w:before="90" w:after="50" w:line="276" w:lineRule="auto"/>
        <w:ind w:left="360"/>
      </w:pPr>
      <w:r>
        <w:rPr>
          <w:b/>
        </w:rPr>
        <w:t xml:space="preserve">în calitate de: </w:t>
      </w:r>
      <w:r>
        <w:rPr>
          <w:b/>
        </w:rPr>
        <w:t>asociați ai |~CompanieNume~|,</w:t>
      </w:r>
    </w:p>
    <w:p>
      <w:pPr>
        <w:keepLines w:val="0"/>
        <w:spacing w:before="0" w:after="26" w:line="276" w:lineRule="auto"/>
        <w:ind w:left="893" w:hanging="288"/>
      </w:pPr>
      <w:r>
        <w:t xml:space="preserve">❖  </w:t>
      </w:r>
      <w:r>
        <w:t>cu sediul în |~CompanieAdresa~|;</w:t>
      </w:r>
    </w:p>
    <w:p>
      <w:pPr>
        <w:keepLines w:val="0"/>
        <w:spacing w:before="0" w:after="26" w:line="276" w:lineRule="auto"/>
        <w:ind w:left="893" w:hanging="288"/>
      </w:pPr>
      <w:r>
        <w:t xml:space="preserve">❖  </w:t>
      </w:r>
      <w:r>
        <w:t>CUI |~CompanieCUI~|; nr. RC |~CompanieNrRC~|;</w:t>
      </w:r>
    </w:p>
    <w:p>
      <w:pPr>
        <w:keepLines w:val="0"/>
        <w:spacing w:before="40" w:after="90" w:line="276" w:lineRule="auto"/>
        <w:ind w:left="360"/>
      </w:pPr>
      <w:r>
        <w:rPr>
          <w:b/>
        </w:rPr>
        <w:t xml:space="preserve">reprezentând: </w:t>
      </w:r>
      <w:r>
        <w:t>100% din capitalul social al Societății, în cotele |~Asociat1Cota~| și |~Asociat2Cota~|;</w:t>
      </w:r>
    </w:p>
    <w:p>
      <w:pPr>
        <w:keepLines w:val="0"/>
        <w:spacing w:before="20" w:after="40" w:line="276" w:lineRule="auto"/>
        <w:ind w:left="360"/>
      </w:pPr>
      <w:r>
        <w:rPr>
          <w:b/>
        </w:rPr>
        <w:t>în conformitate cu:</w:t>
      </w:r>
    </w:p>
    <w:p>
      <w:pPr>
        <w:keepLines/>
        <w:spacing w:before="0" w:after="40" w:line="276" w:lineRule="auto"/>
        <w:ind w:left="763" w:hanging="245"/>
        <w:jc w:val="both"/>
      </w:pPr>
      <w:r>
        <w:t xml:space="preserve">•  </w:t>
      </w:r>
      <w:r>
        <w:rPr>
          <w:i/>
        </w:rPr>
        <w:t>prerogativele conferite prin Actul Constitutiv;</w:t>
      </w:r>
    </w:p>
    <w:p>
      <w:pPr>
        <w:keepLines/>
        <w:spacing w:before="0" w:after="40" w:line="276" w:lineRule="auto"/>
        <w:ind w:left="763" w:hanging="245"/>
        <w:jc w:val="both"/>
      </w:pPr>
      <w:r>
        <w:t xml:space="preserve">•  </w:t>
      </w:r>
      <w:r>
        <w:rPr>
          <w:i/>
        </w:rPr>
        <w:t>prevederile Legii nr. 31/1990 privind societățile, republicată, cu modificările și completările ulterioare;</w:t>
      </w:r>
    </w:p>
    <w:p>
      <w:pPr>
        <w:keepLines/>
        <w:spacing w:before="0" w:after="90" w:line="276" w:lineRule="auto"/>
        <w:ind w:left="763" w:hanging="245"/>
        <w:jc w:val="both"/>
      </w:pPr>
      <w:r>
        <w:t xml:space="preserve">•  </w:t>
      </w:r>
      <w:r>
        <w:rPr>
          <w:i/>
        </w:rPr>
        <w:t>documentele de organizare și funcționare ale Societății;</w:t>
      </w:r>
    </w:p>
    <w:p>
      <w:pPr>
        <w:keepLines w:val="0"/>
        <w:spacing w:before="20" w:after="40" w:line="276" w:lineRule="auto"/>
        <w:ind w:left="360"/>
      </w:pPr>
      <w:r>
        <w:rPr>
          <w:b/>
        </w:rPr>
        <w:t>declară că:</w:t>
      </w:r>
    </w:p>
    <w:p>
      <w:pPr>
        <w:keepLines/>
        <w:spacing w:before="0" w:after="40" w:line="276" w:lineRule="auto"/>
        <w:ind w:left="763" w:hanging="245"/>
        <w:jc w:val="both"/>
      </w:pPr>
      <w:r>
        <w:t xml:space="preserve">•  </w:t>
      </w:r>
      <w:r>
        <w:rPr>
          <w:i/>
        </w:rPr>
        <w:t>renunță, de comun acord, la formalitățile de convocare;</w:t>
      </w:r>
    </w:p>
    <w:p>
      <w:pPr>
        <w:keepLines/>
        <w:spacing w:before="0" w:after="90" w:line="276" w:lineRule="auto"/>
        <w:ind w:left="763" w:hanging="245"/>
        <w:jc w:val="both"/>
      </w:pPr>
      <w:r>
        <w:t xml:space="preserve">•  </w:t>
      </w:r>
      <w:r>
        <w:rPr>
          <w:i/>
        </w:rPr>
        <w:t>Adunarea este legal și statutar constituită, iar hotărârile sunt adoptate în unanimitate;</w:t>
      </w:r>
    </w:p>
    <w:p>
      <w:pPr>
        <w:keepLines w:val="0"/>
        <w:spacing w:before="20" w:after="40" w:line="276" w:lineRule="auto"/>
        <w:ind w:left="360"/>
      </w:pPr>
      <w:r>
        <w:rPr>
          <w:b/>
        </w:rPr>
        <w:t>și având în vedere:</w:t>
      </w:r>
    </w:p>
    <w:p>
      <w:pPr>
        <w:keepLines/>
        <w:spacing w:before="0" w:after="68" w:line="276" w:lineRule="auto"/>
        <w:ind w:left="763" w:hanging="245"/>
        <w:jc w:val="both"/>
      </w:pPr>
      <w:r>
        <w:t xml:space="preserve">•  </w:t>
      </w:r>
      <w:r>
        <w:rPr>
          <w:b/>
        </w:rPr>
        <w:t>necesitatea asigurării resurselor financiare pentru desfășurarea activității curente și finanțarea capitalului de lucru;</w:t>
      </w:r>
    </w:p>
    <w:p>
      <w:pPr>
        <w:keepLines/>
        <w:spacing w:before="0" w:after="68" w:line="276" w:lineRule="auto"/>
        <w:ind w:left="763" w:hanging="245"/>
        <w:jc w:val="both"/>
      </w:pPr>
      <w:r>
        <w:t xml:space="preserve">•  </w:t>
      </w:r>
      <w:r>
        <w:rPr>
          <w:b/>
        </w:rPr>
        <w:t>intenția asociaților de a pune la dispoziția Societății sume în tranșe, evidențiate distinct în conturile curente ale asociaților;</w:t>
      </w:r>
    </w:p>
    <w:p>
      <w:pPr>
        <w:keepLines/>
        <w:spacing w:before="0" w:after="90" w:line="276" w:lineRule="auto"/>
        <w:ind w:left="763" w:hanging="245"/>
        <w:jc w:val="both"/>
      </w:pPr>
      <w:r>
        <w:t xml:space="preserve">•  </w:t>
      </w:r>
      <w:r>
        <w:rPr>
          <w:b/>
        </w:rPr>
        <w:t>proiectele contractelor-cadru |~Contract1Numar~| și |~Contract2Numar~|;</w:t>
      </w:r>
    </w:p>
    <w:p>
      <w:pPr>
        <w:spacing w:before="100" w:after="200"/>
        <w:jc w:val="center"/>
        <w:rPr>
          <w:lang w:val="ro-RO"/>
        </w:rPr>
      </w:pPr>
      <w:r>
        <w:rPr>
          <w:b/>
          <w:bCs/>
          <w:color w:val="404040"/>
          <w:sz w:val="26"/>
          <w:szCs w:val="26"/>
          <w:lang w:val="ro-RO"/>
        </w:rPr>
        <w:t>H O T Ă R Ă Ș T E :</w:t>
      </w:r>
    </w:p>
    <w:p>
      <w:pPr>
        <w:pStyle w:val="ListParagraph"/>
        <w:keepNext/>
        <w:keepLines/>
        <w:numPr>
          <w:ilvl w:val="0"/>
          <w:numId w:val="2"/>
        </w:numPr>
        <w:pBdr>
          <w:top w:val="single" w:sz="2" w:space="2" w:color="E3E3E3"/>
          <w:left w:val="single" w:sz="22" w:space="8" w:color="7F7F7F"/>
          <w:bottom w:val="single" w:sz="2" w:space="2" w:color="E3E3E3"/>
        </w:pBdr>
        <w:shd w:val="clear" w:color="auto" w:fill="F2F2F2"/>
        <w:spacing w:before="140" w:after="110" w:line="270" w:lineRule="auto"/>
        <w:rPr>
          <w:lang w:val="ro-RO"/>
        </w:rPr>
      </w:pPr>
      <w:r>
        <w:rPr>
          <w:b/>
          <w:bCs/>
          <w:color w:val="404040"/>
          <w:sz w:val="22"/>
          <w:szCs w:val="22"/>
          <w:lang w:val="ro-RO"/>
        </w:rPr>
        <w:t>Aprobarea finanțării prin împrumuturi ale asociaților</w:t>
      </w:r>
    </w:p>
    <w:p>
      <w:pPr>
        <w:keepLines/>
        <w:spacing w:before="0" w:after="100" w:line="276" w:lineRule="auto"/>
        <w:ind w:left="360"/>
        <w:jc w:val="both"/>
      </w:pPr>
      <w:r>
        <w:t>Se aprobă finanțarea Societății de către asociați, prin sume puse la dispoziție în conturile curente ale acestora, precum și încheierea contractelor-cadru |~Contract1Numar~| și |~Contract2Numar~|. Contractele se semnează la |~DataSemnareContract~|, produc efecte de la |~DataEfecteContract~| și au durata de |~DurataContract~| ani.</w:t>
      </w:r>
    </w:p>
    <w:p>
      <w:pPr>
        <w:spacing w:after="0"/>
      </w:pPr>
      <w:r>
        <w:br/>
      </w:r>
    </w:p>
    <w:p>
      <w:pPr>
        <w:pStyle w:val="ListParagraph"/>
        <w:keepNext/>
        <w:keepLines/>
        <w:numPr>
          <w:ilvl w:val="0"/>
          <w:numId w:val="2"/>
        </w:numPr>
        <w:pBdr>
          <w:top w:val="single" w:sz="2" w:space="2" w:color="E3E3E3"/>
          <w:left w:val="single" w:sz="22" w:space="8" w:color="7F7F7F"/>
          <w:bottom w:val="single" w:sz="2" w:space="2" w:color="E3E3E3"/>
        </w:pBdr>
        <w:shd w:val="clear" w:color="auto" w:fill="F2F2F2"/>
        <w:spacing w:before="140" w:after="110" w:line="270" w:lineRule="auto"/>
        <w:rPr>
          <w:lang w:val="ro-RO"/>
        </w:rPr>
      </w:pPr>
      <w:r>
        <w:rPr>
          <w:b/>
          <w:bCs/>
          <w:color w:val="404040"/>
          <w:sz w:val="22"/>
          <w:szCs w:val="22"/>
          <w:lang w:val="ro-RO"/>
        </w:rPr>
        <w:t>Determinarea principalului și evidența tranșelor</w:t>
      </w:r>
    </w:p>
    <w:p>
      <w:pPr>
        <w:keepLines/>
        <w:spacing w:before="0" w:after="100" w:line="276" w:lineRule="auto"/>
        <w:ind w:left="360"/>
        <w:jc w:val="both"/>
      </w:pPr>
      <w:r>
        <w:t>Sumele pot fi acordate în una sau mai multe tranșe. Principalul datorat fiecărui creditor este soldul efectiv rezultat din sumele puse la dispoziție, diminuat cu rambursările și majorat cu tranșele ulterioare, conform analiticului individual al contului 4551 și documentelor justificative aferente.</w:t>
      </w:r>
    </w:p>
    <w:p>
      <w:pPr>
        <w:pStyle w:val="ListParagraph"/>
        <w:keepNext/>
        <w:keepLines/>
        <w:numPr>
          <w:ilvl w:val="0"/>
          <w:numId w:val="2"/>
        </w:numPr>
        <w:pBdr>
          <w:top w:val="single" w:sz="2" w:space="2" w:color="E3E3E3"/>
          <w:left w:val="single" w:sz="22" w:space="8" w:color="7F7F7F"/>
          <w:bottom w:val="single" w:sz="2" w:space="2" w:color="E3E3E3"/>
        </w:pBdr>
        <w:shd w:val="clear" w:color="auto" w:fill="F2F2F2"/>
        <w:spacing w:before="140" w:after="110" w:line="270" w:lineRule="auto"/>
        <w:rPr>
          <w:lang w:val="ro-RO"/>
        </w:rPr>
      </w:pPr>
      <w:r>
        <w:rPr>
          <w:b/>
          <w:bCs/>
          <w:color w:val="404040"/>
          <w:sz w:val="22"/>
          <w:szCs w:val="22"/>
          <w:lang w:val="ro-RO"/>
        </w:rPr>
        <w:t>Regimul dobânzii pentru perioada inițială</w:t>
      </w:r>
    </w:p>
    <w:p>
      <w:pPr>
        <w:keepLines/>
        <w:spacing w:before="0" w:after="100" w:line="276" w:lineRule="auto"/>
        <w:ind w:left="360"/>
        <w:jc w:val="both"/>
      </w:pPr>
      <w:r>
        <w:t>Împrumuturile sunt acordate fără dobândă remuneratorie pentru perioada |~DataEfecteContract~|-|~DataSfarsitFaraDobanda~|. Introducerea unei dobânzi pentru perioade ulterioare este posibilă numai prin act adițional scris și nu produce efecte retroactive.</w:t>
      </w:r>
    </w:p>
    <w:p>
      <w:pPr>
        <w:pStyle w:val="ListParagraph"/>
        <w:keepNext/>
        <w:keepLines/>
        <w:numPr>
          <w:ilvl w:val="0"/>
          <w:numId w:val="2"/>
        </w:numPr>
        <w:pBdr>
          <w:top w:val="single" w:sz="2" w:space="2" w:color="E3E3E3"/>
          <w:left w:val="single" w:sz="22" w:space="8" w:color="7F7F7F"/>
          <w:bottom w:val="single" w:sz="2" w:space="2" w:color="E3E3E3"/>
        </w:pBdr>
        <w:shd w:val="clear" w:color="auto" w:fill="F2F2F2"/>
        <w:spacing w:before="140" w:after="110" w:line="270" w:lineRule="auto"/>
        <w:rPr>
          <w:lang w:val="ro-RO"/>
        </w:rPr>
      </w:pPr>
      <w:r>
        <w:rPr>
          <w:b/>
          <w:bCs/>
          <w:color w:val="404040"/>
          <w:sz w:val="22"/>
          <w:szCs w:val="22"/>
          <w:lang w:val="ro-RO"/>
        </w:rPr>
        <w:t>Alocarea mișcărilor fără explicație individuală</w:t>
      </w:r>
    </w:p>
    <w:p>
      <w:pPr>
        <w:keepLines/>
        <w:spacing w:before="0" w:after="100" w:line="276" w:lineRule="auto"/>
        <w:ind w:left="360"/>
        <w:jc w:val="both"/>
      </w:pPr>
      <w:r>
        <w:t>Mișcările din fișa sintetică 4551 care nu identifică în mod expres creditorul se alocă potrivit cotelor |~Asociat1Cota~| și |~Asociat2Cota~|. Orice diferență indivizibilă se atribuie prin proces-verbal de reconciliere, fără modificarea cotelor economice.</w:t>
      </w:r>
    </w:p>
    <w:p>
      <w:pPr>
        <w:pStyle w:val="ListParagraph"/>
        <w:keepNext/>
        <w:keepLines/>
        <w:numPr>
          <w:ilvl w:val="0"/>
          <w:numId w:val="2"/>
        </w:numPr>
        <w:pBdr>
          <w:top w:val="single" w:sz="2" w:space="2" w:color="E3E3E3"/>
          <w:left w:val="single" w:sz="22" w:space="8" w:color="7F7F7F"/>
          <w:bottom w:val="single" w:sz="2" w:space="2" w:color="E3E3E3"/>
        </w:pBdr>
        <w:shd w:val="clear" w:color="auto" w:fill="F2F2F2"/>
        <w:spacing w:before="140" w:after="110" w:line="270" w:lineRule="auto"/>
        <w:rPr>
          <w:lang w:val="ro-RO"/>
        </w:rPr>
      </w:pPr>
      <w:r>
        <w:rPr>
          <w:b/>
          <w:bCs/>
          <w:color w:val="404040"/>
          <w:sz w:val="22"/>
          <w:szCs w:val="22"/>
          <w:lang w:val="ro-RO"/>
        </w:rPr>
        <w:t>Mandatele de reprezentare pentru semnarea contractelor</w:t>
      </w:r>
    </w:p>
    <w:p>
      <w:pPr>
        <w:keepLines/>
        <w:spacing w:before="0" w:after="100" w:line="276" w:lineRule="auto"/>
        <w:ind w:left="360"/>
        <w:jc w:val="both"/>
      </w:pPr>
      <w:r>
        <w:t>Pentru contractul încheiat cu |~Asociat1Nume~|, Societatea este reprezentată de |~Asociat2Nume~|, mandatar special. Pentru contractul încheiat cu |~Asociat2Nume~|, Societatea este reprezentată de |~Asociat1Nume~|, în calitatea stabilită prin actele Societății.</w:t>
      </w:r>
    </w:p>
    <w:p>
      <w:pPr>
        <w:pStyle w:val="ListParagraph"/>
        <w:keepNext/>
        <w:keepLines/>
        <w:numPr>
          <w:ilvl w:val="0"/>
          <w:numId w:val="2"/>
        </w:numPr>
        <w:pBdr>
          <w:top w:val="single" w:sz="2" w:space="2" w:color="E3E3E3"/>
          <w:left w:val="single" w:sz="22" w:space="8" w:color="7F7F7F"/>
          <w:bottom w:val="single" w:sz="2" w:space="2" w:color="E3E3E3"/>
        </w:pBdr>
        <w:shd w:val="clear" w:color="auto" w:fill="F2F2F2"/>
        <w:spacing w:before="140" w:after="110" w:line="270" w:lineRule="auto"/>
        <w:rPr>
          <w:lang w:val="ro-RO"/>
        </w:rPr>
      </w:pPr>
      <w:r>
        <w:rPr>
          <w:b/>
          <w:bCs/>
          <w:color w:val="404040"/>
          <w:sz w:val="22"/>
          <w:szCs w:val="22"/>
          <w:lang w:val="ro-RO"/>
        </w:rPr>
        <w:t>Rambursarea anticipată</w:t>
      </w:r>
    </w:p>
    <w:p>
      <w:pPr>
        <w:keepLines/>
        <w:spacing w:before="0" w:after="100" w:line="276" w:lineRule="auto"/>
        <w:ind w:left="360"/>
        <w:jc w:val="both"/>
      </w:pPr>
      <w:r>
        <w:t>Creditorii pot solicita în scris rambursarea totală sau parțială a soldului propriu. Rambursarea se efectuează fără comision, prin instrumente fără numerar, în limita lichidităților disponibile și cu respectarea condițiilor legale aplicabile la data plății.</w:t>
      </w:r>
    </w:p>
    <w:p>
      <w:pPr>
        <w:pStyle w:val="ListParagraph"/>
        <w:keepNext/>
        <w:keepLines/>
        <w:numPr>
          <w:ilvl w:val="0"/>
          <w:numId w:val="2"/>
        </w:numPr>
        <w:pBdr>
          <w:top w:val="single" w:sz="2" w:space="2" w:color="E3E3E3"/>
          <w:left w:val="single" w:sz="22" w:space="8" w:color="7F7F7F"/>
          <w:bottom w:val="single" w:sz="2" w:space="2" w:color="E3E3E3"/>
        </w:pBdr>
        <w:shd w:val="clear" w:color="auto" w:fill="F2F2F2"/>
        <w:spacing w:before="140" w:after="110" w:line="270" w:lineRule="auto"/>
        <w:rPr>
          <w:lang w:val="ro-RO"/>
        </w:rPr>
      </w:pPr>
      <w:r>
        <w:rPr>
          <w:b/>
          <w:bCs/>
          <w:color w:val="404040"/>
          <w:sz w:val="22"/>
          <w:szCs w:val="22"/>
          <w:lang w:val="ro-RO"/>
        </w:rPr>
        <w:t>Intrarea în vigoare și documentele operațiunii</w:t>
      </w:r>
    </w:p>
    <w:p>
      <w:pPr>
        <w:keepLines/>
        <w:spacing w:before="0" w:after="100" w:line="276" w:lineRule="auto"/>
        <w:ind w:left="360"/>
        <w:jc w:val="both"/>
      </w:pPr>
      <w:r>
        <w:t>Prezenta hotărâre produce efecte de la |~DataEfecteContract~| și se interpretează împreună cu contractele, fișele analitice 4551, documentele bancare și procesele-verbale de confirmare sau reconciliere a soldurilor.</w:t>
      </w:r>
    </w:p>
    <w:p>
      <w:pPr>
        <w:keepLines/>
        <w:spacing w:before="40" w:after="160" w:line="276" w:lineRule="auto"/>
        <w:ind w:left="360"/>
        <w:jc w:val="both"/>
      </w:pPr>
      <w:r>
        <w:t>Prezenta hotărâre a fost întocmită în 4 (patru) exemplare originale, în limba română, câte unul pentru fiecare asociat, unul pentru Societate și unul pentru evidența financiar-contabilă.</w:t>
      </w:r>
    </w:p>
    <w:tbl>
      <w:tblPr>
        <w:tblW w:w="9200" w:type="dxa"/>
        <w:tblInd w:w="357" w:type="dxa"/>
        <w:tblCellMar>
          <w:left w:w="10" w:type="dxa"/>
          <w:right w:w="10" w:type="dxa"/>
        </w:tblCellMar>
        <w:tblLook w:val="0000" w:firstRow="0" w:lastRow="0" w:firstColumn="0" w:lastColumn="0" w:noHBand="0" w:noVBand="0"/>
      </w:tblPr>
      <w:tblGrid>
        <w:gridCol w:w="4600"/>
        <w:gridCol w:w="4600"/>
      </w:tblGrid>
      <w:tr w:rsidR="006174EA" w:rsidRPr="00CC5961" w14:paraId="0F5626E8" w14:textId="77777777">
        <w:tblPrEx>
          <w:tblCellMar>
            <w:top w:w="0" w:type="dxa"/>
            <w:bottom w:w="0" w:type="dxa"/>
          </w:tblCellMar>
        </w:tblPrEx>
        <w:tc>
          <w:tcPr>
            <w:tcW w:w="4600" w:type="dxa"/>
            <w:tcMar>
              <w:top w:w="60" w:type="dxa"/>
              <w:left w:w="60" w:type="dxa"/>
              <w:right w:w="60" w:type="dxa"/>
            </w:tcMar>
          </w:tcPr>
          <w:p w14:paraId="2D040665" w14:textId="77777777" w:rsidR="006174EA" w:rsidRPr="00CC5961" w:rsidRDefault="00000000">
            <w:pPr>
              <w:spacing w:after="20"/>
              <w:rPr>
                <w:lang w:val="ro-RO"/>
              </w:rPr>
            </w:pPr>
            <w:r>
              <w:rPr>
                <w:b/>
              </w:rPr>
              <w:t>Asociat,</w:t>
            </w:r>
          </w:p>
          <w:p w14:paraId="0E761B53" w14:textId="77777777" w:rsidR="006174EA" w:rsidRPr="00CC5961" w:rsidRDefault="00000000">
            <w:pPr>
              <w:spacing w:after="40"/>
              <w:rPr>
                <w:lang w:val="ro-RO"/>
              </w:rPr>
            </w:pPr>
            <w:r>
              <w:t>|~Asociat1Nume~|</w:t>
            </w:r>
          </w:p>
          <w:p w14:paraId="6402EF54" w14:textId="77777777" w:rsidR="006174EA" w:rsidRPr="00CC5961" w:rsidRDefault="00000000">
            <w:pPr>
              <w:spacing w:before="280"/>
              <w:rPr>
                <w:lang w:val="ro-RO"/>
              </w:rPr>
            </w:pPr>
            <w:r>
              <w:rPr>
                <w:color w:val="767171"/>
                <w:sz w:val="16"/>
              </w:rPr>
              <w:t>____________________</w:t>
            </w:r>
            <w:r>
              <w:rPr>
                <w:color w:val="808080"/>
                <w:sz w:val="16"/>
              </w:rPr>
              <w:t xml:space="preserve">   Data: |~DataSemnareContract~|</w:t>
            </w:r>
          </w:p>
        </w:tc>
        <w:tc>
          <w:tcPr>
            <w:tcW w:w="4600" w:type="dxa"/>
            <w:tcMar>
              <w:top w:w="60" w:type="dxa"/>
              <w:left w:w="60" w:type="dxa"/>
              <w:right w:w="60" w:type="dxa"/>
            </w:tcMar>
          </w:tcPr>
          <w:p w14:paraId="5FA461D9" w14:textId="77777777" w:rsidR="006174EA" w:rsidRPr="00CC5961" w:rsidRDefault="00000000">
            <w:pPr>
              <w:spacing w:after="20"/>
              <w:rPr>
                <w:lang w:val="ro-RO"/>
              </w:rPr>
            </w:pPr>
            <w:r>
              <w:rPr>
                <w:b/>
              </w:rPr>
              <w:t>Asociat,</w:t>
            </w:r>
          </w:p>
          <w:p w14:paraId="404AB718" w14:textId="77777777" w:rsidR="006174EA" w:rsidRPr="00CC5961" w:rsidRDefault="00000000">
            <w:pPr>
              <w:spacing w:after="40"/>
              <w:rPr>
                <w:lang w:val="ro-RO"/>
              </w:rPr>
            </w:pPr>
            <w:r>
              <w:t>|~Asociat2Nume~|</w:t>
            </w:r>
          </w:p>
          <w:p w14:paraId="0D5EF7D4" w14:textId="77777777" w:rsidR="006174EA" w:rsidRPr="00CC5961" w:rsidRDefault="00000000">
            <w:pPr>
              <w:spacing w:before="280"/>
              <w:rPr>
                <w:lang w:val="ro-RO"/>
              </w:rPr>
            </w:pPr>
            <w:r>
              <w:rPr>
                <w:color w:val="767171"/>
                <w:sz w:val="16"/>
              </w:rPr>
              <w:t>____________________</w:t>
            </w:r>
            <w:r>
              <w:rPr>
                <w:color w:val="808080"/>
                <w:sz w:val="16"/>
              </w:rPr>
              <w:t xml:space="preserve">   Data: |~DataSemnareContract~|</w:t>
            </w:r>
          </w:p>
        </w:tc>
      </w:tr>
    </w:tbl>
    <w:sectPr w:rsidR="00CC7C4F" w:rsidRPr="00CC5961">
      <w:headerReference w:type="even" r:id="rId7"/>
      <w:headerReference w:type="default" r:id="rId8"/>
      <w:footerReference w:type="even" r:id="rId9"/>
      <w:footerReference w:type="default" r:id="rId10"/>
      <w:headerReference w:type="first" r:id="rId11"/>
      <w:footerReference w:type="first" r:id="rId12"/>
      <w:pgSz w:w="11906" w:h="16838"/>
      <w:pgMar w:top="851" w:right="907" w:bottom="709" w:left="1080" w:header="288" w:footer="316"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585032" w14:textId="77777777" w:rsidR="00CC7C4F" w:rsidRDefault="00CC7C4F">
      <w:r>
        <w:separator/>
      </w:r>
    </w:p>
  </w:endnote>
  <w:endnote w:type="continuationSeparator" w:id="0">
    <w:p w14:paraId="35D5D2D9" w14:textId="77777777" w:rsidR="00CC7C4F" w:rsidRDefault="00CC7C4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A5572" w14:textId="77777777" w:rsidR="00CC5961" w:rsidRDefault="00CC596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C8029" w14:textId="77777777" w:rsidR="006174EA" w:rsidRDefault="006174EA">
    <w:pPr>
      <w:pBdr>
        <w:top w:val="single" w:sz="4" w:space="3" w:color="404040"/>
      </w:pBdr>
      <w:spacing w:before="120" w:line="60" w:lineRule="auto"/>
      <w:ind w:right="4960"/>
    </w:pPr>
  </w:p>
  <w:p w14:paraId="107D973D" w14:textId="77777777" w:rsidR="006174EA" w:rsidRDefault="00000000">
    <w:pPr>
      <w:tabs>
        <w:tab w:val="right" w:pos="9840"/>
      </w:tabs>
      <w:spacing w:before="30" w:line="200" w:lineRule="auto"/>
    </w:pPr>
    <w:r>
      <w:fldChar w:fldCharType="begin"/>
    </w:r>
    <w:r>
      <w:instrText>DOCPROPERTY Title \* MERGEFORMAT</w:instrText>
    </w:r>
    <w:r>
      <w:fldChar w:fldCharType="separate"/>
    </w:r>
    <w:r>
      <w:rPr>
        <w:color w:val="808080"/>
        <w:sz w:val="13"/>
        <w:szCs w:val="13"/>
      </w:rPr>
      <w:t>202512_FSA-A5 @MTM_18235662 ^</w:t>
    </w:r>
    <w:proofErr w:type="spellStart"/>
    <w:r>
      <w:rPr>
        <w:color w:val="808080"/>
        <w:sz w:val="13"/>
        <w:szCs w:val="13"/>
      </w:rPr>
      <w:t>Hotarare</w:t>
    </w:r>
    <w:proofErr w:type="spellEnd"/>
    <w:r>
      <w:rPr>
        <w:color w:val="808080"/>
        <w:sz w:val="13"/>
        <w:szCs w:val="13"/>
      </w:rPr>
      <w:t xml:space="preserve"> AGA.docx</w:t>
    </w:r>
    <w:r>
      <w:rPr>
        <w:color w:val="808080"/>
        <w:sz w:val="13"/>
        <w:szCs w:val="13"/>
      </w:rPr>
      <w:fldChar w:fldCharType="end"/>
    </w:r>
    <w:r>
      <w:tab/>
    </w:r>
    <w:r>
      <w:rPr>
        <w:color w:val="808080"/>
        <w:sz w:val="13"/>
        <w:szCs w:val="13"/>
      </w:rPr>
      <w:t xml:space="preserve">Pag. </w:t>
    </w:r>
    <w:r>
      <w:rPr>
        <w:color w:val="808080"/>
        <w:sz w:val="13"/>
        <w:szCs w:val="13"/>
      </w:rPr>
      <w:fldChar w:fldCharType="begin"/>
    </w:r>
    <w:r>
      <w:rPr>
        <w:color w:val="808080"/>
        <w:sz w:val="13"/>
        <w:szCs w:val="13"/>
      </w:rPr>
      <w:instrText>PAGE</w:instrText>
    </w:r>
    <w:r>
      <w:rPr>
        <w:color w:val="808080"/>
        <w:sz w:val="13"/>
        <w:szCs w:val="13"/>
      </w:rPr>
      <w:fldChar w:fldCharType="separate"/>
    </w:r>
    <w:r w:rsidR="00CC5961">
      <w:rPr>
        <w:noProof/>
        <w:color w:val="808080"/>
        <w:sz w:val="13"/>
        <w:szCs w:val="13"/>
      </w:rPr>
      <w:t>2</w:t>
    </w:r>
    <w:r>
      <w:rPr>
        <w:color w:val="808080"/>
        <w:sz w:val="13"/>
        <w:szCs w:val="13"/>
      </w:rPr>
      <w:fldChar w:fldCharType="end"/>
    </w:r>
    <w:r>
      <w:rPr>
        <w:color w:val="808080"/>
        <w:sz w:val="13"/>
        <w:szCs w:val="13"/>
      </w:rPr>
      <w:t xml:space="preserve"> / </w:t>
    </w:r>
    <w:r>
      <w:rPr>
        <w:color w:val="808080"/>
        <w:sz w:val="13"/>
        <w:szCs w:val="13"/>
      </w:rPr>
      <w:fldChar w:fldCharType="begin"/>
    </w:r>
    <w:r>
      <w:rPr>
        <w:color w:val="808080"/>
        <w:sz w:val="13"/>
        <w:szCs w:val="13"/>
      </w:rPr>
      <w:instrText>NUMPAGES</w:instrText>
    </w:r>
    <w:r>
      <w:rPr>
        <w:color w:val="808080"/>
        <w:sz w:val="13"/>
        <w:szCs w:val="13"/>
      </w:rPr>
      <w:fldChar w:fldCharType="separate"/>
    </w:r>
    <w:r w:rsidR="00CC5961">
      <w:rPr>
        <w:noProof/>
        <w:color w:val="808080"/>
        <w:sz w:val="13"/>
        <w:szCs w:val="13"/>
      </w:rPr>
      <w:t>2</w:t>
    </w:r>
    <w:r>
      <w:rPr>
        <w:color w:val="808080"/>
        <w:sz w:val="13"/>
        <w:szCs w:val="13"/>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3A9B1D" w14:textId="77777777" w:rsidR="006174EA" w:rsidRDefault="006174EA">
    <w:pPr>
      <w:pBdr>
        <w:top w:val="single" w:sz="4" w:space="3" w:color="404040"/>
      </w:pBdr>
      <w:spacing w:before="120" w:line="60" w:lineRule="auto"/>
      <w:ind w:right="4960"/>
    </w:pPr>
  </w:p>
  <w:p w14:paraId="495D78AF" w14:textId="77777777" w:rsidR="006174EA" w:rsidRDefault="00000000">
    <w:pPr>
      <w:tabs>
        <w:tab w:val="right" w:pos="9840"/>
      </w:tabs>
      <w:spacing w:before="30" w:line="200" w:lineRule="auto"/>
    </w:pPr>
    <w:r>
      <w:fldChar w:fldCharType="begin"/>
    </w:r>
    <w:r>
      <w:instrText>DOCPROPERTY Title \* MERGEFORMAT</w:instrText>
    </w:r>
    <w:r>
      <w:fldChar w:fldCharType="separate"/>
    </w:r>
    <w:r>
      <w:rPr>
        <w:color w:val="808080"/>
        <w:sz w:val="13"/>
        <w:szCs w:val="13"/>
      </w:rPr>
      <w:t>202512_FSA-A5 @MTM_18235662 ^</w:t>
    </w:r>
    <w:proofErr w:type="spellStart"/>
    <w:r>
      <w:rPr>
        <w:color w:val="808080"/>
        <w:sz w:val="13"/>
        <w:szCs w:val="13"/>
      </w:rPr>
      <w:t>Hotarare</w:t>
    </w:r>
    <w:proofErr w:type="spellEnd"/>
    <w:r>
      <w:rPr>
        <w:color w:val="808080"/>
        <w:sz w:val="13"/>
        <w:szCs w:val="13"/>
      </w:rPr>
      <w:t xml:space="preserve"> AGA.docx</w:t>
    </w:r>
    <w:r>
      <w:rPr>
        <w:color w:val="808080"/>
        <w:sz w:val="13"/>
        <w:szCs w:val="13"/>
      </w:rPr>
      <w:fldChar w:fldCharType="end"/>
    </w:r>
    <w:r>
      <w:tab/>
    </w:r>
    <w:r>
      <w:rPr>
        <w:color w:val="808080"/>
        <w:sz w:val="13"/>
        <w:szCs w:val="13"/>
      </w:rPr>
      <w:t xml:space="preserve">Pag. </w:t>
    </w:r>
    <w:r>
      <w:rPr>
        <w:color w:val="808080"/>
        <w:sz w:val="13"/>
        <w:szCs w:val="13"/>
      </w:rPr>
      <w:fldChar w:fldCharType="begin"/>
    </w:r>
    <w:r>
      <w:rPr>
        <w:color w:val="808080"/>
        <w:sz w:val="13"/>
        <w:szCs w:val="13"/>
      </w:rPr>
      <w:instrText>PAGE</w:instrText>
    </w:r>
    <w:r>
      <w:rPr>
        <w:color w:val="808080"/>
        <w:sz w:val="13"/>
        <w:szCs w:val="13"/>
      </w:rPr>
      <w:fldChar w:fldCharType="separate"/>
    </w:r>
    <w:r w:rsidR="00CC5961">
      <w:rPr>
        <w:noProof/>
        <w:color w:val="808080"/>
        <w:sz w:val="13"/>
        <w:szCs w:val="13"/>
      </w:rPr>
      <w:t>1</w:t>
    </w:r>
    <w:r>
      <w:rPr>
        <w:color w:val="808080"/>
        <w:sz w:val="13"/>
        <w:szCs w:val="13"/>
      </w:rPr>
      <w:fldChar w:fldCharType="end"/>
    </w:r>
    <w:r>
      <w:rPr>
        <w:color w:val="808080"/>
        <w:sz w:val="13"/>
        <w:szCs w:val="13"/>
      </w:rPr>
      <w:t xml:space="preserve"> / </w:t>
    </w:r>
    <w:r>
      <w:rPr>
        <w:color w:val="808080"/>
        <w:sz w:val="13"/>
        <w:szCs w:val="13"/>
      </w:rPr>
      <w:fldChar w:fldCharType="begin"/>
    </w:r>
    <w:r>
      <w:rPr>
        <w:color w:val="808080"/>
        <w:sz w:val="13"/>
        <w:szCs w:val="13"/>
      </w:rPr>
      <w:instrText>NUMPAGES</w:instrText>
    </w:r>
    <w:r>
      <w:rPr>
        <w:color w:val="808080"/>
        <w:sz w:val="13"/>
        <w:szCs w:val="13"/>
      </w:rPr>
      <w:fldChar w:fldCharType="separate"/>
    </w:r>
    <w:r w:rsidR="00CC5961">
      <w:rPr>
        <w:noProof/>
        <w:color w:val="808080"/>
        <w:sz w:val="13"/>
        <w:szCs w:val="13"/>
      </w:rPr>
      <w:t>2</w:t>
    </w:r>
    <w:r>
      <w:rPr>
        <w:color w:val="808080"/>
        <w:sz w:val="13"/>
        <w:szCs w:val="13"/>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8254B9" w14:textId="77777777" w:rsidR="00CC7C4F" w:rsidRDefault="00CC7C4F">
      <w:r>
        <w:separator/>
      </w:r>
    </w:p>
  </w:footnote>
  <w:footnote w:type="continuationSeparator" w:id="0">
    <w:p w14:paraId="640CF7FF" w14:textId="77777777" w:rsidR="00CC7C4F" w:rsidRDefault="00CC7C4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FEE52" w14:textId="77777777" w:rsidR="00CC5961" w:rsidRDefault="00CC596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8289F7" w14:textId="77777777" w:rsidR="006174EA" w:rsidRDefault="00000000">
    <w:pPr>
      <w:spacing w:line="240" w:lineRule="auto"/>
    </w:pPr>
    <w:r>
      <w:rPr>
        <w:b/>
        <w:color w:val="404040"/>
      </w:rPr>
      <w:t>|~CompanieNume~|</w:t>
    </w:r>
  </w:p>
  <w:p w14:paraId="6CF3A21E" w14:textId="77777777" w:rsidR="006174EA" w:rsidRDefault="006174EA">
    <w:pPr>
      <w:pBdr>
        <w:bottom w:val="single" w:sz="4" w:space="3" w:color="404040"/>
      </w:pBdr>
      <w:spacing w:after="120" w:line="60" w:lineRule="auto"/>
      <w:ind w:right="49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231CBC" w14:textId="77777777" w:rsidR="006174EA" w:rsidRDefault="00000000">
    <w:pPr>
      <w:spacing w:after="0" w:line="240" w:lineRule="auto"/>
    </w:pPr>
    <w:r>
      <w:rPr>
        <w:b/>
        <w:color w:val="404040"/>
        <w:sz w:val="26"/>
      </w:rPr>
      <w:t>|~CompanieNume~|</w:t>
    </w:r>
    <w:r>
      <w:rPr>
        <w:color w:val="808080"/>
        <w:sz w:val="16"/>
      </w:rPr>
      <w:t xml:space="preserve">  („Societatea”)</w:t>
    </w:r>
  </w:p>
  <w:p w14:paraId="2F120794" w14:textId="77777777" w:rsidR="006174EA" w:rsidRDefault="00000000">
    <w:pPr>
      <w:spacing w:after="30" w:line="240" w:lineRule="auto"/>
    </w:pPr>
    <w:r>
      <w:rPr>
        <w:color w:val="808080"/>
        <w:sz w:val="14"/>
      </w:rPr>
      <w:t>CUI: |~CompanieCUI~|   •   |~CompanieAdresa~|</w:t>
    </w:r>
  </w:p>
  <w:p w14:paraId="61B983D8" w14:textId="77777777" w:rsidR="006174EA" w:rsidRDefault="006174EA" w:rsidP="00CC5961">
    <w:pPr>
      <w:pBdr>
        <w:top w:val="single" w:sz="4" w:space="1" w:color="000000" w:themeColor="text1"/>
      </w:pBdr>
      <w:spacing w:after="120" w:line="60" w:lineRule="auto"/>
      <w:ind w:right="49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E47B97"/>
    <w:multiLevelType w:val="hybridMultilevel"/>
    <w:tmpl w:val="5464EB3C"/>
    <w:lvl w:ilvl="0" w:tplc="FA6466CE">
      <w:start w:val="1"/>
      <w:numFmt w:val="decimal"/>
      <w:lvlText w:val="%1."/>
      <w:lvlJc w:val="left"/>
      <w:pPr>
        <w:ind w:left="357" w:hanging="357"/>
      </w:pPr>
      <w:rPr>
        <w:rFonts w:ascii="Aptos" w:eastAsia="Aptos" w:hAnsi="Aptos" w:cs="Aptos"/>
        <w:b/>
        <w:bCs/>
        <w:color w:val="404040"/>
      </w:rPr>
    </w:lvl>
    <w:lvl w:ilvl="1" w:tplc="5DA87D62">
      <w:numFmt w:val="decimal"/>
      <w:lvlText w:val=""/>
      <w:lvlJc w:val="left"/>
    </w:lvl>
    <w:lvl w:ilvl="2" w:tplc="AB16DF1A">
      <w:numFmt w:val="decimal"/>
      <w:lvlText w:val=""/>
      <w:lvlJc w:val="left"/>
    </w:lvl>
    <w:lvl w:ilvl="3" w:tplc="70E20A14">
      <w:numFmt w:val="decimal"/>
      <w:lvlText w:val=""/>
      <w:lvlJc w:val="left"/>
    </w:lvl>
    <w:lvl w:ilvl="4" w:tplc="EC94AC86">
      <w:numFmt w:val="decimal"/>
      <w:lvlText w:val=""/>
      <w:lvlJc w:val="left"/>
    </w:lvl>
    <w:lvl w:ilvl="5" w:tplc="1338C0A6">
      <w:numFmt w:val="decimal"/>
      <w:lvlText w:val=""/>
      <w:lvlJc w:val="left"/>
    </w:lvl>
    <w:lvl w:ilvl="6" w:tplc="3A5A0CB6">
      <w:numFmt w:val="decimal"/>
      <w:lvlText w:val=""/>
      <w:lvlJc w:val="left"/>
    </w:lvl>
    <w:lvl w:ilvl="7" w:tplc="F2101556">
      <w:numFmt w:val="decimal"/>
      <w:lvlText w:val=""/>
      <w:lvlJc w:val="left"/>
    </w:lvl>
    <w:lvl w:ilvl="8" w:tplc="E4121AC8">
      <w:numFmt w:val="decimal"/>
      <w:lvlText w:val=""/>
      <w:lvlJc w:val="left"/>
    </w:lvl>
  </w:abstractNum>
  <w:abstractNum w:abstractNumId="1" w15:restartNumberingAfterBreak="0">
    <w:nsid w:val="55E73934"/>
    <w:multiLevelType w:val="hybridMultilevel"/>
    <w:tmpl w:val="37C00E8E"/>
    <w:lvl w:ilvl="0" w:tplc="D49AD2F8">
      <w:start w:val="1"/>
      <w:numFmt w:val="bullet"/>
      <w:lvlText w:val="●"/>
      <w:lvlJc w:val="left"/>
      <w:pPr>
        <w:ind w:left="720" w:hanging="360"/>
      </w:pPr>
    </w:lvl>
    <w:lvl w:ilvl="1" w:tplc="0674E900">
      <w:start w:val="1"/>
      <w:numFmt w:val="bullet"/>
      <w:lvlText w:val="○"/>
      <w:lvlJc w:val="left"/>
      <w:pPr>
        <w:ind w:left="1440" w:hanging="360"/>
      </w:pPr>
    </w:lvl>
    <w:lvl w:ilvl="2" w:tplc="356A769C">
      <w:start w:val="1"/>
      <w:numFmt w:val="bullet"/>
      <w:lvlText w:val="■"/>
      <w:lvlJc w:val="left"/>
      <w:pPr>
        <w:ind w:left="2160" w:hanging="360"/>
      </w:pPr>
    </w:lvl>
    <w:lvl w:ilvl="3" w:tplc="BB541262">
      <w:start w:val="1"/>
      <w:numFmt w:val="bullet"/>
      <w:lvlText w:val="●"/>
      <w:lvlJc w:val="left"/>
      <w:pPr>
        <w:ind w:left="2880" w:hanging="360"/>
      </w:pPr>
    </w:lvl>
    <w:lvl w:ilvl="4" w:tplc="AEC8B486">
      <w:start w:val="1"/>
      <w:numFmt w:val="bullet"/>
      <w:lvlText w:val="○"/>
      <w:lvlJc w:val="left"/>
      <w:pPr>
        <w:ind w:left="3600" w:hanging="360"/>
      </w:pPr>
    </w:lvl>
    <w:lvl w:ilvl="5" w:tplc="22687A3C">
      <w:start w:val="1"/>
      <w:numFmt w:val="bullet"/>
      <w:lvlText w:val="■"/>
      <w:lvlJc w:val="left"/>
      <w:pPr>
        <w:ind w:left="4320" w:hanging="360"/>
      </w:pPr>
    </w:lvl>
    <w:lvl w:ilvl="6" w:tplc="DB04C828">
      <w:start w:val="1"/>
      <w:numFmt w:val="bullet"/>
      <w:lvlText w:val="●"/>
      <w:lvlJc w:val="left"/>
      <w:pPr>
        <w:ind w:left="5040" w:hanging="360"/>
      </w:pPr>
    </w:lvl>
    <w:lvl w:ilvl="7" w:tplc="47841068">
      <w:start w:val="1"/>
      <w:numFmt w:val="bullet"/>
      <w:lvlText w:val="●"/>
      <w:lvlJc w:val="left"/>
      <w:pPr>
        <w:ind w:left="5760" w:hanging="360"/>
      </w:pPr>
    </w:lvl>
    <w:lvl w:ilvl="8" w:tplc="A89A99E2">
      <w:start w:val="1"/>
      <w:numFmt w:val="bullet"/>
      <w:lvlText w:val="●"/>
      <w:lvlJc w:val="left"/>
      <w:pPr>
        <w:ind w:left="6480" w:hanging="360"/>
      </w:pPr>
    </w:lvl>
  </w:abstractNum>
  <w:num w:numId="1" w16cid:durableId="1639265476">
    <w:abstractNumId w:val="1"/>
    <w:lvlOverride w:ilvl="0">
      <w:startOverride w:val="1"/>
    </w:lvlOverride>
  </w:num>
  <w:num w:numId="2" w16cid:durableId="118359633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174EA"/>
    <w:rsid w:val="006174EA"/>
    <w:rsid w:val="00BE63FD"/>
    <w:rsid w:val="00CC5961"/>
    <w:rsid w:val="00CC7C4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FD6F744"/>
  <w15:docId w15:val="{5E369A0C-A70F-409C-8971-3DDC29949BE4}"/>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color w:val="262626"/>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CC5961"/>
    <w:pPr>
      <w:tabs>
        <w:tab w:val="center" w:pos="4680"/>
        <w:tab w:val="right" w:pos="9360"/>
      </w:tabs>
    </w:pPr>
  </w:style>
  <w:style w:type="character" w:customStyle="1" w:styleId="HeaderChar">
    <w:name w:val="Header Char"/>
    <w:basedOn w:val="DefaultParagraphFont"/>
    <w:link w:val="Header"/>
    <w:uiPriority w:val="99"/>
    <w:rsid w:val="00CC5961"/>
  </w:style>
  <w:style w:type="paragraph" w:styleId="Footer">
    <w:name w:val="footer"/>
    <w:basedOn w:val="Normal"/>
    <w:link w:val="FooterChar"/>
    <w:uiPriority w:val="99"/>
    <w:unhideWhenUsed/>
    <w:rsid w:val="00CC5961"/>
    <w:pPr>
      <w:tabs>
        <w:tab w:val="center" w:pos="4680"/>
        <w:tab w:val="right" w:pos="9360"/>
      </w:tabs>
    </w:pPr>
  </w:style>
  <w:style w:type="character" w:customStyle="1" w:styleId="FooterChar">
    <w:name w:val="Footer Char"/>
    <w:basedOn w:val="DefaultParagraphFont"/>
    <w:link w:val="Footer"/>
    <w:uiPriority w:val="99"/>
    <w:rsid w:val="00CC596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Pages>
  <Words>536</Words>
  <Characters>3056</Characters>
  <Application>Microsoft Office Word</Application>
  <DocSecurity>0</DocSecurity>
  <Lines>25</Lines>
  <Paragraphs>7</Paragraphs>
  <ScaleCrop>false</ScaleCrop>
  <Company/>
  <LinksUpToDate>false</LinksUpToDate>
  <CharactersWithSpaces>3585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01_Hotarare_AGA_contractare_imprumut_asociat.docx</dc:title>
  <dc:creator>AiALL S.R.L. · smartBIZ Copilot</dc:creator>
  <dc:description>Situații financiare 2025</dc:description>
  <cp:lastModifiedBy>Gheorghe SANDRU</cp:lastModifiedBy>
  <cp:revision>3</cp:revision>
  <dcterms:created xsi:type="dcterms:W3CDTF">2026-07-11T06:21:00Z</dcterms:created>
  <dcterms:modified xsi:type="dcterms:W3CDTF">2026-07-17T14:40:00Z</dcterms:modified>
</cp:coreProperties>
</file>