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80" w:after="140"/>
        <w:rPr>
          <w:lang w:val="ro-RO"/>
        </w:rPr>
      </w:pPr>
      <w:r>
        <w:rPr>
          <w:b/>
          <w:bCs/>
          <w:color w:val="404040"/>
          <w:sz w:val="30"/>
          <w:szCs w:val="30"/>
          <w:lang w:val="ro-RO"/>
        </w:rPr>
        <w:t>HOTĂRÂREA ADUNĂRII GENERALE A ASOCIAȚILOR</w:t>
      </w:r>
    </w:p>
    <w:p>
      <w:pPr>
        <w:spacing w:after="80"/>
        <w:rPr>
          <w:lang w:val="ro-RO"/>
        </w:rPr>
      </w:pPr>
      <w:r>
        <w:rPr>
          <w:b/>
          <w:bCs/>
          <w:color w:val="595959"/>
          <w:sz w:val="22"/>
          <w:szCs w:val="22"/>
          <w:lang w:val="ro-RO"/>
        </w:rPr>
        <w:t>nr. |~HotarareNumar~| din |~DataSemnareActAditional1~|</w:t>
      </w:r>
    </w:p>
    <w:p>
      <w:pPr>
        <w:pBdr>
          <w:top w:val="single" w:sz="2" w:space="1" w:color="000000" w:themeColor="text1"/>
        </w:pBdr>
        <w:spacing w:before="40" w:after="300"/>
        <w:rPr>
          <w:lang w:val="ro-RO"/>
        </w:rPr>
      </w:pPr>
      <w:r/>
    </w:p>
    <w:p>
      <w:pPr>
        <w:keepLines w:val="0"/>
        <w:spacing w:before="0" w:after="90" w:line="276" w:lineRule="auto"/>
        <w:ind w:left="360"/>
        <w:jc w:val="both"/>
      </w:pPr>
      <w:r>
        <w:t>Subsemnații:</w:t>
      </w:r>
    </w:p>
    <w:p>
      <w:pPr>
        <w:keepLines/>
        <w:spacing w:before="0" w:after="90" w:line="288" w:lineRule="auto"/>
        <w:ind w:left="605" w:hanging="245"/>
        <w:jc w:val="both"/>
      </w:pPr>
      <w:r>
        <w:t xml:space="preserve">•  </w:t>
      </w:r>
      <w:r>
        <w:rPr>
          <w:b/>
        </w:rPr>
        <w:t>|~Asociat1Nume~|</w:t>
      </w:r>
      <w:r>
        <w:t>, cetățean român, domiciliat în |~Asociat1Adresa~|, identificat cu |~Asociat1ActIdentitate~|, CNP |~Asociat1CNP~|;</w:t>
      </w:r>
    </w:p>
    <w:p>
      <w:pPr>
        <w:keepLines/>
        <w:spacing w:before="0" w:after="90" w:line="288" w:lineRule="auto"/>
        <w:ind w:left="605" w:hanging="245"/>
        <w:jc w:val="both"/>
      </w:pPr>
      <w:r>
        <w:t xml:space="preserve">•  </w:t>
      </w:r>
      <w:r>
        <w:rPr>
          <w:b/>
        </w:rPr>
        <w:t>|~Asociat2Nume~|</w:t>
      </w:r>
      <w:r>
        <w:t>, cetățean român, domiciliat în |~Asociat2Adresa~|, identificat cu |~Asociat2ActIdentitate~|, CNP |~Asociat2CNP~|;</w:t>
      </w:r>
    </w:p>
    <w:p>
      <w:pPr>
        <w:keepLines w:val="0"/>
        <w:spacing w:before="90" w:after="50" w:line="276" w:lineRule="auto"/>
        <w:ind w:left="360"/>
      </w:pPr>
      <w:r>
        <w:rPr>
          <w:b/>
        </w:rPr>
        <w:t xml:space="preserve">în calitate de: </w:t>
      </w:r>
      <w:r>
        <w:rPr>
          <w:b/>
        </w:rPr>
        <w:t>asociați ai |~CompanieNume~|,</w:t>
      </w:r>
    </w:p>
    <w:p>
      <w:pPr>
        <w:keepLines w:val="0"/>
        <w:spacing w:before="0" w:after="26" w:line="276" w:lineRule="auto"/>
        <w:ind w:left="893" w:hanging="288"/>
      </w:pPr>
      <w:r>
        <w:t xml:space="preserve">❖  </w:t>
      </w:r>
      <w:r>
        <w:t>cu sediul în |~CompanieAdresa~|;</w:t>
      </w:r>
    </w:p>
    <w:p>
      <w:pPr>
        <w:keepLines w:val="0"/>
        <w:spacing w:before="0" w:after="26" w:line="276" w:lineRule="auto"/>
        <w:ind w:left="893" w:hanging="288"/>
      </w:pPr>
      <w:r>
        <w:t xml:space="preserve">❖  </w:t>
      </w:r>
      <w:r>
        <w:t>CUI |~CompanieCUI~|; nr. RC |~CompanieNrRC~|;</w:t>
      </w:r>
    </w:p>
    <w:p>
      <w:pPr>
        <w:keepLines w:val="0"/>
        <w:spacing w:before="40" w:after="90" w:line="276" w:lineRule="auto"/>
        <w:ind w:left="360"/>
      </w:pPr>
      <w:r>
        <w:rPr>
          <w:b/>
        </w:rPr>
        <w:t xml:space="preserve">reprezentând: </w:t>
      </w:r>
      <w:r>
        <w:t>100% din capitalul social al Societății, în cotele |~Asociat1Cota~| și |~Asociat2Cota~|;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în conformitate cu: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prerogativele conferite prin Actul Constitutiv;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prevederile Legii nr. 31/1990 privind societățile, republicată, cu modificările și completările ulterioare;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i/>
        </w:rPr>
        <w:t>documentele de organizare și funcționare ale Societății;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declară că:</w:t>
      </w:r>
    </w:p>
    <w:p>
      <w:pPr>
        <w:keepLines/>
        <w:spacing w:before="0" w:after="40" w:line="276" w:lineRule="auto"/>
        <w:ind w:left="763" w:hanging="245"/>
        <w:jc w:val="both"/>
      </w:pPr>
      <w:r>
        <w:t xml:space="preserve">•  </w:t>
      </w:r>
      <w:r>
        <w:rPr>
          <w:i/>
        </w:rPr>
        <w:t>renunță, de comun acord, la formalitățile de convocare;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i/>
        </w:rPr>
        <w:t>Adunarea este legal și statutar constituită, iar hotărârile sunt adoptate în unanimitate;</w:t>
      </w:r>
    </w:p>
    <w:p>
      <w:pPr>
        <w:keepLines w:val="0"/>
        <w:spacing w:before="20" w:after="40" w:line="276" w:lineRule="auto"/>
        <w:ind w:left="360"/>
      </w:pPr>
      <w:r>
        <w:rPr>
          <w:b/>
        </w:rPr>
        <w:t>și având în vedere: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contractele-cadru |~Contract1Numar~| și |~Contract2Numar~|, cu durata inițială până la |~DataEfecteActAditional1~|;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continuitatea necesarului de finanțare al Societății și menținerea pe termen lung a resurselor puse la dispoziție de asociați;</w:t>
      </w:r>
    </w:p>
    <w:p>
      <w:pPr>
        <w:keepLines/>
        <w:spacing w:before="0" w:after="68" w:line="276" w:lineRule="auto"/>
        <w:ind w:left="763" w:hanging="245"/>
        <w:jc w:val="both"/>
      </w:pPr>
      <w:r>
        <w:t xml:space="preserve">•  </w:t>
      </w:r>
      <w:r>
        <w:rPr>
          <w:b/>
        </w:rPr>
        <w:t>fișa contului 4551 și procesul-verbal de confirmare a soldului care produce efecte la |~DataEfecteActAditional1~|;</w:t>
      </w:r>
    </w:p>
    <w:p>
      <w:pPr>
        <w:keepLines/>
        <w:spacing w:before="0" w:after="90" w:line="276" w:lineRule="auto"/>
        <w:ind w:left="763" w:hanging="245"/>
        <w:jc w:val="both"/>
      </w:pPr>
      <w:r>
        <w:t xml:space="preserve">•  </w:t>
      </w:r>
      <w:r>
        <w:rPr>
          <w:b/>
        </w:rPr>
        <w:t>proiectele Actelor adiționale nr. 1;</w:t>
      </w:r>
    </w:p>
    <w:p>
      <w:pPr>
        <w:spacing w:before="100" w:after="200"/>
        <w:jc w:val="center"/>
        <w:rPr>
          <w:lang w:val="ro-RO"/>
        </w:rPr>
      </w:pPr>
      <w:r>
        <w:rPr>
          <w:b/>
          <w:bCs/>
          <w:color w:val="404040"/>
          <w:sz w:val="26"/>
          <w:szCs w:val="26"/>
          <w:lang w:val="ro-RO"/>
        </w:rPr>
        <w:t>H O T Ă R Ă Ș T E :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Confirmarea soldului creditor la data prelungirii</w:t>
      </w:r>
    </w:p>
    <w:p>
      <w:pPr>
        <w:keepLines/>
        <w:spacing w:before="0" w:after="100" w:line="276" w:lineRule="auto"/>
        <w:ind w:left="360"/>
        <w:jc w:val="both"/>
      </w:pPr>
      <w:r>
        <w:t>Se aprobă recunoașterea, la data de |~DataEfecteActAditional1~|, a soldului creditor total al contului 4551 în valoare de |~SoldTotal4551~| lei. Soldul este confirmat prin fișa contabilă și procesul-verbal de reconciliere, pe analitice distincte pentru fiecare creditor.</w:t>
      </w:r>
    </w:p>
    <w:p>
      <w:pPr>
        <w:spacing w:after="0"/>
      </w:pPr>
      <w:r>
        <w:br/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Repartizarea soldului pe creditori</w:t>
      </w:r>
    </w:p>
    <w:p>
      <w:pPr>
        <w:keepLines/>
        <w:spacing w:before="0" w:after="100" w:line="276" w:lineRule="auto"/>
        <w:ind w:left="360"/>
        <w:jc w:val="both"/>
      </w:pPr>
      <w:r>
        <w:t>Soldul total se repartizează potrivit cotelor economice ale creditorilor. Orice diferență indivizibilă rezultată din repartizare este consemnată explicit și nu modifică participațiile economice.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8"/>
        <w:gridCol w:w="3024"/>
      </w:tblGrid>
      <w:tr>
        <w:tc>
          <w:tcPr>
            <w:tcW w:type="dxa" w:w="6408"/>
            <w:vAlign w:val="center"/>
            <w:shd w:fill="EDEDED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</w:pPr>
            <w:r/>
            <w:r>
              <w:rPr>
                <w:b/>
                <w:sz w:val="19"/>
              </w:rPr>
              <w:t>Creditor</w:t>
            </w:r>
          </w:p>
        </w:tc>
        <w:tc>
          <w:tcPr>
            <w:tcW w:type="dxa" w:w="3024"/>
            <w:vAlign w:val="center"/>
            <w:shd w:fill="EDEDED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b/>
                <w:sz w:val="19"/>
              </w:rPr>
              <w:t>Sold la data efectelor</w:t>
            </w:r>
          </w:p>
        </w:tc>
      </w:tr>
      <w:tr>
        <w:tc>
          <w:tcPr>
            <w:tcW w:type="dxa" w:w="6408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|~Asociat1Nume~| (|~Asociat1Cota~|)</w:t>
            </w:r>
          </w:p>
        </w:tc>
        <w:tc>
          <w:tcPr>
            <w:tcW w:type="dxa" w:w="3024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sz w:val="19"/>
              </w:rPr>
              <w:t>|~SoldAsociat1~| lei</w:t>
            </w:r>
          </w:p>
        </w:tc>
      </w:tr>
      <w:tr>
        <w:tc>
          <w:tcPr>
            <w:tcW w:type="dxa" w:w="6408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</w:pPr>
            <w:r/>
            <w:r>
              <w:rPr>
                <w:sz w:val="19"/>
              </w:rPr>
              <w:t>|~Asociat2Nume~| (|~Asociat2Cota~|)</w:t>
            </w:r>
          </w:p>
        </w:tc>
        <w:tc>
          <w:tcPr>
            <w:tcW w:type="dxa" w:w="3024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sz w:val="19"/>
              </w:rPr>
              <w:t>|~SoldAsociat2~| lei</w:t>
            </w:r>
          </w:p>
        </w:tc>
      </w:tr>
      <w:tr>
        <w:tc>
          <w:tcPr>
            <w:tcW w:type="dxa" w:w="6408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3024"/>
            <w:vAlign w:val="center"/>
            <w:tcBorders>
              <w:top w:val="dotted" w:sz="4" w:color="A6A6A6"/>
              <w:left w:val="dotted" w:sz="4" w:color="A6A6A6"/>
              <w:bottom w:val="dotted" w:sz="4" w:color="A6A6A6"/>
              <w:right w:val="dotted" w:sz="4" w:color="A6A6A6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b/>
                <w:sz w:val="19"/>
              </w:rPr>
              <w:t>|~SoldTotal4551~| lei</w:t>
            </w:r>
          </w:p>
        </w:tc>
      </w:tr>
    </w:tbl>
    <w:p>
      <w:pPr>
        <w:spacing w:after="40"/>
      </w:pP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Prelungirea duratei contractelor</w:t>
      </w:r>
    </w:p>
    <w:p>
      <w:pPr>
        <w:keepLines/>
        <w:spacing w:before="0" w:after="100" w:line="276" w:lineRule="auto"/>
        <w:ind w:left="360"/>
        <w:jc w:val="both"/>
      </w:pPr>
      <w:r>
        <w:t>Se aprobă prelungirea contractelor |~Contract1Numar~| și |~Contract2Numar~| cu |~DurataPrelungire~| ani, până la |~DataScadentaFinala~|, prin Actele adiționale nr. 1, semnate la |~DataSemnareActAditional1~| și producând efecte de la |~DataEfecteActAditional1~|.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Menținerea caracterului fără dobândă</w:t>
      </w:r>
    </w:p>
    <w:p>
      <w:pPr>
        <w:keepLines/>
        <w:spacing w:before="0" w:after="100" w:line="276" w:lineRule="auto"/>
        <w:ind w:left="360"/>
        <w:jc w:val="both"/>
      </w:pPr>
      <w:r>
        <w:t>Pentru perioada |~DataEfecteActAditional1~|-|~DataSfarsitFaraDobanda~|, principalul rămâne nepurtător de dobândă. O remunerare prin dobândă pentru o perioadă ulterioară va fi aprobată distinct și introdusă numai prin act adițional scris.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Mandatele pentru semnarea actelor adiționale</w:t>
      </w:r>
    </w:p>
    <w:p>
      <w:pPr>
        <w:keepLines/>
        <w:spacing w:before="0" w:after="100" w:line="276" w:lineRule="auto"/>
        <w:ind w:left="360"/>
        <w:jc w:val="both"/>
      </w:pPr>
      <w:r>
        <w:t>Se mențin mandatele de reprezentare stabilite pentru semnarea documentelor în raport cu fiecare creditor, astfel încât aceeași persoană să nu semneze același act în ambele calități.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sz="2" w:space="2" w:color="E3E3E3"/>
          <w:left w:val="single" w:sz="22" w:space="8" w:color="7F7F7F"/>
          <w:bottom w:val="single" w:sz="2" w:space="2" w:color="E3E3E3"/>
        </w:pBdr>
        <w:shd w:val="clear" w:color="auto" w:fill="F2F2F2"/>
        <w:spacing w:before="140" w:after="110" w:line="270" w:lineRule="auto"/>
        <w:rPr>
          <w:lang w:val="ro-RO"/>
        </w:rPr>
      </w:pPr>
      <w:r>
        <w:rPr>
          <w:b/>
          <w:bCs/>
          <w:color w:val="404040"/>
          <w:sz w:val="22"/>
          <w:szCs w:val="22"/>
          <w:lang w:val="ro-RO"/>
        </w:rPr>
        <w:t>Intrarea în vigoare și păstrarea documentelor</w:t>
      </w:r>
    </w:p>
    <w:p>
      <w:pPr>
        <w:keepLines/>
        <w:spacing w:before="0" w:after="100" w:line="276" w:lineRule="auto"/>
        <w:ind w:left="360"/>
        <w:jc w:val="both"/>
      </w:pPr>
      <w:r>
        <w:t>Prezenta hotărâre și Actele adiționale nr. 1 produc efecte de la |~DataEfecteActAditional1~|. Documentele se păstrează împreună cu contractele inițiale, fișa contului 4551 și procesul-verbal de confirmare a soldului.</w:t>
      </w:r>
    </w:p>
    <w:p>
      <w:pPr>
        <w:keepLines/>
        <w:spacing w:before="40" w:after="160" w:line="276" w:lineRule="auto"/>
        <w:ind w:left="360"/>
        <w:jc w:val="both"/>
      </w:pPr>
      <w:r>
        <w:t>Prezenta hotărâre a fost întocmită în 4 (patru) exemplare originale, în limba română, câte unul pentru fiecare asociat, unul pentru Societate și unul pentru evidența financiar-contabilă.</w:t>
      </w:r>
    </w:p>
    <w:tbl>
      <w:tblPr>
        <w:tblW w:w="9200" w:type="dxa"/>
        <w:tblInd w:w="3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174EA" w:rsidRPr="00CC5961" w14:paraId="0F5626E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60" w:type="dxa"/>
              <w:right w:w="60" w:type="dxa"/>
            </w:tcMar>
          </w:tcPr>
          <w:p w14:paraId="2D040665" w14:textId="77777777" w:rsidR="006174EA" w:rsidRPr="00CC5961" w:rsidRDefault="00000000">
            <w:pPr>
              <w:spacing w:after="20"/>
              <w:rPr>
                <w:lang w:val="ro-RO"/>
              </w:rPr>
            </w:pPr>
            <w:r>
              <w:rPr>
                <w:b/>
              </w:rPr>
              <w:t>Asociat,</w:t>
            </w:r>
          </w:p>
          <w:p w14:paraId="0E761B53" w14:textId="77777777" w:rsidR="006174EA" w:rsidRPr="00CC5961" w:rsidRDefault="00000000">
            <w:pPr>
              <w:spacing w:after="40"/>
              <w:rPr>
                <w:lang w:val="ro-RO"/>
              </w:rPr>
            </w:pPr>
            <w:r>
              <w:t>|~Asociat1Nume~|</w:t>
            </w:r>
          </w:p>
          <w:p w14:paraId="6402EF54" w14:textId="77777777" w:rsidR="006174EA" w:rsidRPr="00CC5961" w:rsidRDefault="00000000">
            <w:pPr>
              <w:spacing w:before="280"/>
              <w:rPr>
                <w:lang w:val="ro-RO"/>
              </w:rPr>
            </w:pPr>
            <w:r>
              <w:rPr>
                <w:color w:val="767171"/>
                <w:sz w:val="16"/>
              </w:rPr>
              <w:t>____________________</w:t>
            </w:r>
            <w:r>
              <w:rPr>
                <w:color w:val="808080"/>
                <w:sz w:val="16"/>
              </w:rPr>
              <w:t xml:space="preserve">   Data: |~DataSemnareActAditional1~|</w:t>
            </w:r>
          </w:p>
        </w:tc>
        <w:tc>
          <w:tcPr>
            <w:tcW w:w="4600" w:type="dxa"/>
            <w:tcMar>
              <w:top w:w="60" w:type="dxa"/>
              <w:left w:w="60" w:type="dxa"/>
              <w:right w:w="60" w:type="dxa"/>
            </w:tcMar>
          </w:tcPr>
          <w:p w14:paraId="5FA461D9" w14:textId="77777777" w:rsidR="006174EA" w:rsidRPr="00CC5961" w:rsidRDefault="00000000">
            <w:pPr>
              <w:spacing w:after="20"/>
              <w:rPr>
                <w:lang w:val="ro-RO"/>
              </w:rPr>
            </w:pPr>
            <w:r>
              <w:rPr>
                <w:b/>
              </w:rPr>
              <w:t>Asociat,</w:t>
            </w:r>
          </w:p>
          <w:p w14:paraId="404AB718" w14:textId="77777777" w:rsidR="006174EA" w:rsidRPr="00CC5961" w:rsidRDefault="00000000">
            <w:pPr>
              <w:spacing w:after="40"/>
              <w:rPr>
                <w:lang w:val="ro-RO"/>
              </w:rPr>
            </w:pPr>
            <w:r>
              <w:t>|~Asociat2Nume~|</w:t>
            </w:r>
          </w:p>
          <w:p w14:paraId="0D5EF7D4" w14:textId="77777777" w:rsidR="006174EA" w:rsidRPr="00CC5961" w:rsidRDefault="00000000">
            <w:pPr>
              <w:spacing w:before="280"/>
              <w:rPr>
                <w:lang w:val="ro-RO"/>
              </w:rPr>
            </w:pPr>
            <w:r>
              <w:rPr>
                <w:color w:val="767171"/>
                <w:sz w:val="16"/>
              </w:rPr>
              <w:t>____________________</w:t>
            </w:r>
            <w:r>
              <w:rPr>
                <w:color w:val="808080"/>
                <w:sz w:val="16"/>
              </w:rPr>
              <w:t xml:space="preserve">   Data: |~DataSemnareActAditional1~|</w:t>
            </w:r>
          </w:p>
        </w:tc>
      </w:tr>
    </w:tbl>
    <w:sectPr w:rsidR="00CC7C4F" w:rsidRPr="00CC59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907" w:bottom="709" w:left="1080" w:header="288" w:footer="31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5032" w14:textId="77777777" w:rsidR="00CC7C4F" w:rsidRDefault="00CC7C4F">
      <w:r>
        <w:separator/>
      </w:r>
    </w:p>
  </w:endnote>
  <w:endnote w:type="continuationSeparator" w:id="0">
    <w:p w14:paraId="35D5D2D9" w14:textId="77777777" w:rsidR="00CC7C4F" w:rsidRDefault="00CC7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5572" w14:textId="77777777" w:rsidR="00CC5961" w:rsidRDefault="00CC5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8029" w14:textId="77777777" w:rsidR="006174EA" w:rsidRDefault="006174EA">
    <w:pPr>
      <w:pBdr>
        <w:top w:val="single" w:sz="4" w:space="3" w:color="404040"/>
      </w:pBdr>
      <w:spacing w:before="120" w:line="60" w:lineRule="auto"/>
      <w:ind w:right="4960"/>
    </w:pPr>
  </w:p>
  <w:p w14:paraId="107D973D" w14:textId="77777777" w:rsidR="006174EA" w:rsidRDefault="00000000">
    <w:pPr>
      <w:tabs>
        <w:tab w:val="right" w:pos="9840"/>
      </w:tabs>
      <w:spacing w:before="30" w:line="200" w:lineRule="auto"/>
    </w:pPr>
    <w:r>
      <w:fldChar w:fldCharType="begin"/>
    </w:r>
    <w:r>
      <w:instrText>DOCPROPERTY Title \* MERGEFORMAT</w:instrText>
    </w:r>
    <w:r>
      <w:fldChar w:fldCharType="separate"/>
    </w:r>
    <w:r>
      <w:rPr>
        <w:color w:val="808080"/>
        <w:sz w:val="13"/>
        <w:szCs w:val="13"/>
      </w:rPr>
      <w:t>202512_FSA-A5 @MTM_18235662 ^</w:t>
    </w:r>
    <w:proofErr w:type="spellStart"/>
    <w:r>
      <w:rPr>
        <w:color w:val="808080"/>
        <w:sz w:val="13"/>
        <w:szCs w:val="13"/>
      </w:rPr>
      <w:t>Hotarare</w:t>
    </w:r>
    <w:proofErr w:type="spellEnd"/>
    <w:r>
      <w:rPr>
        <w:color w:val="808080"/>
        <w:sz w:val="13"/>
        <w:szCs w:val="13"/>
      </w:rPr>
      <w:t xml:space="preserve"> AGA.docx</w:t>
    </w:r>
    <w:r>
      <w:rPr>
        <w:color w:val="808080"/>
        <w:sz w:val="13"/>
        <w:szCs w:val="13"/>
      </w:rPr>
      <w:fldChar w:fldCharType="end"/>
    </w:r>
    <w:r>
      <w:tab/>
    </w:r>
    <w:r>
      <w:rPr>
        <w:color w:val="808080"/>
        <w:sz w:val="13"/>
        <w:szCs w:val="13"/>
      </w:rPr>
      <w:t xml:space="preserve">Pag.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PAGE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  <w:r>
      <w:rPr>
        <w:color w:val="808080"/>
        <w:sz w:val="13"/>
        <w:szCs w:val="13"/>
      </w:rPr>
      <w:t xml:space="preserve"> /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NUMPAGES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9B1D" w14:textId="77777777" w:rsidR="006174EA" w:rsidRDefault="006174EA">
    <w:pPr>
      <w:pBdr>
        <w:top w:val="single" w:sz="4" w:space="3" w:color="404040"/>
      </w:pBdr>
      <w:spacing w:before="120" w:line="60" w:lineRule="auto"/>
      <w:ind w:right="4960"/>
    </w:pPr>
  </w:p>
  <w:p w14:paraId="495D78AF" w14:textId="77777777" w:rsidR="006174EA" w:rsidRDefault="00000000">
    <w:pPr>
      <w:tabs>
        <w:tab w:val="right" w:pos="9840"/>
      </w:tabs>
      <w:spacing w:before="30" w:line="200" w:lineRule="auto"/>
    </w:pPr>
    <w:r>
      <w:fldChar w:fldCharType="begin"/>
    </w:r>
    <w:r>
      <w:instrText>DOCPROPERTY Title \* MERGEFORMAT</w:instrText>
    </w:r>
    <w:r>
      <w:fldChar w:fldCharType="separate"/>
    </w:r>
    <w:r>
      <w:rPr>
        <w:color w:val="808080"/>
        <w:sz w:val="13"/>
        <w:szCs w:val="13"/>
      </w:rPr>
      <w:t>202512_FSA-A5 @MTM_18235662 ^</w:t>
    </w:r>
    <w:proofErr w:type="spellStart"/>
    <w:r>
      <w:rPr>
        <w:color w:val="808080"/>
        <w:sz w:val="13"/>
        <w:szCs w:val="13"/>
      </w:rPr>
      <w:t>Hotarare</w:t>
    </w:r>
    <w:proofErr w:type="spellEnd"/>
    <w:r>
      <w:rPr>
        <w:color w:val="808080"/>
        <w:sz w:val="13"/>
        <w:szCs w:val="13"/>
      </w:rPr>
      <w:t xml:space="preserve"> AGA.docx</w:t>
    </w:r>
    <w:r>
      <w:rPr>
        <w:color w:val="808080"/>
        <w:sz w:val="13"/>
        <w:szCs w:val="13"/>
      </w:rPr>
      <w:fldChar w:fldCharType="end"/>
    </w:r>
    <w:r>
      <w:tab/>
    </w:r>
    <w:r>
      <w:rPr>
        <w:color w:val="808080"/>
        <w:sz w:val="13"/>
        <w:szCs w:val="13"/>
      </w:rPr>
      <w:t xml:space="preserve">Pag.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PAGE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1</w:t>
    </w:r>
    <w:r>
      <w:rPr>
        <w:color w:val="808080"/>
        <w:sz w:val="13"/>
        <w:szCs w:val="13"/>
      </w:rPr>
      <w:fldChar w:fldCharType="end"/>
    </w:r>
    <w:r>
      <w:rPr>
        <w:color w:val="808080"/>
        <w:sz w:val="13"/>
        <w:szCs w:val="13"/>
      </w:rPr>
      <w:t xml:space="preserve"> / </w:t>
    </w:r>
    <w:r>
      <w:rPr>
        <w:color w:val="808080"/>
        <w:sz w:val="13"/>
        <w:szCs w:val="13"/>
      </w:rPr>
      <w:fldChar w:fldCharType="begin"/>
    </w:r>
    <w:r>
      <w:rPr>
        <w:color w:val="808080"/>
        <w:sz w:val="13"/>
        <w:szCs w:val="13"/>
      </w:rPr>
      <w:instrText>NUMPAGES</w:instrText>
    </w:r>
    <w:r>
      <w:rPr>
        <w:color w:val="808080"/>
        <w:sz w:val="13"/>
        <w:szCs w:val="13"/>
      </w:rPr>
      <w:fldChar w:fldCharType="separate"/>
    </w:r>
    <w:r w:rsidR="00CC5961">
      <w:rPr>
        <w:noProof/>
        <w:color w:val="808080"/>
        <w:sz w:val="13"/>
        <w:szCs w:val="13"/>
      </w:rPr>
      <w:t>2</w:t>
    </w:r>
    <w:r>
      <w:rPr>
        <w:color w:val="808080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54B9" w14:textId="77777777" w:rsidR="00CC7C4F" w:rsidRDefault="00CC7C4F">
      <w:r>
        <w:separator/>
      </w:r>
    </w:p>
  </w:footnote>
  <w:footnote w:type="continuationSeparator" w:id="0">
    <w:p w14:paraId="640CF7FF" w14:textId="77777777" w:rsidR="00CC7C4F" w:rsidRDefault="00CC7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FEE52" w14:textId="77777777" w:rsidR="00CC5961" w:rsidRDefault="00CC5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89F7" w14:textId="77777777" w:rsidR="006174EA" w:rsidRDefault="00000000">
    <w:pPr>
      <w:spacing w:line="240" w:lineRule="auto"/>
    </w:pPr>
    <w:r>
      <w:rPr>
        <w:b/>
        <w:color w:val="404040"/>
      </w:rPr>
      <w:t>|~CompanieNume~|</w:t>
    </w:r>
  </w:p>
  <w:p w14:paraId="6CF3A21E" w14:textId="77777777" w:rsidR="006174EA" w:rsidRDefault="006174EA">
    <w:pPr>
      <w:pBdr>
        <w:bottom w:val="single" w:sz="4" w:space="3" w:color="404040"/>
      </w:pBdr>
      <w:spacing w:after="120" w:line="60" w:lineRule="auto"/>
      <w:ind w:right="4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1CBC" w14:textId="77777777" w:rsidR="006174EA" w:rsidRDefault="00000000">
    <w:pPr>
      <w:spacing w:after="0" w:line="240" w:lineRule="auto"/>
    </w:pPr>
    <w:r>
      <w:rPr>
        <w:b/>
        <w:color w:val="404040"/>
        <w:sz w:val="26"/>
      </w:rPr>
      <w:t>|~CompanieNume~|</w:t>
    </w:r>
    <w:r>
      <w:rPr>
        <w:color w:val="808080"/>
        <w:sz w:val="16"/>
      </w:rPr>
      <w:t xml:space="preserve">  („Societatea”)</w:t>
    </w:r>
  </w:p>
  <w:p w14:paraId="2F120794" w14:textId="77777777" w:rsidR="006174EA" w:rsidRDefault="00000000">
    <w:pPr>
      <w:spacing w:after="30" w:line="240" w:lineRule="auto"/>
    </w:pPr>
    <w:r>
      <w:rPr>
        <w:color w:val="808080"/>
        <w:sz w:val="14"/>
      </w:rPr>
      <w:t>CUI: |~CompanieCUI~|   •   |~CompanieAdresa~|</w:t>
    </w:r>
  </w:p>
  <w:p w14:paraId="61B983D8" w14:textId="77777777" w:rsidR="006174EA" w:rsidRDefault="006174EA" w:rsidP="00CC5961">
    <w:pPr>
      <w:pBdr>
        <w:top w:val="single" w:sz="4" w:space="1" w:color="000000" w:themeColor="text1"/>
      </w:pBdr>
      <w:spacing w:after="120" w:line="60" w:lineRule="auto"/>
      <w:ind w:right="4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7B97"/>
    <w:multiLevelType w:val="hybridMultilevel"/>
    <w:tmpl w:val="5464EB3C"/>
    <w:lvl w:ilvl="0" w:tplc="FA6466CE">
      <w:start w:val="1"/>
      <w:numFmt w:val="decimal"/>
      <w:lvlText w:val="%1."/>
      <w:lvlJc w:val="left"/>
      <w:pPr>
        <w:ind w:left="357" w:hanging="357"/>
      </w:pPr>
      <w:rPr>
        <w:rFonts w:ascii="Aptos" w:eastAsia="Aptos" w:hAnsi="Aptos" w:cs="Aptos"/>
        <w:b/>
        <w:bCs/>
        <w:color w:val="404040"/>
      </w:rPr>
    </w:lvl>
    <w:lvl w:ilvl="1" w:tplc="5DA87D62">
      <w:numFmt w:val="decimal"/>
      <w:lvlText w:val=""/>
      <w:lvlJc w:val="left"/>
    </w:lvl>
    <w:lvl w:ilvl="2" w:tplc="AB16DF1A">
      <w:numFmt w:val="decimal"/>
      <w:lvlText w:val=""/>
      <w:lvlJc w:val="left"/>
    </w:lvl>
    <w:lvl w:ilvl="3" w:tplc="70E20A14">
      <w:numFmt w:val="decimal"/>
      <w:lvlText w:val=""/>
      <w:lvlJc w:val="left"/>
    </w:lvl>
    <w:lvl w:ilvl="4" w:tplc="EC94AC86">
      <w:numFmt w:val="decimal"/>
      <w:lvlText w:val=""/>
      <w:lvlJc w:val="left"/>
    </w:lvl>
    <w:lvl w:ilvl="5" w:tplc="1338C0A6">
      <w:numFmt w:val="decimal"/>
      <w:lvlText w:val=""/>
      <w:lvlJc w:val="left"/>
    </w:lvl>
    <w:lvl w:ilvl="6" w:tplc="3A5A0CB6">
      <w:numFmt w:val="decimal"/>
      <w:lvlText w:val=""/>
      <w:lvlJc w:val="left"/>
    </w:lvl>
    <w:lvl w:ilvl="7" w:tplc="F2101556">
      <w:numFmt w:val="decimal"/>
      <w:lvlText w:val=""/>
      <w:lvlJc w:val="left"/>
    </w:lvl>
    <w:lvl w:ilvl="8" w:tplc="E4121AC8">
      <w:numFmt w:val="decimal"/>
      <w:lvlText w:val=""/>
      <w:lvlJc w:val="left"/>
    </w:lvl>
  </w:abstractNum>
  <w:abstractNum w:abstractNumId="1" w15:restartNumberingAfterBreak="0">
    <w:nsid w:val="55E73934"/>
    <w:multiLevelType w:val="hybridMultilevel"/>
    <w:tmpl w:val="37C00E8E"/>
    <w:lvl w:ilvl="0" w:tplc="D49AD2F8">
      <w:start w:val="1"/>
      <w:numFmt w:val="bullet"/>
      <w:lvlText w:val="●"/>
      <w:lvlJc w:val="left"/>
      <w:pPr>
        <w:ind w:left="720" w:hanging="360"/>
      </w:pPr>
    </w:lvl>
    <w:lvl w:ilvl="1" w:tplc="0674E900">
      <w:start w:val="1"/>
      <w:numFmt w:val="bullet"/>
      <w:lvlText w:val="○"/>
      <w:lvlJc w:val="left"/>
      <w:pPr>
        <w:ind w:left="1440" w:hanging="360"/>
      </w:pPr>
    </w:lvl>
    <w:lvl w:ilvl="2" w:tplc="356A769C">
      <w:start w:val="1"/>
      <w:numFmt w:val="bullet"/>
      <w:lvlText w:val="■"/>
      <w:lvlJc w:val="left"/>
      <w:pPr>
        <w:ind w:left="2160" w:hanging="360"/>
      </w:pPr>
    </w:lvl>
    <w:lvl w:ilvl="3" w:tplc="BB541262">
      <w:start w:val="1"/>
      <w:numFmt w:val="bullet"/>
      <w:lvlText w:val="●"/>
      <w:lvlJc w:val="left"/>
      <w:pPr>
        <w:ind w:left="2880" w:hanging="360"/>
      </w:pPr>
    </w:lvl>
    <w:lvl w:ilvl="4" w:tplc="AEC8B486">
      <w:start w:val="1"/>
      <w:numFmt w:val="bullet"/>
      <w:lvlText w:val="○"/>
      <w:lvlJc w:val="left"/>
      <w:pPr>
        <w:ind w:left="3600" w:hanging="360"/>
      </w:pPr>
    </w:lvl>
    <w:lvl w:ilvl="5" w:tplc="22687A3C">
      <w:start w:val="1"/>
      <w:numFmt w:val="bullet"/>
      <w:lvlText w:val="■"/>
      <w:lvlJc w:val="left"/>
      <w:pPr>
        <w:ind w:left="4320" w:hanging="360"/>
      </w:pPr>
    </w:lvl>
    <w:lvl w:ilvl="6" w:tplc="DB04C828">
      <w:start w:val="1"/>
      <w:numFmt w:val="bullet"/>
      <w:lvlText w:val="●"/>
      <w:lvlJc w:val="left"/>
      <w:pPr>
        <w:ind w:left="5040" w:hanging="360"/>
      </w:pPr>
    </w:lvl>
    <w:lvl w:ilvl="7" w:tplc="47841068">
      <w:start w:val="1"/>
      <w:numFmt w:val="bullet"/>
      <w:lvlText w:val="●"/>
      <w:lvlJc w:val="left"/>
      <w:pPr>
        <w:ind w:left="5760" w:hanging="360"/>
      </w:pPr>
    </w:lvl>
    <w:lvl w:ilvl="8" w:tplc="A89A99E2">
      <w:start w:val="1"/>
      <w:numFmt w:val="bullet"/>
      <w:lvlText w:val="●"/>
      <w:lvlJc w:val="left"/>
      <w:pPr>
        <w:ind w:left="6480" w:hanging="360"/>
      </w:pPr>
    </w:lvl>
  </w:abstractNum>
  <w:num w:numId="1" w16cid:durableId="1639265476">
    <w:abstractNumId w:val="1"/>
    <w:lvlOverride w:ilvl="0">
      <w:startOverride w:val="1"/>
    </w:lvlOverride>
  </w:num>
  <w:num w:numId="2" w16cid:durableId="1183596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4EA"/>
    <w:rsid w:val="006174EA"/>
    <w:rsid w:val="00BE63FD"/>
    <w:rsid w:val="00CC5961"/>
    <w:rsid w:val="00C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6F744"/>
  <w15:docId w15:val="{5E369A0C-A70F-409C-8971-3DDC29949BE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626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5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961"/>
  </w:style>
  <w:style w:type="paragraph" w:styleId="Footer">
    <w:name w:val="footer"/>
    <w:basedOn w:val="Normal"/>
    <w:link w:val="FooterChar"/>
    <w:uiPriority w:val="99"/>
    <w:unhideWhenUsed/>
    <w:rsid w:val="00CC5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03_Hotarare_AGA_prelungire_imprumut.docx</dc:title>
  <dc:creator>AiALL S.R.L. · smartBIZ Copilot</dc:creator>
  <dc:description>Situații financiare 2025</dc:description>
  <cp:lastModifiedBy>Gheorghe SANDRU</cp:lastModifiedBy>
  <cp:revision>3</cp:revision>
  <dcterms:created xsi:type="dcterms:W3CDTF">2026-07-11T06:21:00Z</dcterms:created>
  <dcterms:modified xsi:type="dcterms:W3CDTF">2026-07-17T14:40:00Z</dcterms:modified>
</cp:coreProperties>
</file>