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80" w:after="140"/>
        <w:rPr>
          <w:lang w:val="ro-RO"/>
        </w:rPr>
      </w:pPr>
      <w:r>
        <w:rPr>
          <w:b/>
          <w:bCs/>
          <w:color w:val="404040"/>
          <w:sz w:val="30"/>
          <w:szCs w:val="30"/>
          <w:lang w:val="ro-RO"/>
        </w:rPr>
        <w:t>HOTĂRÂREA ADUNĂRII GENERALE A ASOCIAȚILOR</w:t>
      </w:r>
    </w:p>
    <w:p>
      <w:pPr>
        <w:spacing w:after="80"/>
        <w:rPr>
          <w:lang w:val="ro-RO"/>
        </w:rPr>
      </w:pPr>
      <w:r>
        <w:rPr>
          <w:b/>
          <w:bCs/>
          <w:color w:val="595959"/>
          <w:sz w:val="22"/>
          <w:szCs w:val="22"/>
          <w:lang w:val="ro-RO"/>
        </w:rPr>
        <w:t>nr. |~HotarareNumar~| din |~DataSemnareActAditional2~|</w:t>
      </w:r>
    </w:p>
    <w:p>
      <w:pPr>
        <w:pBdr>
          <w:top w:val="single" w:sz="2" w:space="1" w:color="000000" w:themeColor="text1"/>
        </w:pBdr>
        <w:spacing w:before="40" w:after="300"/>
        <w:rPr>
          <w:lang w:val="ro-RO"/>
        </w:rPr>
      </w:pPr>
      <w:r/>
    </w:p>
    <w:p>
      <w:pPr>
        <w:keepLines w:val="0"/>
        <w:spacing w:before="0" w:after="90" w:line="276" w:lineRule="auto"/>
        <w:ind w:left="360"/>
        <w:jc w:val="both"/>
      </w:pPr>
      <w:r>
        <w:t>Subsemnații:</w:t>
      </w:r>
    </w:p>
    <w:p>
      <w:pPr>
        <w:keepLines/>
        <w:spacing w:before="0" w:after="90" w:line="288" w:lineRule="auto"/>
        <w:ind w:left="605" w:hanging="245"/>
        <w:jc w:val="both"/>
      </w:pPr>
      <w:r>
        <w:t xml:space="preserve">•  </w:t>
      </w:r>
      <w:r>
        <w:rPr>
          <w:b/>
        </w:rPr>
        <w:t>|~Asociat1Nume~|</w:t>
      </w:r>
      <w:r>
        <w:t>, cetățean român, domiciliat în |~Asociat1Adresa~|, identificat cu |~Asociat1ActIdentitate~|, CNP |~Asociat1CNP~|;</w:t>
      </w:r>
    </w:p>
    <w:p>
      <w:pPr>
        <w:keepLines/>
        <w:spacing w:before="0" w:after="90" w:line="288" w:lineRule="auto"/>
        <w:ind w:left="605" w:hanging="245"/>
        <w:jc w:val="both"/>
      </w:pPr>
      <w:r>
        <w:t xml:space="preserve">•  </w:t>
      </w:r>
      <w:r>
        <w:rPr>
          <w:b/>
        </w:rPr>
        <w:t>|~Asociat2Nume~|</w:t>
      </w:r>
      <w:r>
        <w:t>, cetățean român, domiciliat în |~Asociat2Adresa~|, identificat cu |~Asociat2ActIdentitate~|, CNP |~Asociat2CNP~|;</w:t>
      </w:r>
    </w:p>
    <w:p>
      <w:pPr>
        <w:keepLines w:val="0"/>
        <w:spacing w:before="90" w:after="50" w:line="276" w:lineRule="auto"/>
        <w:ind w:left="360"/>
      </w:pPr>
      <w:r>
        <w:rPr>
          <w:b/>
        </w:rPr>
        <w:t xml:space="preserve">în calitate de: </w:t>
      </w:r>
      <w:r>
        <w:rPr>
          <w:b/>
        </w:rPr>
        <w:t>asociați ai |~CompanieNume~|,</w:t>
      </w:r>
    </w:p>
    <w:p>
      <w:pPr>
        <w:keepLines w:val="0"/>
        <w:spacing w:before="0" w:after="26" w:line="276" w:lineRule="auto"/>
        <w:ind w:left="893" w:hanging="288"/>
      </w:pPr>
      <w:r>
        <w:t xml:space="preserve">❖  </w:t>
      </w:r>
      <w:r>
        <w:t>cu sediul în |~CompanieAdresa~|;</w:t>
      </w:r>
    </w:p>
    <w:p>
      <w:pPr>
        <w:keepLines w:val="0"/>
        <w:spacing w:before="0" w:after="26" w:line="276" w:lineRule="auto"/>
        <w:ind w:left="893" w:hanging="288"/>
      </w:pPr>
      <w:r>
        <w:t xml:space="preserve">❖  </w:t>
      </w:r>
      <w:r>
        <w:t>CUI |~CompanieCUI~|; nr. RC |~CompanieNrRC~|;</w:t>
      </w:r>
    </w:p>
    <w:p>
      <w:pPr>
        <w:keepLines w:val="0"/>
        <w:spacing w:before="40" w:after="90" w:line="276" w:lineRule="auto"/>
        <w:ind w:left="360"/>
      </w:pPr>
      <w:r>
        <w:rPr>
          <w:b/>
        </w:rPr>
        <w:t xml:space="preserve">reprezentând: </w:t>
      </w:r>
      <w:r>
        <w:t>100% din capitalul social al Societății, în cotele |~Asociat1Cota~| și |~Asociat2Cota~|;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în conformitate cu: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prerogativele conferite prin Actul Constitutiv;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prevederile Legii nr. 31/1990 privind societățile, republicată, cu modificările și completările ulterioare;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i/>
        </w:rPr>
        <w:t>documentele de organizare și funcționare ale Societății;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declară că: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renunță, de comun acord, la formalitățile de convocare;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i/>
        </w:rPr>
        <w:t>Adunarea este legal și statutar constituită, iar hotărârile sunt adoptate în unanimitate;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și având în vedere: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Nota explicativă nr. |~NotaExplicativaNumar~|/|~DataSemnareActAditional2~| privind realitatea economică a finanțării capitalului de lucru, stocurilor și creanțelor comerciale;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contractele |~Contract1Numar~| și |~Contract2Numar~|, astfel cum au fost prelungite prin Actele adiționale nr. 1;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necesitatea înlocuirii remunerării economice implicite a resurselor financiare menținute pe termen lung cu o dobândă explicită, transparentă și verificabilă;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rata dobânzii de politică monetară stabilită de Banca Națională a României și mecanismul de actualizare la fiecare modificare oficială;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b/>
        </w:rPr>
        <w:t>fișele contului 4551 și procesul-verbal de reconciliere a soldului la |~DataEfecteDobanda~|;</w:t>
      </w:r>
    </w:p>
    <w:p>
      <w:pPr>
        <w:spacing w:before="100" w:after="200"/>
        <w:jc w:val="center"/>
        <w:rPr>
          <w:lang w:val="ro-RO"/>
        </w:rPr>
      </w:pPr>
      <w:r>
        <w:rPr>
          <w:b/>
          <w:bCs/>
          <w:color w:val="404040"/>
          <w:sz w:val="26"/>
          <w:szCs w:val="26"/>
          <w:lang w:val="ro-RO"/>
        </w:rPr>
        <w:t>H O T Ă R Ă Ș T E :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Aprobarea Actelor adiționale nr. 2</w:t>
      </w:r>
    </w:p>
    <w:p>
      <w:pPr>
        <w:keepLines/>
        <w:spacing w:before="0" w:after="100" w:line="276" w:lineRule="auto"/>
        <w:ind w:left="360"/>
        <w:jc w:val="both"/>
      </w:pPr>
      <w:r>
        <w:t>Se aprobă încheierea Actelor adiționale nr. 2 la contractele |~Contract1Numar~| și |~Contract2Numar~|. Actele se semnează la |~DataSemnareActAditional2~| și produc efecte exclusiv pentru perioada începând cu |~DataEfecteDobanda~|.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Stabilirea dobânzii variabile la nivelul ratei BNR</w:t>
      </w:r>
    </w:p>
    <w:p>
      <w:pPr>
        <w:keepLines/>
        <w:spacing w:before="0" w:after="100" w:line="276" w:lineRule="auto"/>
        <w:ind w:left="360"/>
        <w:jc w:val="both"/>
      </w:pPr>
      <w:r>
        <w:t>Începând cu |~DataEfecteDobanda~|, principalul efectiv rămas de restituit este purtător de dobândă variabilă egală, pentru fiecare zi, cu rata dobânzii de referință a BNR, înțeleasă ca rata dobânzii de politică monetară valabilă la data respectivă. La data efectelor, rata aplicabilă este |~RataBNRLaData~| pe an.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Calculul și recunoașterea trimestrială a dobânzii</w:t>
      </w:r>
    </w:p>
    <w:p>
      <w:pPr>
        <w:keepLines/>
        <w:spacing w:before="0" w:after="100" w:line="276" w:lineRule="auto"/>
        <w:ind w:left="360"/>
        <w:jc w:val="both"/>
      </w:pPr>
      <w:r>
        <w:t>Dobânda se calculează zilnic la sold, potrivit convenției Actual/365, și se recunoaște trimestrial. Dobânda nu se capitalizează automat. Fiecare modificare oficială a ratei BNR se aplică din data intrării sale în vigoare, iar perioada de calcul se fragmentează în subperioade corespunzătoare ratelor succesive.</w:t>
      </w:r>
    </w:p>
    <w:p>
      <w:pPr>
        <w:keepLines/>
        <w:spacing w:before="0" w:after="100" w:line="276" w:lineRule="auto"/>
        <w:ind w:left="360"/>
        <w:jc w:val="both"/>
      </w:pPr>
      <w:r>
        <w:t>Perioada anterioară datei de |~DataEfecteDobanda~| rămâne fără dobândă și nu este recalculată retroactiv.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Soldul de bază pentru calculul dobânzii</w:t>
      </w:r>
    </w:p>
    <w:p>
      <w:pPr>
        <w:keepLines/>
        <w:spacing w:before="0" w:after="100" w:line="276" w:lineRule="auto"/>
        <w:ind w:left="360"/>
        <w:jc w:val="both"/>
      </w:pPr>
      <w:r>
        <w:t>Pentru calculul inițial se utilizează soldul reconciliat de |~SoldReconciliat~| lei. Soldul de deschidere nereconciliat de |~SoldDeschidereNereconciliat~| lei nu se utilizează până la clarificarea și documentarea diferențelor.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Rambursări anticipate și eventuale cesiuni de creanță</w:t>
      </w:r>
    </w:p>
    <w:p>
      <w:pPr>
        <w:keepLines/>
        <w:spacing w:before="0" w:after="100" w:line="276" w:lineRule="auto"/>
        <w:ind w:left="360"/>
        <w:jc w:val="both"/>
      </w:pPr>
      <w:r>
        <w:t>Rambursările anticipate se pot efectua la cererea scrisă a creditorului, fără comision, după verificarea lichidității Societății, a activului net și a celorlalte condiții legale aplicabile. Orice stingere prin cesiune de creanță se aprobă separat și se realizează numai pe baza unei valori justificate, a documentelor creanței și a analizei contabile și fiscale aferente.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Mandatele pentru semnarea actelor adiționale</w:t>
      </w:r>
    </w:p>
    <w:p>
      <w:pPr>
        <w:keepLines/>
        <w:spacing w:before="0" w:after="100" w:line="276" w:lineRule="auto"/>
        <w:ind w:left="360"/>
        <w:jc w:val="both"/>
      </w:pPr>
      <w:r>
        <w:t>Se mențin mandatele de reprezentare stabilite pentru semnarea documentelor în raport cu fiecare creditor, astfel încât aceeași persoană să nu semneze același act în ambele calități.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Intrarea în vigoare și documentarea operațiunii</w:t>
      </w:r>
    </w:p>
    <w:p>
      <w:pPr>
        <w:keepLines/>
        <w:spacing w:before="0" w:after="100" w:line="276" w:lineRule="auto"/>
        <w:ind w:left="360"/>
        <w:jc w:val="both"/>
      </w:pPr>
      <w:r>
        <w:t>Prezenta hotărâre produce efecte de la |~DataEfecteDobanda~| și se păstrează împreună cu Nota explicativă, contractele și actele adiționale, registrul ratelor BNR, calculele trimestriale, fișele contabile și procesele-verbale de reconciliere.</w:t>
      </w:r>
    </w:p>
    <w:p>
      <w:pPr>
        <w:keepLines/>
        <w:spacing w:before="40" w:after="160" w:line="276" w:lineRule="auto"/>
        <w:ind w:left="360"/>
        <w:jc w:val="both"/>
      </w:pPr>
      <w:r>
        <w:t>Prezenta hotărâre a fost întocmită în 4 (patru) exemplare originale, în limba română, câte unul pentru fiecare asociat, unul pentru Societate și unul pentru evidența financiar-contabilă.</w:t>
      </w:r>
    </w:p>
    <w:tbl>
      <w:tblPr>
        <w:tblW w:w="9200" w:type="dxa"/>
        <w:tblInd w:w="3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174EA" w:rsidRPr="00CC5961" w14:paraId="0F5626E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60" w:type="dxa"/>
              <w:right w:w="60" w:type="dxa"/>
            </w:tcMar>
          </w:tcPr>
          <w:p w14:paraId="2D040665" w14:textId="77777777" w:rsidR="006174EA" w:rsidRPr="00CC5961" w:rsidRDefault="00000000">
            <w:pPr>
              <w:spacing w:after="20"/>
              <w:rPr>
                <w:lang w:val="ro-RO"/>
              </w:rPr>
            </w:pPr>
            <w:r>
              <w:rPr>
                <w:b/>
              </w:rPr>
              <w:t>Asociat,</w:t>
            </w:r>
          </w:p>
          <w:p w14:paraId="0E761B53" w14:textId="77777777" w:rsidR="006174EA" w:rsidRPr="00CC5961" w:rsidRDefault="00000000">
            <w:pPr>
              <w:spacing w:after="40"/>
              <w:rPr>
                <w:lang w:val="ro-RO"/>
              </w:rPr>
            </w:pPr>
            <w:r>
              <w:t>|~Asociat1Nume~|</w:t>
            </w:r>
          </w:p>
          <w:p w14:paraId="6402EF54" w14:textId="77777777" w:rsidR="006174EA" w:rsidRPr="00CC5961" w:rsidRDefault="00000000">
            <w:pPr>
              <w:spacing w:before="280"/>
              <w:rPr>
                <w:lang w:val="ro-RO"/>
              </w:rPr>
            </w:pPr>
            <w:r>
              <w:rPr>
                <w:color w:val="767171"/>
                <w:sz w:val="16"/>
              </w:rPr>
              <w:t>____________________</w:t>
            </w:r>
            <w:r>
              <w:rPr>
                <w:color w:val="808080"/>
                <w:sz w:val="16"/>
              </w:rPr>
              <w:t xml:space="preserve">   Data: |~DataSemnareActAditional2~|</w:t>
            </w:r>
          </w:p>
        </w:tc>
        <w:tc>
          <w:tcPr>
            <w:tcW w:w="4600" w:type="dxa"/>
            <w:tcMar>
              <w:top w:w="60" w:type="dxa"/>
              <w:left w:w="60" w:type="dxa"/>
              <w:right w:w="60" w:type="dxa"/>
            </w:tcMar>
          </w:tcPr>
          <w:p w14:paraId="5FA461D9" w14:textId="77777777" w:rsidR="006174EA" w:rsidRPr="00CC5961" w:rsidRDefault="00000000">
            <w:pPr>
              <w:spacing w:after="20"/>
              <w:rPr>
                <w:lang w:val="ro-RO"/>
              </w:rPr>
            </w:pPr>
            <w:r>
              <w:rPr>
                <w:b/>
              </w:rPr>
              <w:t>Asociat,</w:t>
            </w:r>
          </w:p>
          <w:p w14:paraId="404AB718" w14:textId="77777777" w:rsidR="006174EA" w:rsidRPr="00CC5961" w:rsidRDefault="00000000">
            <w:pPr>
              <w:spacing w:after="40"/>
              <w:rPr>
                <w:lang w:val="ro-RO"/>
              </w:rPr>
            </w:pPr>
            <w:r>
              <w:t>|~Asociat2Nume~|</w:t>
            </w:r>
          </w:p>
          <w:p w14:paraId="0D5EF7D4" w14:textId="77777777" w:rsidR="006174EA" w:rsidRPr="00CC5961" w:rsidRDefault="00000000">
            <w:pPr>
              <w:spacing w:before="280"/>
              <w:rPr>
                <w:lang w:val="ro-RO"/>
              </w:rPr>
            </w:pPr>
            <w:r>
              <w:rPr>
                <w:color w:val="767171"/>
                <w:sz w:val="16"/>
              </w:rPr>
              <w:t>____________________</w:t>
            </w:r>
            <w:r>
              <w:rPr>
                <w:color w:val="808080"/>
                <w:sz w:val="16"/>
              </w:rPr>
              <w:t xml:space="preserve">   Data: |~DataSemnareActAditional2~|</w:t>
            </w:r>
          </w:p>
        </w:tc>
      </w:tr>
    </w:tbl>
    <w:sectPr w:rsidR="00CC7C4F" w:rsidRPr="00CC59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907" w:bottom="709" w:left="1080" w:header="288" w:footer="31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5032" w14:textId="77777777" w:rsidR="00CC7C4F" w:rsidRDefault="00CC7C4F">
      <w:r>
        <w:separator/>
      </w:r>
    </w:p>
  </w:endnote>
  <w:endnote w:type="continuationSeparator" w:id="0">
    <w:p w14:paraId="35D5D2D9" w14:textId="77777777" w:rsidR="00CC7C4F" w:rsidRDefault="00CC7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5572" w14:textId="77777777" w:rsidR="00CC5961" w:rsidRDefault="00CC5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8029" w14:textId="77777777" w:rsidR="006174EA" w:rsidRDefault="006174EA">
    <w:pPr>
      <w:pBdr>
        <w:top w:val="single" w:sz="4" w:space="3" w:color="404040"/>
      </w:pBdr>
      <w:spacing w:before="120" w:line="60" w:lineRule="auto"/>
      <w:ind w:right="4960"/>
    </w:pPr>
  </w:p>
  <w:p w14:paraId="107D973D" w14:textId="77777777" w:rsidR="006174EA" w:rsidRDefault="00000000">
    <w:pPr>
      <w:tabs>
        <w:tab w:val="right" w:pos="9840"/>
      </w:tabs>
      <w:spacing w:before="30" w:line="200" w:lineRule="auto"/>
    </w:pPr>
    <w:r>
      <w:fldChar w:fldCharType="begin"/>
    </w:r>
    <w:r>
      <w:instrText>DOCPROPERTY Title \* MERGEFORMAT</w:instrText>
    </w:r>
    <w:r>
      <w:fldChar w:fldCharType="separate"/>
    </w:r>
    <w:r>
      <w:rPr>
        <w:color w:val="808080"/>
        <w:sz w:val="13"/>
        <w:szCs w:val="13"/>
      </w:rPr>
      <w:t>202512_FSA-A5 @MTM_18235662 ^</w:t>
    </w:r>
    <w:proofErr w:type="spellStart"/>
    <w:r>
      <w:rPr>
        <w:color w:val="808080"/>
        <w:sz w:val="13"/>
        <w:szCs w:val="13"/>
      </w:rPr>
      <w:t>Hotarare</w:t>
    </w:r>
    <w:proofErr w:type="spellEnd"/>
    <w:r>
      <w:rPr>
        <w:color w:val="808080"/>
        <w:sz w:val="13"/>
        <w:szCs w:val="13"/>
      </w:rPr>
      <w:t xml:space="preserve"> AGA.docx</w:t>
    </w:r>
    <w:r>
      <w:rPr>
        <w:color w:val="808080"/>
        <w:sz w:val="13"/>
        <w:szCs w:val="13"/>
      </w:rPr>
      <w:fldChar w:fldCharType="end"/>
    </w:r>
    <w:r>
      <w:tab/>
    </w:r>
    <w:r>
      <w:rPr>
        <w:color w:val="808080"/>
        <w:sz w:val="13"/>
        <w:szCs w:val="13"/>
      </w:rPr>
      <w:t xml:space="preserve">Pag.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PAGE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  <w:r>
      <w:rPr>
        <w:color w:val="808080"/>
        <w:sz w:val="13"/>
        <w:szCs w:val="13"/>
      </w:rPr>
      <w:t xml:space="preserve"> /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NUMPAGES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9B1D" w14:textId="77777777" w:rsidR="006174EA" w:rsidRDefault="006174EA">
    <w:pPr>
      <w:pBdr>
        <w:top w:val="single" w:sz="4" w:space="3" w:color="404040"/>
      </w:pBdr>
      <w:spacing w:before="120" w:line="60" w:lineRule="auto"/>
      <w:ind w:right="4960"/>
    </w:pPr>
  </w:p>
  <w:p w14:paraId="495D78AF" w14:textId="77777777" w:rsidR="006174EA" w:rsidRDefault="00000000">
    <w:pPr>
      <w:tabs>
        <w:tab w:val="right" w:pos="9840"/>
      </w:tabs>
      <w:spacing w:before="30" w:line="200" w:lineRule="auto"/>
    </w:pPr>
    <w:r>
      <w:fldChar w:fldCharType="begin"/>
    </w:r>
    <w:r>
      <w:instrText>DOCPROPERTY Title \* MERGEFORMAT</w:instrText>
    </w:r>
    <w:r>
      <w:fldChar w:fldCharType="separate"/>
    </w:r>
    <w:r>
      <w:rPr>
        <w:color w:val="808080"/>
        <w:sz w:val="13"/>
        <w:szCs w:val="13"/>
      </w:rPr>
      <w:t>202512_FSA-A5 @MTM_18235662 ^</w:t>
    </w:r>
    <w:proofErr w:type="spellStart"/>
    <w:r>
      <w:rPr>
        <w:color w:val="808080"/>
        <w:sz w:val="13"/>
        <w:szCs w:val="13"/>
      </w:rPr>
      <w:t>Hotarare</w:t>
    </w:r>
    <w:proofErr w:type="spellEnd"/>
    <w:r>
      <w:rPr>
        <w:color w:val="808080"/>
        <w:sz w:val="13"/>
        <w:szCs w:val="13"/>
      </w:rPr>
      <w:t xml:space="preserve"> AGA.docx</w:t>
    </w:r>
    <w:r>
      <w:rPr>
        <w:color w:val="808080"/>
        <w:sz w:val="13"/>
        <w:szCs w:val="13"/>
      </w:rPr>
      <w:fldChar w:fldCharType="end"/>
    </w:r>
    <w:r>
      <w:tab/>
    </w:r>
    <w:r>
      <w:rPr>
        <w:color w:val="808080"/>
        <w:sz w:val="13"/>
        <w:szCs w:val="13"/>
      </w:rPr>
      <w:t xml:space="preserve">Pag.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PAGE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1</w:t>
    </w:r>
    <w:r>
      <w:rPr>
        <w:color w:val="808080"/>
        <w:sz w:val="13"/>
        <w:szCs w:val="13"/>
      </w:rPr>
      <w:fldChar w:fldCharType="end"/>
    </w:r>
    <w:r>
      <w:rPr>
        <w:color w:val="808080"/>
        <w:sz w:val="13"/>
        <w:szCs w:val="13"/>
      </w:rPr>
      <w:t xml:space="preserve"> /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NUMPAGES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54B9" w14:textId="77777777" w:rsidR="00CC7C4F" w:rsidRDefault="00CC7C4F">
      <w:r>
        <w:separator/>
      </w:r>
    </w:p>
  </w:footnote>
  <w:footnote w:type="continuationSeparator" w:id="0">
    <w:p w14:paraId="640CF7FF" w14:textId="77777777" w:rsidR="00CC7C4F" w:rsidRDefault="00CC7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EE52" w14:textId="77777777" w:rsidR="00CC5961" w:rsidRDefault="00CC5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89F7" w14:textId="77777777" w:rsidR="006174EA" w:rsidRDefault="00000000">
    <w:pPr>
      <w:spacing w:line="240" w:lineRule="auto"/>
    </w:pPr>
    <w:r>
      <w:rPr>
        <w:b/>
        <w:color w:val="404040"/>
      </w:rPr>
      <w:t>|~CompanieNume~|</w:t>
    </w:r>
  </w:p>
  <w:p w14:paraId="6CF3A21E" w14:textId="77777777" w:rsidR="006174EA" w:rsidRDefault="006174EA">
    <w:pPr>
      <w:pBdr>
        <w:bottom w:val="single" w:sz="4" w:space="3" w:color="404040"/>
      </w:pBdr>
      <w:spacing w:after="120" w:line="60" w:lineRule="auto"/>
      <w:ind w:right="4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1CBC" w14:textId="77777777" w:rsidR="006174EA" w:rsidRDefault="00000000">
    <w:pPr>
      <w:spacing w:after="0" w:line="240" w:lineRule="auto"/>
    </w:pPr>
    <w:r>
      <w:rPr>
        <w:b/>
        <w:color w:val="404040"/>
        <w:sz w:val="26"/>
      </w:rPr>
      <w:t>|~CompanieNume~|</w:t>
    </w:r>
    <w:r>
      <w:rPr>
        <w:color w:val="808080"/>
        <w:sz w:val="16"/>
      </w:rPr>
      <w:t xml:space="preserve">  („Societatea”)</w:t>
    </w:r>
  </w:p>
  <w:p w14:paraId="2F120794" w14:textId="77777777" w:rsidR="006174EA" w:rsidRDefault="00000000">
    <w:pPr>
      <w:spacing w:after="30" w:line="240" w:lineRule="auto"/>
    </w:pPr>
    <w:r>
      <w:rPr>
        <w:color w:val="808080"/>
        <w:sz w:val="14"/>
      </w:rPr>
      <w:t>CUI: |~CompanieCUI~|   •   |~CompanieAdresa~|</w:t>
    </w:r>
  </w:p>
  <w:p w14:paraId="61B983D8" w14:textId="77777777" w:rsidR="006174EA" w:rsidRDefault="006174EA" w:rsidP="00CC5961">
    <w:pPr>
      <w:pBdr>
        <w:top w:val="single" w:sz="4" w:space="1" w:color="000000" w:themeColor="text1"/>
      </w:pBdr>
      <w:spacing w:after="120" w:line="60" w:lineRule="auto"/>
      <w:ind w:right="4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7B97"/>
    <w:multiLevelType w:val="hybridMultilevel"/>
    <w:tmpl w:val="5464EB3C"/>
    <w:lvl w:ilvl="0" w:tplc="FA6466CE">
      <w:start w:val="1"/>
      <w:numFmt w:val="decimal"/>
      <w:lvlText w:val="%1."/>
      <w:lvlJc w:val="left"/>
      <w:pPr>
        <w:ind w:left="357" w:hanging="357"/>
      </w:pPr>
      <w:rPr>
        <w:rFonts w:ascii="Aptos" w:eastAsia="Aptos" w:hAnsi="Aptos" w:cs="Aptos"/>
        <w:b/>
        <w:bCs/>
        <w:color w:val="404040"/>
      </w:rPr>
    </w:lvl>
    <w:lvl w:ilvl="1" w:tplc="5DA87D62">
      <w:numFmt w:val="decimal"/>
      <w:lvlText w:val=""/>
      <w:lvlJc w:val="left"/>
    </w:lvl>
    <w:lvl w:ilvl="2" w:tplc="AB16DF1A">
      <w:numFmt w:val="decimal"/>
      <w:lvlText w:val=""/>
      <w:lvlJc w:val="left"/>
    </w:lvl>
    <w:lvl w:ilvl="3" w:tplc="70E20A14">
      <w:numFmt w:val="decimal"/>
      <w:lvlText w:val=""/>
      <w:lvlJc w:val="left"/>
    </w:lvl>
    <w:lvl w:ilvl="4" w:tplc="EC94AC86">
      <w:numFmt w:val="decimal"/>
      <w:lvlText w:val=""/>
      <w:lvlJc w:val="left"/>
    </w:lvl>
    <w:lvl w:ilvl="5" w:tplc="1338C0A6">
      <w:numFmt w:val="decimal"/>
      <w:lvlText w:val=""/>
      <w:lvlJc w:val="left"/>
    </w:lvl>
    <w:lvl w:ilvl="6" w:tplc="3A5A0CB6">
      <w:numFmt w:val="decimal"/>
      <w:lvlText w:val=""/>
      <w:lvlJc w:val="left"/>
    </w:lvl>
    <w:lvl w:ilvl="7" w:tplc="F2101556">
      <w:numFmt w:val="decimal"/>
      <w:lvlText w:val=""/>
      <w:lvlJc w:val="left"/>
    </w:lvl>
    <w:lvl w:ilvl="8" w:tplc="E4121AC8">
      <w:numFmt w:val="decimal"/>
      <w:lvlText w:val=""/>
      <w:lvlJc w:val="left"/>
    </w:lvl>
  </w:abstractNum>
  <w:abstractNum w:abstractNumId="1" w15:restartNumberingAfterBreak="0">
    <w:nsid w:val="55E73934"/>
    <w:multiLevelType w:val="hybridMultilevel"/>
    <w:tmpl w:val="37C00E8E"/>
    <w:lvl w:ilvl="0" w:tplc="D49AD2F8">
      <w:start w:val="1"/>
      <w:numFmt w:val="bullet"/>
      <w:lvlText w:val="●"/>
      <w:lvlJc w:val="left"/>
      <w:pPr>
        <w:ind w:left="720" w:hanging="360"/>
      </w:pPr>
    </w:lvl>
    <w:lvl w:ilvl="1" w:tplc="0674E900">
      <w:start w:val="1"/>
      <w:numFmt w:val="bullet"/>
      <w:lvlText w:val="○"/>
      <w:lvlJc w:val="left"/>
      <w:pPr>
        <w:ind w:left="1440" w:hanging="360"/>
      </w:pPr>
    </w:lvl>
    <w:lvl w:ilvl="2" w:tplc="356A769C">
      <w:start w:val="1"/>
      <w:numFmt w:val="bullet"/>
      <w:lvlText w:val="■"/>
      <w:lvlJc w:val="left"/>
      <w:pPr>
        <w:ind w:left="2160" w:hanging="360"/>
      </w:pPr>
    </w:lvl>
    <w:lvl w:ilvl="3" w:tplc="BB541262">
      <w:start w:val="1"/>
      <w:numFmt w:val="bullet"/>
      <w:lvlText w:val="●"/>
      <w:lvlJc w:val="left"/>
      <w:pPr>
        <w:ind w:left="2880" w:hanging="360"/>
      </w:pPr>
    </w:lvl>
    <w:lvl w:ilvl="4" w:tplc="AEC8B486">
      <w:start w:val="1"/>
      <w:numFmt w:val="bullet"/>
      <w:lvlText w:val="○"/>
      <w:lvlJc w:val="left"/>
      <w:pPr>
        <w:ind w:left="3600" w:hanging="360"/>
      </w:pPr>
    </w:lvl>
    <w:lvl w:ilvl="5" w:tplc="22687A3C">
      <w:start w:val="1"/>
      <w:numFmt w:val="bullet"/>
      <w:lvlText w:val="■"/>
      <w:lvlJc w:val="left"/>
      <w:pPr>
        <w:ind w:left="4320" w:hanging="360"/>
      </w:pPr>
    </w:lvl>
    <w:lvl w:ilvl="6" w:tplc="DB04C828">
      <w:start w:val="1"/>
      <w:numFmt w:val="bullet"/>
      <w:lvlText w:val="●"/>
      <w:lvlJc w:val="left"/>
      <w:pPr>
        <w:ind w:left="5040" w:hanging="360"/>
      </w:pPr>
    </w:lvl>
    <w:lvl w:ilvl="7" w:tplc="47841068">
      <w:start w:val="1"/>
      <w:numFmt w:val="bullet"/>
      <w:lvlText w:val="●"/>
      <w:lvlJc w:val="left"/>
      <w:pPr>
        <w:ind w:left="5760" w:hanging="360"/>
      </w:pPr>
    </w:lvl>
    <w:lvl w:ilvl="8" w:tplc="A89A99E2">
      <w:start w:val="1"/>
      <w:numFmt w:val="bullet"/>
      <w:lvlText w:val="●"/>
      <w:lvlJc w:val="left"/>
      <w:pPr>
        <w:ind w:left="6480" w:hanging="360"/>
      </w:pPr>
    </w:lvl>
  </w:abstractNum>
  <w:num w:numId="1" w16cid:durableId="1639265476">
    <w:abstractNumId w:val="1"/>
    <w:lvlOverride w:ilvl="0">
      <w:startOverride w:val="1"/>
    </w:lvlOverride>
  </w:num>
  <w:num w:numId="2" w16cid:durableId="1183596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4EA"/>
    <w:rsid w:val="006174EA"/>
    <w:rsid w:val="00BE63FD"/>
    <w:rsid w:val="00CC5961"/>
    <w:rsid w:val="00C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6F744"/>
  <w15:docId w15:val="{5E369A0C-A70F-409C-8971-3DDC29949BE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626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5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961"/>
  </w:style>
  <w:style w:type="paragraph" w:styleId="Footer">
    <w:name w:val="footer"/>
    <w:basedOn w:val="Normal"/>
    <w:link w:val="FooterChar"/>
    <w:uiPriority w:val="99"/>
    <w:unhideWhenUsed/>
    <w:rsid w:val="00CC5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07_Hotarare_AGA_stabilire_dobanda_BNR.docx</dc:title>
  <dc:creator>AiALL S.R.L. · smartBIZ Copilot</dc:creator>
  <dc:description>Situații financiare 2025</dc:description>
  <cp:lastModifiedBy>Gheorghe SANDRU</cp:lastModifiedBy>
  <cp:revision>3</cp:revision>
  <dcterms:created xsi:type="dcterms:W3CDTF">2026-07-11T06:21:00Z</dcterms:created>
  <dcterms:modified xsi:type="dcterms:W3CDTF">2026-07-17T14:40:00Z</dcterms:modified>
</cp:coreProperties>
</file>