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Pr="00B95C40">
        <w:rPr>
          <w:color w:val="000000"/>
          <w:szCs w:val="24"/>
        </w:rPr>
        <w:t xml:space="preserve"> 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</w:rPr>
        <w:t xml:space="preserve">  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DD39BC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</w:rPr>
        <w:t xml:space="preserve">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8"/>
      </w:r>
      <w:r w:rsidR="007D004D" w:rsidRPr="00B95C40">
        <w:rPr>
          <w:color w:val="000000"/>
        </w:rPr>
        <w:t xml:space="preserve">   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8"/>
      </w:r>
    </w:p>
    <w:p w:rsidR="007D004D" w:rsidRPr="00B95C40" w:rsidRDefault="00DD39BC" w:rsidP="00DD39BC">
      <w:pPr>
        <w:ind w:left="709" w:right="-568" w:firstLine="709"/>
        <w:jc w:val="both"/>
        <w:rPr>
          <w:b/>
          <w:color w:val="000000"/>
        </w:rPr>
      </w:pP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2886664</wp:posOffset>
                </wp:positionH>
                <wp:positionV relativeFrom="paragraph">
                  <wp:posOffset>173990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8696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1377517</wp:posOffset>
                </wp:positionH>
                <wp:positionV relativeFrom="paragraph">
                  <wp:posOffset>172999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96A9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1666972</wp:posOffset>
                </wp:positionH>
                <wp:positionV relativeFrom="paragraph">
                  <wp:posOffset>160704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DF28D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9A6E93" w:rsidRPr="00B95C40">
        <w:rPr>
          <w:b/>
          <w:color w:val="000000"/>
        </w:rPr>
        <w:t xml:space="preserve">  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  <w:r w:rsidR="007D004D" w:rsidRPr="00B95C40">
        <w:rPr>
          <w:b/>
          <w:color w:val="000000"/>
        </w:rPr>
        <w:t xml:space="preserve"> </w:t>
      </w:r>
    </w:p>
    <w:p w:rsidR="007D004D" w:rsidRPr="00B95C40" w:rsidRDefault="00DD39BC" w:rsidP="00DD39BC">
      <w:pPr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  <w:lang w:val="en-US"/>
        </w:rPr>
        <w:sym w:font="MT Extra" w:char="F031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2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          </w:t>
      </w:r>
      <w:r w:rsidR="006C330C" w:rsidRPr="00B95C40">
        <w:rPr>
          <w:color w:val="000000"/>
        </w:rPr>
        <w:t xml:space="preserve">  </w:t>
      </w:r>
      <w:r w:rsidR="00DD39BC" w:rsidRPr="001B57A3">
        <w:rPr>
          <w:color w:val="000000"/>
        </w:rPr>
        <w:t xml:space="preserve">          </w:t>
      </w:r>
      <w:r w:rsidR="006C330C" w:rsidRPr="00B95C40">
        <w:rPr>
          <w:color w:val="000000"/>
        </w:rPr>
        <w:t xml:space="preserve"> </w:t>
      </w:r>
      <w:r w:rsidRPr="00B95C40">
        <w:rPr>
          <w:color w:val="000000"/>
        </w:rPr>
        <w:t xml:space="preserve">Программный </w:t>
      </w:r>
    </w:p>
    <w:p w:rsidR="007D004D" w:rsidRPr="00B95C40" w:rsidRDefault="006C330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</w:t>
      </w:r>
      <w:r w:rsidR="000874EA"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Pr="00B95C40">
        <w:rPr>
          <w:color w:val="000000"/>
        </w:rPr>
        <w:tab/>
        <w:t xml:space="preserve">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 </w:t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  <w:r w:rsidR="00313E68" w:rsidRPr="00B95C40">
        <w:rPr>
          <w:color w:val="000000"/>
        </w:rPr>
        <w:t xml:space="preserve"> 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  <w:r w:rsidRPr="00B95C40">
        <w:rPr>
          <w:b/>
          <w:color w:val="000000"/>
        </w:rPr>
        <w:t xml:space="preserve"> 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Pr="00B95C40">
        <w:rPr>
          <w:b/>
          <w:color w:val="000000"/>
        </w:rPr>
        <w:t xml:space="preserve">  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t xml:space="preserve">  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t xml:space="preserve">  </w:t>
      </w:r>
      <w:r w:rsidR="007D004D" w:rsidRPr="00B95C40"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lastRenderedPageBreak/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7D004D" w:rsidRPr="00B95C40">
        <w:t xml:space="preserve"> 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</w:t>
      </w:r>
      <w:r w:rsidRPr="00B95C40">
        <w:t xml:space="preserve"> </w:t>
      </w:r>
      <w:r w:rsidR="007C0060" w:rsidRPr="00B95C40">
        <w:t>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  <w:r w:rsidR="00217065" w:rsidRPr="00B95C40">
        <w:rPr>
          <w:b/>
        </w:rPr>
        <w:t xml:space="preserve">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  <w:r w:rsidR="003C6174" w:rsidRPr="00B95C40">
        <w:rPr>
          <w:b/>
        </w:rPr>
        <w:t xml:space="preserve">   </w:t>
      </w:r>
    </w:p>
    <w:p w:rsidR="00217065" w:rsidRPr="00B95C40" w:rsidRDefault="009A6E93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 xml:space="preserve">  </w:t>
      </w:r>
      <w:r w:rsidR="003C6174" w:rsidRPr="00B95C40">
        <w:rPr>
          <w:b/>
        </w:rPr>
        <w:t>500</w:t>
      </w:r>
      <w:r w:rsidR="003C6174"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</w:t>
      </w:r>
      <w:r w:rsidR="004B5BE8" w:rsidRPr="001B57A3">
        <w:t xml:space="preserve">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4B5BE8" w:rsidP="0025554B">
      <w:pPr>
        <w:pStyle w:val="a7"/>
        <w:spacing w:line="192" w:lineRule="auto"/>
        <w:ind w:left="709" w:right="-427"/>
      </w:pPr>
      <w:r w:rsidRPr="001B57A3">
        <w:t xml:space="preserve">                                   </w:t>
      </w:r>
      <w:r w:rsidR="00071070" w:rsidRPr="00B95C40">
        <w:rPr>
          <w:b/>
          <w:lang w:val="en-US"/>
        </w:rPr>
        <w:t>UTIL</w:t>
      </w:r>
      <w:r w:rsidR="00071070" w:rsidRPr="001B57A3">
        <w:rPr>
          <w:b/>
        </w:rPr>
        <w:t>:</w:t>
      </w:r>
      <w:r w:rsidR="00071070" w:rsidRPr="00B95C40">
        <w:rPr>
          <w:b/>
          <w:lang w:val="en-US"/>
        </w:rPr>
        <w:t>BAL</w:t>
      </w:r>
      <w:r w:rsidRPr="001B57A3">
        <w:t xml:space="preserve"> – краткая </w:t>
      </w:r>
      <w:r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Pr="00B95C40">
        <w:t xml:space="preserve"> 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</w:t>
      </w:r>
      <w:r w:rsidR="00AF1768" w:rsidRPr="00B95C40">
        <w:rPr>
          <w:b/>
        </w:rPr>
        <w:t xml:space="preserve">  </w:t>
      </w:r>
      <w:r w:rsidR="00AF1768" w:rsidRPr="00B95C40">
        <w:rPr>
          <w:b/>
          <w:lang w:val="en-US"/>
        </w:rPr>
        <w:t>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t xml:space="preserve"> 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lastRenderedPageBreak/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</w:t>
      </w:r>
      <w:r w:rsidR="00716322" w:rsidRPr="00B95C40">
        <w:rPr>
          <w:b/>
        </w:rPr>
        <w:t xml:space="preserve">  </w:t>
      </w:r>
      <w:r w:rsidR="00716322" w:rsidRPr="00B95C40">
        <w:rPr>
          <w:b/>
          <w:lang w:val="en-US"/>
        </w:rPr>
        <w:t>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</w:rPr>
        <w:t xml:space="preserve"> </w:t>
      </w:r>
      <w:r w:rsidRPr="00B95C40">
        <w:t xml:space="preserve"> 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2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2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</w:rPr>
        <w:t xml:space="preserve"> 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3"/>
      <w:r w:rsidR="00515914" w:rsidRPr="00B95C40">
        <w:rPr>
          <w:rFonts w:ascii="Times New Roman" w:hAnsi="Times New Roman" w:cs="Times New Roman"/>
        </w:rPr>
        <w:t xml:space="preserve"> </w:t>
      </w:r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5C40">
              <w:rPr>
                <w:rFonts w:ascii="Times New Roman" w:hAnsi="Times New Roman" w:cs="Times New Roman"/>
              </w:rPr>
              <w:t>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CE5EC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bookmarkStart w:id="4" w:name="_GoBack"/>
            <w:bookmarkEnd w:id="4"/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{2mV...50mV|0.1V...5V}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отклонения канала в диапазоне от 2 мВ/дел до 20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…500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линии канала по вертикали  в диапазоне от -200 точек до +200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Pr="00B95C40">
              <w:rPr>
                <w:rFonts w:ascii="Times New Roman" w:hAnsi="Times New Roman" w:cs="Times New Roman"/>
                <w:b/>
              </w:rPr>
              <w:t>-200…+200.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синхронизацию: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 xml:space="preserve">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szCs w:val="22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77" w:rsidRDefault="00B36B77">
      <w:pPr>
        <w:pStyle w:val="a7"/>
      </w:pPr>
      <w:r>
        <w:separator/>
      </w:r>
    </w:p>
  </w:endnote>
  <w:endnote w:type="continuationSeparator" w:id="0">
    <w:p w:rsidR="00B36B77" w:rsidRDefault="00B36B77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76503F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77" w:rsidRDefault="00B36B77">
      <w:pPr>
        <w:pStyle w:val="a7"/>
      </w:pPr>
      <w:r>
        <w:separator/>
      </w:r>
    </w:p>
  </w:footnote>
  <w:footnote w:type="continuationSeparator" w:id="0">
    <w:p w:rsidR="00B36B77" w:rsidRDefault="00B36B77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6B77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9202A70C-D4B0-4C6E-9DD5-9243D92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65E92-5534-4EBE-BDCE-BBE3EC28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235</TotalTime>
  <Pages>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9</cp:revision>
  <cp:lastPrinted>2015-06-25T07:52:00Z</cp:lastPrinted>
  <dcterms:created xsi:type="dcterms:W3CDTF">2017-08-31T06:12:00Z</dcterms:created>
  <dcterms:modified xsi:type="dcterms:W3CDTF">2017-08-31T11:36:00Z</dcterms:modified>
</cp:coreProperties>
</file>