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05" w:rsidRDefault="00B2265A">
      <w:pPr>
        <w:pBdr>
          <w:bottom w:val="single" w:sz="6" w:space="1" w:color="auto"/>
        </w:pBdr>
        <w:rPr>
          <w:b/>
        </w:rPr>
      </w:pPr>
      <w:r w:rsidRPr="00B2265A">
        <w:rPr>
          <w:b/>
        </w:rPr>
        <w:t>Les 6 Checklist Theoretisch Kader</w:t>
      </w:r>
    </w:p>
    <w:p w:rsidR="00B2265A" w:rsidRDefault="00B2265A">
      <w:pPr>
        <w:rPr>
          <w:b/>
        </w:rPr>
      </w:pPr>
    </w:p>
    <w:tbl>
      <w:tblPr>
        <w:tblStyle w:val="Tabelraster"/>
        <w:tblW w:w="13994" w:type="dxa"/>
        <w:tblLook w:val="04A0" w:firstRow="1" w:lastRow="0" w:firstColumn="1" w:lastColumn="0" w:noHBand="0" w:noVBand="1"/>
      </w:tblPr>
      <w:tblGrid>
        <w:gridCol w:w="1455"/>
        <w:gridCol w:w="1172"/>
        <w:gridCol w:w="2761"/>
        <w:gridCol w:w="4105"/>
        <w:gridCol w:w="4501"/>
      </w:tblGrid>
      <w:tr w:rsidR="007C18F5" w:rsidRPr="00D76D02" w:rsidTr="007C18F5">
        <w:tc>
          <w:tcPr>
            <w:tcW w:w="1455" w:type="dxa"/>
            <w:vMerge w:val="restart"/>
            <w:shd w:val="clear" w:color="auto" w:fill="C5E0B3" w:themeFill="accent6" w:themeFillTint="66"/>
          </w:tcPr>
          <w:p w:rsidR="007C18F5" w:rsidRDefault="007C18F5" w:rsidP="00E434F7">
            <w:pPr>
              <w:pStyle w:val="Table"/>
              <w:rPr>
                <w:rFonts w:cs="Arial"/>
                <w:lang w:val="en-US"/>
              </w:rPr>
            </w:pPr>
            <w:r>
              <w:rPr>
                <w:rFonts w:cs="Arial"/>
              </w:rPr>
              <w:t>Theoretisch kader</w:t>
            </w:r>
          </w:p>
          <w:p w:rsidR="007C18F5" w:rsidRDefault="007C18F5" w:rsidP="00E434F7">
            <w:pPr>
              <w:pStyle w:val="Table"/>
              <w:rPr>
                <w:rFonts w:cs="Arial"/>
              </w:rPr>
            </w:pPr>
          </w:p>
        </w:tc>
        <w:tc>
          <w:tcPr>
            <w:tcW w:w="1172" w:type="dxa"/>
          </w:tcPr>
          <w:p w:rsidR="007C18F5" w:rsidRDefault="007C18F5" w:rsidP="00E434F7">
            <w:pPr>
              <w:pStyle w:val="Table"/>
              <w:rPr>
                <w:rFonts w:cs="Arial"/>
              </w:rPr>
            </w:pPr>
            <w:r>
              <w:rPr>
                <w:rFonts w:cs="Arial"/>
              </w:rPr>
              <w:t>Criterium</w:t>
            </w:r>
          </w:p>
        </w:tc>
        <w:tc>
          <w:tcPr>
            <w:tcW w:w="2761" w:type="dxa"/>
          </w:tcPr>
          <w:p w:rsidR="007C18F5" w:rsidRDefault="007C18F5" w:rsidP="00E434F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Indicator</w:t>
            </w:r>
          </w:p>
        </w:tc>
        <w:tc>
          <w:tcPr>
            <w:tcW w:w="4105" w:type="dxa"/>
          </w:tcPr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 Projectgroep</w:t>
            </w:r>
          </w:p>
        </w:tc>
        <w:tc>
          <w:tcPr>
            <w:tcW w:w="4501" w:type="dxa"/>
          </w:tcPr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 Docent</w:t>
            </w:r>
          </w:p>
        </w:tc>
      </w:tr>
      <w:tr w:rsidR="007C18F5" w:rsidRPr="00D76D02" w:rsidTr="007C18F5">
        <w:tc>
          <w:tcPr>
            <w:tcW w:w="1455" w:type="dxa"/>
            <w:vMerge/>
            <w:shd w:val="clear" w:color="auto" w:fill="C5E0B3" w:themeFill="accent6" w:themeFillTint="66"/>
          </w:tcPr>
          <w:p w:rsidR="007C18F5" w:rsidRDefault="007C18F5" w:rsidP="00E434F7">
            <w:pPr>
              <w:pStyle w:val="Table"/>
              <w:rPr>
                <w:rFonts w:cs="Arial"/>
              </w:rPr>
            </w:pPr>
          </w:p>
        </w:tc>
        <w:tc>
          <w:tcPr>
            <w:tcW w:w="1172" w:type="dxa"/>
          </w:tcPr>
          <w:p w:rsidR="007C18F5" w:rsidRDefault="007C18F5" w:rsidP="00E434F7">
            <w:pPr>
              <w:pStyle w:val="Table"/>
              <w:rPr>
                <w:rFonts w:cs="Arial"/>
              </w:rPr>
            </w:pPr>
            <w:r>
              <w:rPr>
                <w:rFonts w:cs="Arial"/>
              </w:rPr>
              <w:t>Precies</w:t>
            </w:r>
          </w:p>
        </w:tc>
        <w:tc>
          <w:tcPr>
            <w:tcW w:w="2761" w:type="dxa"/>
          </w:tcPr>
          <w:p w:rsidR="007C18F5" w:rsidRDefault="007C18F5" w:rsidP="00E434F7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Duidelijkheid wordt verschaft over: </w:t>
            </w:r>
          </w:p>
          <w:p w:rsidR="007C18F5" w:rsidRDefault="007C18F5" w:rsidP="00B2265A">
            <w:pPr>
              <w:pStyle w:val="Default"/>
              <w:numPr>
                <w:ilvl w:val="0"/>
                <w:numId w:val="2"/>
              </w:numPr>
              <w:ind w:left="173" w:hanging="17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centrale begrippen, modellen en methoden en hun definitie; </w:t>
            </w:r>
          </w:p>
          <w:p w:rsidR="007C18F5" w:rsidRDefault="007C18F5" w:rsidP="00B2265A">
            <w:pPr>
              <w:pStyle w:val="Default"/>
              <w:numPr>
                <w:ilvl w:val="0"/>
                <w:numId w:val="2"/>
              </w:numPr>
              <w:ind w:left="173" w:hanging="17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 eventuele relatie tussen de centrale begrippen; </w:t>
            </w:r>
          </w:p>
          <w:p w:rsidR="007C18F5" w:rsidRPr="00D76D02" w:rsidRDefault="007C18F5" w:rsidP="00B2265A">
            <w:pPr>
              <w:pStyle w:val="Default"/>
              <w:numPr>
                <w:ilvl w:val="0"/>
                <w:numId w:val="2"/>
              </w:numPr>
              <w:ind w:left="173" w:hanging="173"/>
              <w:rPr>
                <w:sz w:val="16"/>
                <w:szCs w:val="16"/>
              </w:rPr>
            </w:pPr>
            <w:r w:rsidRPr="00D76D02">
              <w:rPr>
                <w:sz w:val="16"/>
                <w:szCs w:val="16"/>
              </w:rPr>
              <w:t xml:space="preserve">de gehanteerde bergrippen, modellen en methoden zijn voor </w:t>
            </w:r>
            <w:r>
              <w:rPr>
                <w:sz w:val="16"/>
                <w:szCs w:val="16"/>
              </w:rPr>
              <w:t xml:space="preserve">klasgenoten </w:t>
            </w:r>
            <w:r w:rsidRPr="00D76D02">
              <w:rPr>
                <w:sz w:val="16"/>
                <w:szCs w:val="16"/>
              </w:rPr>
              <w:t>inzichtelijk beschreven.</w:t>
            </w:r>
          </w:p>
        </w:tc>
        <w:tc>
          <w:tcPr>
            <w:tcW w:w="4105" w:type="dxa"/>
          </w:tcPr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4501" w:type="dxa"/>
          </w:tcPr>
          <w:p w:rsidR="007C18F5" w:rsidRDefault="007C18F5" w:rsidP="00B2265A">
            <w:pPr>
              <w:pStyle w:val="Default"/>
              <w:rPr>
                <w:sz w:val="16"/>
                <w:szCs w:val="16"/>
              </w:rPr>
            </w:pPr>
          </w:p>
        </w:tc>
      </w:tr>
      <w:tr w:rsidR="007C18F5" w:rsidTr="007C18F5">
        <w:tc>
          <w:tcPr>
            <w:tcW w:w="1455" w:type="dxa"/>
            <w:vMerge/>
            <w:shd w:val="clear" w:color="auto" w:fill="C5E0B3" w:themeFill="accent6" w:themeFillTint="66"/>
          </w:tcPr>
          <w:p w:rsidR="007C18F5" w:rsidRDefault="007C18F5" w:rsidP="00E434F7">
            <w:pPr>
              <w:pStyle w:val="Table"/>
              <w:rPr>
                <w:rFonts w:cs="Arial"/>
                <w:lang w:val="en-US"/>
              </w:rPr>
            </w:pPr>
          </w:p>
        </w:tc>
        <w:tc>
          <w:tcPr>
            <w:tcW w:w="1172" w:type="dxa"/>
            <w:hideMark/>
          </w:tcPr>
          <w:p w:rsidR="007C18F5" w:rsidRDefault="007C18F5" w:rsidP="00E434F7">
            <w:pPr>
              <w:pStyle w:val="Table"/>
              <w:rPr>
                <w:rFonts w:cs="Arial"/>
                <w:lang w:val="en-US"/>
              </w:rPr>
            </w:pPr>
            <w:r>
              <w:rPr>
                <w:rFonts w:cs="Arial"/>
              </w:rPr>
              <w:t>Relevant</w:t>
            </w:r>
          </w:p>
        </w:tc>
        <w:tc>
          <w:tcPr>
            <w:tcW w:w="2761" w:type="dxa"/>
            <w:hideMark/>
          </w:tcPr>
          <w:p w:rsidR="007C18F5" w:rsidRDefault="007C18F5" w:rsidP="00E434F7">
            <w:pPr>
              <w:pStyle w:val="Tablebullet"/>
              <w:tabs>
                <w:tab w:val="clear" w:pos="142"/>
                <w:tab w:val="left" w:pos="708"/>
              </w:tabs>
              <w:ind w:left="213" w:hanging="213"/>
              <w:rPr>
                <w:rFonts w:cs="Arial"/>
              </w:rPr>
            </w:pPr>
            <w:r w:rsidRPr="00F917BB">
              <w:rPr>
                <w:rFonts w:cs="Arial"/>
              </w:rPr>
              <w:t>Er is een afweging gemaakt over bruikbaarheid van bronnen.</w:t>
            </w:r>
          </w:p>
          <w:p w:rsidR="007C18F5" w:rsidRDefault="007C18F5" w:rsidP="00E434F7">
            <w:pPr>
              <w:pStyle w:val="Tablebullet"/>
              <w:tabs>
                <w:tab w:val="clear" w:pos="142"/>
                <w:tab w:val="left" w:pos="708"/>
              </w:tabs>
              <w:ind w:left="213" w:hanging="213"/>
              <w:rPr>
                <w:rFonts w:cs="Arial"/>
              </w:rPr>
            </w:pPr>
            <w:r>
              <w:rPr>
                <w:rFonts w:cs="Arial"/>
              </w:rPr>
              <w:t>Literatuur droeg bij aan het beantwoorden van de onderzoeksvragen.</w:t>
            </w:r>
          </w:p>
        </w:tc>
        <w:tc>
          <w:tcPr>
            <w:tcW w:w="4105" w:type="dxa"/>
          </w:tcPr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  <w:p w:rsidR="007C18F5" w:rsidRPr="00F917BB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</w:tc>
        <w:tc>
          <w:tcPr>
            <w:tcW w:w="4501" w:type="dxa"/>
          </w:tcPr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</w:rPr>
            </w:pPr>
          </w:p>
        </w:tc>
      </w:tr>
      <w:tr w:rsidR="007C18F5" w:rsidTr="007C18F5">
        <w:tc>
          <w:tcPr>
            <w:tcW w:w="1455" w:type="dxa"/>
            <w:vMerge/>
            <w:shd w:val="clear" w:color="auto" w:fill="C5E0B3" w:themeFill="accent6" w:themeFillTint="66"/>
          </w:tcPr>
          <w:p w:rsidR="007C18F5" w:rsidRDefault="007C18F5" w:rsidP="00E434F7">
            <w:pPr>
              <w:rPr>
                <w:rFonts w:eastAsia="Times New Roman"/>
                <w:sz w:val="16"/>
                <w:lang w:val="en-US"/>
              </w:rPr>
            </w:pPr>
          </w:p>
        </w:tc>
        <w:tc>
          <w:tcPr>
            <w:tcW w:w="1172" w:type="dxa"/>
          </w:tcPr>
          <w:p w:rsidR="007C18F5" w:rsidRDefault="007C18F5" w:rsidP="00E434F7">
            <w:pPr>
              <w:pStyle w:val="Table"/>
              <w:rPr>
                <w:rFonts w:cs="Arial"/>
              </w:rPr>
            </w:pPr>
            <w:r>
              <w:rPr>
                <w:rFonts w:cs="Arial"/>
              </w:rPr>
              <w:t>Inhoudelijk verankerd</w:t>
            </w:r>
          </w:p>
        </w:tc>
        <w:tc>
          <w:tcPr>
            <w:tcW w:w="2761" w:type="dxa"/>
          </w:tcPr>
          <w:p w:rsidR="007C18F5" w:rsidRDefault="007C18F5" w:rsidP="00E434F7">
            <w:pPr>
              <w:pStyle w:val="Tablebullet"/>
              <w:tabs>
                <w:tab w:val="clear" w:pos="142"/>
                <w:tab w:val="left" w:pos="708"/>
              </w:tabs>
              <w:ind w:left="213" w:hanging="213"/>
              <w:rPr>
                <w:rFonts w:cs="Arial"/>
              </w:rPr>
            </w:pPr>
            <w:r>
              <w:rPr>
                <w:rFonts w:cs="Arial"/>
                <w:snapToGrid w:val="0"/>
              </w:rPr>
              <w:t>De gehanteerde begrippen, modellen en methoden zijn aantoonbaar gebaseerd op actuele schriftelijke of internetbronnen die gebaseerd zijn op verifieerbare externe bronnen (liefst wetenschappelijk).</w:t>
            </w:r>
          </w:p>
        </w:tc>
        <w:tc>
          <w:tcPr>
            <w:tcW w:w="4105" w:type="dxa"/>
          </w:tcPr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</w:tc>
        <w:tc>
          <w:tcPr>
            <w:tcW w:w="4501" w:type="dxa"/>
          </w:tcPr>
          <w:p w:rsidR="007C18F5" w:rsidRDefault="007C18F5" w:rsidP="00B2265A">
            <w:pPr>
              <w:pStyle w:val="Tablebullet"/>
              <w:numPr>
                <w:ilvl w:val="0"/>
                <w:numId w:val="0"/>
              </w:numPr>
              <w:tabs>
                <w:tab w:val="clear" w:pos="142"/>
                <w:tab w:val="left" w:pos="708"/>
              </w:tabs>
              <w:rPr>
                <w:rFonts w:cs="Arial"/>
                <w:snapToGrid w:val="0"/>
              </w:rPr>
            </w:pPr>
          </w:p>
        </w:tc>
      </w:tr>
    </w:tbl>
    <w:p w:rsidR="00B2265A" w:rsidRPr="00B2265A" w:rsidRDefault="00B2265A">
      <w:pPr>
        <w:rPr>
          <w:b/>
        </w:rPr>
      </w:pPr>
    </w:p>
    <w:p w:rsidR="00B2265A" w:rsidRDefault="00B2265A"/>
    <w:sectPr w:rsidR="00B2265A" w:rsidSect="00B2265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05987"/>
    <w:multiLevelType w:val="hybridMultilevel"/>
    <w:tmpl w:val="7B6C684C"/>
    <w:lvl w:ilvl="0" w:tplc="BEEE453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AD0D9B"/>
    <w:multiLevelType w:val="hybridMultilevel"/>
    <w:tmpl w:val="151C27D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5A"/>
    <w:rsid w:val="007C0905"/>
    <w:rsid w:val="007C18F5"/>
    <w:rsid w:val="00B2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25231-0C76-4AE2-8669-0DC73D53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B2265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nl-NL"/>
    </w:rPr>
  </w:style>
  <w:style w:type="table" w:styleId="Tabelraster">
    <w:name w:val="Table Grid"/>
    <w:basedOn w:val="Standaardtabel"/>
    <w:rsid w:val="00B2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">
    <w:name w:val="Table bullet"/>
    <w:basedOn w:val="Standaard"/>
    <w:rsid w:val="00B2265A"/>
    <w:pPr>
      <w:numPr>
        <w:numId w:val="1"/>
      </w:numPr>
      <w:tabs>
        <w:tab w:val="left" w:pos="142"/>
      </w:tabs>
      <w:suppressAutoHyphens/>
      <w:spacing w:after="0" w:line="240" w:lineRule="auto"/>
    </w:pPr>
    <w:rPr>
      <w:rFonts w:ascii="Arial" w:eastAsia="Times New Roman" w:hAnsi="Arial" w:cs="Times New Roman"/>
      <w:sz w:val="16"/>
      <w:szCs w:val="12"/>
      <w:lang w:eastAsia="ar-SA"/>
    </w:rPr>
  </w:style>
  <w:style w:type="paragraph" w:customStyle="1" w:styleId="Table">
    <w:name w:val="Table"/>
    <w:basedOn w:val="Standaard"/>
    <w:qFormat/>
    <w:rsid w:val="00B2265A"/>
    <w:pPr>
      <w:spacing w:after="0" w:line="240" w:lineRule="auto"/>
      <w:ind w:hanging="6"/>
    </w:pPr>
    <w:rPr>
      <w:rFonts w:ascii="Arial" w:eastAsia="Times New Roman" w:hAnsi="Arial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E00FE7515FA4AA52E9A6C8F3F67FE" ma:contentTypeVersion="" ma:contentTypeDescription="Een nieuw document maken." ma:contentTypeScope="" ma:versionID="5241a0b730ebb70238889f6b0ecdf19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BABD7-EA0B-4D87-BE87-CA6BFAFB5373}"/>
</file>

<file path=customXml/itemProps2.xml><?xml version="1.0" encoding="utf-8"?>
<ds:datastoreItem xmlns:ds="http://schemas.openxmlformats.org/officeDocument/2006/customXml" ds:itemID="{74BF3D45-48C5-4B20-9118-0E1F511CB716}"/>
</file>

<file path=customXml/itemProps3.xml><?xml version="1.0" encoding="utf-8"?>
<ds:datastoreItem xmlns:ds="http://schemas.openxmlformats.org/officeDocument/2006/customXml" ds:itemID="{4AF5A1B4-0BD3-4B51-A299-0B7687FABA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van der Stappen</dc:creator>
  <cp:keywords/>
  <dc:description/>
  <cp:lastModifiedBy>Esther van der Stappen</cp:lastModifiedBy>
  <cp:revision>2</cp:revision>
  <dcterms:created xsi:type="dcterms:W3CDTF">2015-04-10T10:02:00Z</dcterms:created>
  <dcterms:modified xsi:type="dcterms:W3CDTF">2015-04-10T10:04:00Z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0x0101004D6E00FE7515FA4AA52E9A6C8F3F67FE</vt:lpwstr>
  </property>
</Properties>
</file>