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/>
        <w:ind/>
        <w:rPr/>
      </w:pPr>
      <w:r>
        <w:rPr>
          <w:rFonts w:ascii="Arial" w:hAnsi="Arial"/>
          <w:b w:val="0"/>
          <w:sz w:val="40"/>
        </w:rPr>
        <w:t xml:space="preserve">Highlights</w:t>
      </w:r>
      <w:r/>
    </w:p>
    <w:p>
      <w:pPr>
        <w:pStyle w:val="904"/>
        <w:numPr>
          <w:ilvl w:val="0"/>
          <w:numId w:val="0"/>
        </w:numPr>
        <w:pBdr/>
        <w:spacing w:after="80" w:line="276" w:lineRule="auto"/>
        <w:ind w:firstLine="0" w:left="0"/>
        <w:rPr/>
      </w:pPr>
      <w:r>
        <w:rPr>
          <w:rFonts w:ascii="Arial" w:hAnsi="Arial"/>
          <w:sz w:val="22"/>
        </w:rPr>
      </w:r>
      <w:r>
        <w:t xml:space="preserve">Process topology defines the candidate space for next-activity prediction</w:t>
        <w:br/>
        <w:t xml:space="preserve">EOPKG supports topology-known zero-shot prediction after process release</w:t>
        <w:br/>
        <w:t xml:space="preserve">Impulse routing localizes execution state within the deployed topology</w:t>
        <w:br/>
        <w:t xml:space="preserve">Out-of-structure errors decrea</w:t>
      </w:r>
      <w:r>
        <w:t xml:space="preserve">se from over 60% to 12.1%</w:t>
        <w:br/>
        <w:t xml:space="preserve">CPU inference remains feasible for release-time process monitoring</w:t>
      </w:r>
      <w:r>
        <w:rPr>
          <w:rFonts w:ascii="Arial" w:hAnsi="Arial"/>
          <w:sz w:val="22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 w:after="160" w:line="276" w:lineRule="auto"/>
      <w:ind/>
    </w:pPr>
    <w:rPr>
      <w:rFonts w:ascii="Arial" w:hAnsi="Arial"/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2026-06-18T14:54:47Z</dcterms:modified>
  <cp:category/>
</cp:coreProperties>
</file>