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稀疏大模型负载驱动的昇腾超节点规模需求分析"/>
    <w:p>
      <w:pPr>
        <w:pStyle w:val="Heading1"/>
      </w:pPr>
      <w:r>
        <w:t xml:space="preserve">稀疏大模型负载驱动的昇腾超节点规模需求分析</w:t>
      </w:r>
    </w:p>
    <w:p>
      <w:pPr>
        <w:pStyle w:val="BlockText"/>
      </w:pPr>
      <w:r>
        <w:rPr>
          <w:bCs/>
          <w:b/>
        </w:rPr>
        <w:t xml:space="preserve">精华版｜约8页</w:t>
      </w:r>
      <w:r>
        <w:br/>
      </w:r>
      <w:r>
        <w:rPr>
          <w:bCs/>
          <w:b/>
        </w:rPr>
        <w:t xml:space="preserve">用途：</w:t>
      </w:r>
      <w:r>
        <w:t xml:space="preserve"> </w:t>
      </w:r>
      <w:r>
        <w:t xml:space="preserve">超节点产品规格讨论、客户负载选型与技术评审</w:t>
      </w:r>
      <w:r>
        <w:br/>
      </w:r>
      <w:r>
        <w:rPr>
          <w:bCs/>
          <w:b/>
        </w:rPr>
        <w:t xml:space="preserve">日期：</w:t>
      </w:r>
      <w:r>
        <w:t xml:space="preserve"> </w:t>
      </w:r>
      <w:r>
        <w:t xml:space="preserve">2026-08-11</w:t>
      </w:r>
    </w:p>
    <w:p>
      <w:r>
        <w:pict>
          <v:rect style="width:0;height:1.5pt" o:hralign="center" o:hrstd="t" o:hr="t"/>
        </w:pict>
      </w:r>
    </w:p>
    <w:bookmarkStart w:id="20" w:name="核心结论与规模判断"/>
    <w:p>
      <w:pPr>
        <w:pStyle w:val="Heading2"/>
      </w:pPr>
      <w:r>
        <w:t xml:space="preserve">1. 核心结论与规模判断</w:t>
      </w:r>
    </w:p>
    <w:p>
      <w:pPr>
        <w:pStyle w:val="FirstParagraph"/>
      </w:pPr>
      <w:r>
        <w:t xml:space="preserve">稀疏MoE模型已经成为大模型扩展的重要方向。其基础特点是：全部专家权重需要占用内存，但每个Token只激活其中少量专家。因此，超节点规模同时受到</w:t>
      </w:r>
      <w:r>
        <w:rPr>
          <w:bCs/>
          <w:b/>
        </w:rPr>
        <w:t xml:space="preserve">总参数容量、激活参数算力、专家通信和长序列KV</w:t>
      </w:r>
      <w:r>
        <w:t xml:space="preserve">四类约束。</w:t>
      </w:r>
    </w:p>
    <w:p>
      <w:pPr>
        <w:pStyle w:val="BodyText"/>
      </w:pPr>
      <w:r>
        <w:t xml:space="preserve">超节点规模分析需要区分三个层次：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最小可运行规模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权重、训练状态、Activation或KV能够装入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性能推荐规模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TP、EP、CP高频通信能够在高速互联域内高效执行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集群总规模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通过PP、DP或推理副本满足总训练速度和服务吞吐</w:t>
            </w:r>
          </w:p>
        </w:tc>
      </w:tr>
    </w:tbl>
    <w:p>
      <w:pPr>
        <w:pStyle w:val="BodyText"/>
      </w:pPr>
      <w:r>
        <w:t xml:space="preserve">产品定义侧的核心原则为：</w:t>
      </w:r>
    </w:p>
    <w:p>
      <w:pPr>
        <w:pStyle w:val="BlockText"/>
      </w:pPr>
      <w:r>
        <w:t xml:space="preserve">单超节点优先容纳高频模型并行组，集群总规模负责承载数据并行、流水线并行和推理副本。</w:t>
      </w:r>
    </w:p>
    <w:p>
      <w:pPr>
        <w:pStyle w:val="FirstParagraph"/>
      </w:pPr>
      <w:r>
        <w:t xml:space="preserve">不同负载的主要规模驱动因素如下。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容量驱动因素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性能驱动因素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超节点内优先并行域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全部专家训练状态、Activation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All-to-All、TP集合通信、专家倾斜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TP×EP，长序列时加入CP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MoE在线推理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全部专家权重、KV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小Batch专家计算、EP通信、TPOT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长上下文推理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Cache高水位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KV读取、Prefill计算、调度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TP×CP或KV分层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Decode侧KV容量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Prefill算力、Decode带宽、KV传输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独立P组、D组及高速KV通道</w:t>
            </w:r>
          </w:p>
        </w:tc>
      </w:tr>
    </w:tbl>
    <w:p>
      <w:pPr>
        <w:pStyle w:val="BodyText"/>
      </w:pPr>
      <w:r>
        <w:t xml:space="preserve">超节点扩大并非始终带来线性收益。并行规模增加后，每张NPU承担的计算减少，通信启动时延、All-to-All Peer数量和负载不均占比上升。推荐规模位于容量充足、计算饱满和通信可控的交叉区域。</w:t>
      </w:r>
    </w:p>
    <w:p>
      <w:r>
        <w:pict>
          <v:rect style="width:0;height:1.5pt" o:hralign="center" o:hrstd="t" o:hr="t"/>
        </w:pict>
      </w:r>
    </w:p>
    <w:bookmarkEnd w:id="20"/>
    <w:bookmarkStart w:id="21" w:name="稀疏模型的关键负载参数"/>
    <w:p>
      <w:pPr>
        <w:pStyle w:val="Heading2"/>
      </w:pPr>
      <w:r>
        <w:t xml:space="preserve">2. 稀疏模型的关键负载参数</w:t>
      </w:r>
    </w:p>
    <w:p>
      <w:pPr>
        <w:pStyle w:val="FirstParagraph"/>
      </w:pPr>
      <w:r>
        <w:t xml:space="preserve">MoE规模分析只需要抓住以下变量。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总参数量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权重和训练状态容量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激活参数量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active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每Token主要计算量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专家总数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专家权重容量、EP规模和Peer数量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Top-K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单Token专家计算和路由Payload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隐藏维度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专家计算和通信消息大小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序列长度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训练Attention、Activation及推理KV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Batch与并发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单专家Token数量、KV高水位和吞吐</w:t>
            </w:r>
          </w:p>
        </w:tc>
      </w:tr>
    </w:tbl>
    <w:p>
      <w:pPr>
        <w:pStyle w:val="BodyText"/>
      </w:pPr>
      <w:r>
        <w:t xml:space="preserve">设每个Routed Expert参数量为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，MoE层数为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MoE</m:t>
            </m:r>
          </m:sub>
        </m:sSub>
      </m:oMath>
      <w:r>
        <w:t xml:space="preserve">，非专家参数为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nonexpert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total</m:t>
                    </m:r>
                  </m:sub>
                </m:sSub>
              </m:e>
              <m:e>
                <m:r>
                  <m:rPr>
                    <m:sty m:val="p"/>
                  </m:rPr>
                  <m:t>≈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nonexpert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rPr>
                        <m:nor/>
                        <m:sty m:val="p"/>
                      </m:rPr>
                      <m:t>MoE</m:t>
                    </m:r>
                  </m:sub>
                </m:sSub>
                <m:r>
                  <m:t>E</m:t>
                </m:r>
                <m:sSub>
                  <m:e>
                    <m:r>
                      <m:t>P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active</m:t>
                    </m:r>
                  </m:sub>
                </m:sSub>
              </m:e>
              <m:e>
                <m:r>
                  <m:rPr>
                    <m:sty m:val="p"/>
                  </m:rPr>
                  <m:t>≈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nonexpert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rPr>
                        <m:nor/>
                        <m:sty m:val="p"/>
                      </m:rPr>
                      <m:t>MoE</m:t>
                    </m:r>
                  </m:sub>
                </m:sSub>
                <m:r>
                  <m:t>K</m:t>
                </m:r>
                <m:sSub>
                  <m:e>
                    <m:r>
                      <m:t>P</m:t>
                    </m:r>
                  </m:e>
                  <m:sub>
                    <m:r>
                      <m:t>x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总参数量主要决定容量，激活参数量主要决定计算。增加专家总数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而保持Top-K不变，会显著增加权重容量，但不会同比增加单Token理论FLOPs。</w:t>
      </w:r>
    </w:p>
    <w:p>
      <w:pPr>
        <w:pStyle w:val="BodyText"/>
      </w:pPr>
      <w:r>
        <w:t xml:space="preserve">专家数增加仍会间接降低效率：</w:t>
      </w:r>
    </w:p>
    <w:p>
      <w:pPr>
        <w:numPr>
          <w:ilvl w:val="0"/>
          <w:numId w:val="1001"/>
        </w:numPr>
        <w:pStyle w:val="Compact"/>
      </w:pPr>
      <w:r>
        <w:t xml:space="preserve">EP规模和All-to-All Peer数量增加；</w:t>
      </w:r>
    </w:p>
    <w:p>
      <w:pPr>
        <w:numPr>
          <w:ilvl w:val="0"/>
          <w:numId w:val="1001"/>
        </w:numPr>
        <w:pStyle w:val="Compact"/>
      </w:pPr>
      <w:r>
        <w:t xml:space="preserve">单专家平均Token数量下降；</w:t>
      </w:r>
    </w:p>
    <w:p>
      <w:pPr>
        <w:numPr>
          <w:ilvl w:val="0"/>
          <w:numId w:val="1001"/>
        </w:numPr>
        <w:pStyle w:val="Compact"/>
      </w:pPr>
      <w:r>
        <w:t xml:space="preserve">专家GEMM变小；</w:t>
      </w:r>
    </w:p>
    <w:p>
      <w:pPr>
        <w:numPr>
          <w:ilvl w:val="0"/>
          <w:numId w:val="1001"/>
        </w:numPr>
        <w:pStyle w:val="Compact"/>
      </w:pPr>
      <w:r>
        <w:t xml:space="preserve">热门专家和Rank尾部延迟增大；</w:t>
      </w:r>
    </w:p>
    <w:p>
      <w:pPr>
        <w:numPr>
          <w:ilvl w:val="0"/>
          <w:numId w:val="1001"/>
        </w:numPr>
        <w:pStyle w:val="Compact"/>
      </w:pPr>
      <w:r>
        <w:t xml:space="preserve">专家复制与Shared Expert增加额外容量。</w:t>
      </w:r>
    </w:p>
    <w:p>
      <w:pPr>
        <w:pStyle w:val="FirstParagraph"/>
      </w:pPr>
      <w:r>
        <w:t xml:space="preserve">一个EP通信组包含</w:t>
      </w:r>
      <w:r>
        <w:t xml:space="preserve"> </w:t>
      </w:r>
      <m:oMath>
        <m:r>
          <m:t>B</m:t>
        </m:r>
        <m:r>
          <m:t>S</m:t>
        </m:r>
      </m:oMath>
      <w:r>
        <w:t xml:space="preserve"> </w:t>
      </w:r>
      <w:r>
        <w:t xml:space="preserve">个Token时，单专家平均Assignment数量为：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S</m:t>
              </m:r>
              <m:r>
                <m:t>K</m:t>
              </m:r>
            </m:num>
            <m:den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acc>
              <m:accPr>
                <m:chr m:val="‾"/>
              </m:accPr>
              <m:e>
                <m:r>
                  <m:t>n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过小会使专家矩阵乘无法充分利用NPU。该阈值需要根据专家宽度、精度和目标NPU实测确定。</w:t>
      </w:r>
    </w:p>
    <w:p>
      <w:r>
        <w:pict>
          <v:rect style="width:0;height:1.5pt" o:hralign="center" o:hrstd="t" o:hr="t"/>
        </w:pict>
      </w:r>
    </w:p>
    <w:bookmarkEnd w:id="21"/>
    <w:bookmarkStart w:id="26" w:name="容量算力与通信推导框架"/>
    <w:p>
      <w:pPr>
        <w:pStyle w:val="Heading2"/>
      </w:pPr>
      <w:r>
        <w:t xml:space="preserve">3. 容量、算力与通信推导框架</w:t>
      </w:r>
    </w:p>
    <w:bookmarkStart w:id="22" w:name="容量下界"/>
    <w:p>
      <w:pPr>
        <w:pStyle w:val="Heading3"/>
      </w:pPr>
      <w:r>
        <w:t xml:space="preserve">3.1 容量下界</w:t>
      </w:r>
    </w:p>
    <w:p>
      <w:pPr>
        <w:pStyle w:val="FirstParagraph"/>
      </w:pPr>
      <w:r>
        <w:t xml:space="preserve">设模型、训练状态、Activation或KV的总驻留量为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，单NPU HBM为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HBM</m:t>
            </m:r>
          </m:sub>
        </m:sSub>
      </m:oMath>
      <w:r>
        <w:t xml:space="preserve">，规划利用率为</w:t>
      </w:r>
      <w: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memory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HBM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η</m:t>
            </m:r>
          </m:e>
          <m:sub>
            <m:r>
              <m:t>M</m:t>
            </m:r>
          </m:sub>
        </m:sSub>
      </m:oMath>
      <w:r>
        <w:t xml:space="preserve">用于保留系统不可分配空间、框架保守水位和未建模峰值；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仍需显式计入Activation、通信Buffer和Runtime Workspace。聚合容量下界只用于排除过小方案，实际布局还需满足TP、EP、CP和PP的整除及复制约束。</w:t>
      </w:r>
    </w:p>
    <w:bookmarkEnd w:id="22"/>
    <w:bookmarkStart w:id="23" w:name="算力下界"/>
    <w:p>
      <w:pPr>
        <w:pStyle w:val="Heading3"/>
      </w:pPr>
      <w:r>
        <w:t xml:space="preserve">3.2 算力下界</w:t>
      </w:r>
    </w:p>
    <w:p>
      <w:pPr>
        <w:pStyle w:val="FirstParagraph"/>
      </w:pPr>
      <w:r>
        <w:t xml:space="preserve">目标时间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 </w:t>
      </w:r>
      <w:r>
        <w:t xml:space="preserve">内需要完成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required</m:t>
            </m:r>
          </m:sub>
        </m:sSub>
      </m:oMath>
      <w:r>
        <w:t xml:space="preserve"> </w:t>
      </w:r>
      <w:r>
        <w:t xml:space="preserve">FLOPs，单NPU峰值算力为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peak</m:t>
            </m:r>
          </m:sub>
        </m:sSub>
      </m:oMath>
      <w:r>
        <w:t xml:space="preserve">，模型有效效率为</w:t>
      </w:r>
      <w:r>
        <w:t xml:space="preserve"> </w:t>
      </w:r>
      <m:oMath>
        <m:sSub>
          <m:e>
            <m:r>
              <m:t>η</m:t>
            </m:r>
          </m:e>
          <m:sub>
            <m:r>
              <m:t>F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compute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required</m:t>
                      </m:r>
                    </m:sub>
                  </m:sSub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target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η</m:t>
            </m:r>
          </m:e>
          <m:sub>
            <m:r>
              <m:t>F</m:t>
            </m:r>
          </m:sub>
        </m:sSub>
      </m:oMath>
      <w:r>
        <w:t xml:space="preserve">必须使用目标模型、精度和Batch的实测值。芯片峰值不能直接替代可持续模型性能。</w:t>
      </w:r>
    </w:p>
    <w:bookmarkEnd w:id="23"/>
    <w:bookmarkStart w:id="24" w:name="ep通信"/>
    <w:p>
      <w:pPr>
        <w:pStyle w:val="Heading3"/>
      </w:pPr>
      <w:r>
        <w:t xml:space="preserve">3.3 EP通信</w:t>
      </w:r>
    </w:p>
    <w:p>
      <w:pPr>
        <w:pStyle w:val="FirstParagraph"/>
      </w:pPr>
      <w:r>
        <w:t xml:space="preserve">一个EP组处理</w:t>
      </w:r>
      <w:r>
        <w:t xml:space="preserve"> </w:t>
      </w:r>
      <m:oMath>
        <m:r>
          <m:t>B</m:t>
        </m:r>
        <m:r>
          <m:t>S</m:t>
        </m:r>
      </m:oMath>
      <w:r>
        <w:t xml:space="preserve"> </w:t>
      </w:r>
      <w:r>
        <w:t xml:space="preserve">个Token，每个Token向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个专家发送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维Activation，每元素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字节。完整前向包含Dispatch和Combine：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EP,fwd</m:t>
              </m:r>
            </m:sub>
            <m:sup>
              <m:r>
                <m:rPr>
                  <m:nor/>
                  <m:sty m:val="p"/>
                </m:rPr>
                <m:t>remote</m:t>
              </m:r>
            </m:sup>
          </m:sSubSup>
          <m:r>
            <m:rPr>
              <m:sty m:val="p"/>
            </m:rPr>
            <m:t>≈</m:t>
          </m:r>
          <m:r>
            <m:t>2</m:t>
          </m:r>
          <m:r>
            <m:t>B</m:t>
          </m:r>
          <m:r>
            <m:t>S</m:t>
          </m:r>
          <m:r>
            <m:t>K</m:t>
          </m:r>
          <m:r>
            <m:t>H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t>P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式（5）表示EP组级前向远端Payload。训练反向还需传输相应梯度，理想情况下前向加反向的总Payload约为式（5）的2倍。单Rank平均发送量还需除以EP，但热门专家所在Rank的峰值接收量可能显著高于平均值；Fabric实际流量还受到路由跳数、协议和拥塞影响。</w:t>
      </w:r>
    </w:p>
    <w:bookmarkEnd w:id="24"/>
    <w:bookmarkStart w:id="25" w:name="通信时间与扩展效率"/>
    <w:p>
      <w:pPr>
        <w:pStyle w:val="Heading3"/>
      </w:pPr>
      <w:r>
        <w:t xml:space="preserve">3.4 通信时间与扩展效率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t>α</m:t>
              </m:r>
            </m:sub>
          </m:sSub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comm</m:t>
                  </m:r>
                </m:sub>
              </m:sSub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effective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小消息主要受启动时延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影响，大消息主要受有效带宽影响。All-to-All Peer数量扩大后，单Peer消息变小，时延和调度开销可能先于总字节量成为瓶颈。</w:t>
      </w:r>
    </w:p>
    <w:p>
      <w:pPr>
        <w:pStyle w:val="BodyText"/>
      </w:pPr>
      <w:r>
        <w:t xml:space="preserve">标准正交并行布局下，高频通信域近似为：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high-freq</m:t>
              </m:r>
            </m:sub>
          </m:sSub>
          <m:r>
            <m:rPr>
              <m:sty m:val="p"/>
            </m:rPr>
            <m:t>≈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E</m:t>
          </m:r>
          <m:r>
            <m:t>P</m:t>
          </m:r>
          <m:r>
            <m:rPr>
              <m:sty m:val="p"/>
            </m:rPr>
            <m:t>×</m:t>
          </m:r>
          <m:r>
            <m:t>C</m:t>
          </m:r>
          <m:r>
            <m:t>P</m:t>
          </m:r>
        </m:oMath>
      </m:oMathPara>
    </w:p>
    <w:p>
      <w:pPr>
        <w:pStyle w:val="FirstParagraph"/>
      </w:pPr>
      <w:r>
        <w:t xml:space="preserve">PP、DP和推理副本通常更适合跨超节点扩展。式（7）是候选边界，最终规模仍需通过HCCL和模型级Benchmark验证。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e训练的超节点需求"/>
    <w:p>
      <w:pPr>
        <w:pStyle w:val="Heading2"/>
      </w:pPr>
      <w:r>
        <w:t xml:space="preserve">4. MoE训练的超节点需求</w:t>
      </w:r>
    </w:p>
    <w:p>
      <w:pPr>
        <w:pStyle w:val="FirstParagraph"/>
      </w:pPr>
      <w:r>
        <w:t xml:space="preserve">经典BF16/FP16混合精度Adam训练可用16 Bytes/Parameter估算权重、梯度、FP32 Master Weight和两份Optimizer State：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state</m:t>
              </m:r>
            </m:sub>
          </m:sSub>
          <m:r>
            <m:rPr>
              <m:sty m:val="p"/>
            </m:rPr>
            <m:t>≈</m:t>
          </m:r>
          <m:r>
            <m:t>16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</w:pPr>
      <w:r>
        <w:t xml:space="preserve">真实单Rank内存必须拆分为：</w:t>
      </w:r>
    </w:p>
    <w:p>
      <w:pPr>
        <w:pStyle w:val="SourceCode"/>
      </w:pPr>
      <w:r>
        <w:rPr>
          <w:rStyle w:val="VerbatimChar"/>
        </w:rPr>
        <w:t xml:space="preserve">可由EP切分的Routed Expert状态</w:t>
      </w:r>
      <w:r>
        <w:br/>
      </w:r>
      <w:r>
        <w:rPr>
          <w:rStyle w:val="VerbatimChar"/>
        </w:rPr>
        <w:t xml:space="preserve">+ 仅由TP/PP切分的非专家状态</w:t>
      </w:r>
      <w:r>
        <w:br/>
      </w:r>
      <w:r>
        <w:rPr>
          <w:rStyle w:val="VerbatimChar"/>
        </w:rPr>
        <w:t xml:space="preserve">+ Shared/复制状态</w:t>
      </w:r>
      <w:r>
        <w:br/>
      </w:r>
      <w:r>
        <w:rPr>
          <w:rStyle w:val="VerbatimChar"/>
        </w:rPr>
        <w:t xml:space="preserve">+ Activation、通信与Workspace</w:t>
      </w:r>
    </w:p>
    <w:p>
      <w:pPr>
        <w:pStyle w:val="FirstParagraph"/>
      </w:pPr>
      <w:r>
        <w:t xml:space="preserve">只用“总参数量÷总卡数”会高估EP的切分能力。EP只切专家参数，Attention、Router、Embedding和Shared Expert需要按实际布局计算。</w:t>
      </w:r>
    </w:p>
    <w:p>
      <w:pPr>
        <w:pStyle w:val="BodyText"/>
      </w:pPr>
      <w:r>
        <w:t xml:space="preserve">MoE训练的高频通信主要包括：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TP通信</w:t>
      </w:r>
      <w:r>
        <w:t xml:space="preserve">：每层发生All-Reduce、All-Gather或Reduce-Scatter；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EP通信</w:t>
      </w:r>
      <w:r>
        <w:t xml:space="preserve">：每个MoE层执行Token Dispatch和Combine；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CP通信</w:t>
      </w:r>
      <w:r>
        <w:t xml:space="preserve">：长序列Attention交换KV；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PP通信</w:t>
      </w:r>
      <w:r>
        <w:t xml:space="preserve">：Stage边界传输Activation；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DP通信</w:t>
      </w:r>
      <w:r>
        <w:t xml:space="preserve">：Optimizer Step同步梯度。</w:t>
      </w:r>
    </w:p>
    <w:p>
      <w:pPr>
        <w:pStyle w:val="FirstParagraph"/>
      </w:pPr>
      <w:r>
        <w:t xml:space="preserve">拓扑映射优先级通常为：</w:t>
      </w:r>
    </w:p>
    <w:p>
      <w:pPr>
        <w:pStyle w:val="SourceCode"/>
      </w:pPr>
      <w:r>
        <w:rPr>
          <w:rStyle w:val="VerbatimChar"/>
        </w:rPr>
        <w:t xml:space="preserve">超节点内：TP×EP，长序列时扩展为TP×EP×CP</w:t>
      </w:r>
      <w:r>
        <w:br/>
      </w:r>
      <w:r>
        <w:rPr>
          <w:rStyle w:val="VerbatimChar"/>
        </w:rPr>
        <w:t xml:space="preserve">超节点间：PP×DP</w:t>
      </w:r>
    </w:p>
    <w:p>
      <w:pPr>
        <w:pStyle w:val="FirstParagraph"/>
      </w:pPr>
      <w:r>
        <w:t xml:space="preserve">MoE训练的推荐规模需要同时满足：</w:t>
      </w:r>
    </w:p>
    <w:p>
      <w:pPr>
        <w:numPr>
          <w:ilvl w:val="0"/>
          <w:numId w:val="1003"/>
        </w:numPr>
        <w:pStyle w:val="Compact"/>
      </w:pPr>
      <w:r>
        <w:t xml:space="preserve">全部训练状态和Activation可装入；</w:t>
      </w:r>
    </w:p>
    <w:p>
      <w:pPr>
        <w:numPr>
          <w:ilvl w:val="0"/>
          <w:numId w:val="1003"/>
        </w:numPr>
        <w:pStyle w:val="Compact"/>
      </w:pPr>
      <w:r>
        <w:t xml:space="preserve">非专家状态不会因EP复制而超出HBM；</w:t>
      </w:r>
    </w:p>
    <w:p>
      <w:pPr>
        <w:numPr>
          <w:ilvl w:val="0"/>
          <w:numId w:val="1003"/>
        </w:numPr>
        <w:pStyle w:val="Compact"/>
      </w:pPr>
      <w:r>
        <w:t xml:space="preserve">单专家Assignment数量保持计算饱满；</w:t>
      </w:r>
    </w:p>
    <w:p>
      <w:pPr>
        <w:numPr>
          <w:ilvl w:val="0"/>
          <w:numId w:val="1003"/>
        </w:numPr>
        <w:pStyle w:val="Compact"/>
      </w:pPr>
      <w:r>
        <w:t xml:space="preserve">EP All-to-All不跨越低速网络；</w:t>
      </w:r>
    </w:p>
    <w:p>
      <w:pPr>
        <w:numPr>
          <w:ilvl w:val="0"/>
          <w:numId w:val="1003"/>
        </w:numPr>
        <w:pStyle w:val="Compact"/>
      </w:pPr>
      <w:r>
        <w:t xml:space="preserve">通信暴露时间低于专家计算时间；</w:t>
      </w:r>
    </w:p>
    <w:p>
      <w:pPr>
        <w:numPr>
          <w:ilvl w:val="0"/>
          <w:numId w:val="1003"/>
        </w:numPr>
        <w:pStyle w:val="Compact"/>
      </w:pPr>
      <w:r>
        <w:t xml:space="preserve">专家负载倾斜处于可接受范围。</w:t>
      </w:r>
    </w:p>
    <w:p>
      <w:pPr>
        <w:pStyle w:val="FirstParagraph"/>
      </w:pPr>
      <w:r>
        <w:t xml:space="preserve">专家数增加不会直接放大式（5）的基本Payload，但会增加Peer数量、减少每Rank专家计算并加重小消息比例。专家数与超节点规模之间并非简单的一一对应关系。</w:t>
      </w:r>
    </w:p>
    <w:p>
      <w:pPr>
        <w:pStyle w:val="BodyText"/>
      </w:pPr>
      <w:r>
        <w:t xml:space="preserve">长序列训练还会引入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t>H</m:t>
            </m:r>
          </m:e>
        </m:d>
      </m:oMath>
      <w:r>
        <w:t xml:space="preserve"> </w:t>
      </w:r>
      <w:r>
        <w:t xml:space="preserve">Attention计算。FlashAttention降低中间存储和HBM访问，但不改变精确Attention的平方计算主项。CP可以切分序列与单Rank计算，同时增加逐层KV交换。</w:t>
      </w:r>
    </w:p>
    <w:p>
      <w:r>
        <w:pict>
          <v:rect style="width:0;height:1.5pt" o:hralign="center" o:hrstd="t" o:hr="t"/>
        </w:pict>
      </w:r>
    </w:p>
    <w:bookmarkEnd w:id="27"/>
    <w:bookmarkStart w:id="32" w:name="moe推理的超节点需求"/>
    <w:p>
      <w:pPr>
        <w:pStyle w:val="Heading2"/>
      </w:pPr>
      <w:r>
        <w:t xml:space="preserve">5. MoE推理的超节点需求</w:t>
      </w:r>
    </w:p>
    <w:p>
      <w:pPr>
        <w:pStyle w:val="FirstParagraph"/>
      </w:pPr>
      <w:r>
        <w:t xml:space="preserve">MoE推理同时受到全部专家权重、激活专家计算、KV Cache和EP通信约束。</w:t>
      </w:r>
    </w:p>
    <w:bookmarkStart w:id="28" w:name="权重与专家驻留"/>
    <w:p>
      <w:pPr>
        <w:pStyle w:val="Heading3"/>
      </w:pPr>
      <w:r>
        <w:t xml:space="preserve">5.1 权重与专家驻留</w:t>
      </w:r>
    </w:p>
    <w:p>
      <w:pPr>
        <w:pStyle w:val="FirstParagraph"/>
      </w:pPr>
      <w:r>
        <w:t xml:space="preserve">全部专家通常需要驻留在HBM或可接受的分层内存中。推理权重容量近似为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sSub>
          <m:e>
            <m:r>
              <m:t>b</m:t>
            </m:r>
          </m:e>
          <m:sub>
            <m:r>
              <m:t>w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量化后仍需加入Scale、Zero Point、Padding、未量化层和反量化Workspace。MoE每轮实际读取的专家权重由Batch内访问专家的并集决定，不能直接使用单Token激活参数估算HBM流量。</w:t>
      </w:r>
    </w:p>
    <w:bookmarkEnd w:id="28"/>
    <w:bookmarkStart w:id="29" w:name="kv-cache"/>
    <w:p>
      <w:pPr>
        <w:pStyle w:val="Heading3"/>
      </w:pPr>
      <w:r>
        <w:t xml:space="preserve">5.2 KV Cache</w:t>
      </w:r>
    </w:p>
    <w:p>
      <w:pPr>
        <w:pStyle w:val="FirstParagraph"/>
      </w:pPr>
      <w:r>
        <w:t xml:space="preserve">层数为</w:t>
      </w:r>
      <w:r>
        <w:t xml:space="preserve"> </w:t>
      </w:r>
      <m:oMath>
        <m:r>
          <m:t>L</m:t>
        </m:r>
      </m:oMath>
      <w:r>
        <w:t xml:space="preserve">、KV Head数为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</m:oMath>
      <w:r>
        <w:t xml:space="preserve">、Head维度为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，KV每元素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t xml:space="preserve">字节：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nor/>
                        <m:sty m:val="p"/>
                      </m:rPr>
                      <m:t>KV/token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L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KV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head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rPr>
                        <m:nor/>
                        <m:sty m:val="p"/>
                      </m:rPr>
                      <m:t>KV,total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nor/>
                        <m:sty m:val="p"/>
                      </m:rPr>
                      <m:t>KV/token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sSub>
                      <m:e>
                        <m:r>
                          <m:rPr>
                            <m:sty m:val="p"/>
                          </m:rP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e>
            </m:mr>
          </m:m>
        </m:oMath>
      </m:oMathPara>
    </w:p>
    <w:p>
      <w:pPr>
        <w:pStyle w:val="FirstParagraph"/>
      </w:pPr>
      <w:r>
        <w:t xml:space="preserve">容量规划应使用P95/P99驻留高水位。TP大于KV Head数时，部分框架会复制KV Head；此时每Rank KV不能简单除以TP。</w:t>
      </w:r>
    </w:p>
    <w:bookmarkEnd w:id="29"/>
    <w:bookmarkStart w:id="30" w:name="prefilldecode与副本"/>
    <w:p>
      <w:pPr>
        <w:pStyle w:val="Heading3"/>
      </w:pPr>
      <w:r>
        <w:t xml:space="preserve">5.3 Prefill、Decode与副本</w:t>
      </w:r>
    </w:p>
    <w:p>
      <w:pPr>
        <w:numPr>
          <w:ilvl w:val="0"/>
          <w:numId w:val="1004"/>
        </w:numPr>
        <w:pStyle w:val="Compact"/>
      </w:pPr>
      <w:r>
        <w:t xml:space="preserve">Prefill处理大量Prompt Token，主要受矩阵计算和长序列Attention约束；</w:t>
      </w:r>
    </w:p>
    <w:p>
      <w:pPr>
        <w:numPr>
          <w:ilvl w:val="0"/>
          <w:numId w:val="1004"/>
        </w:numPr>
        <w:pStyle w:val="Compact"/>
      </w:pPr>
      <w:r>
        <w:t xml:space="preserve">Decode每轮生成少量Token，主要受权重/KV读取、EP通信和TPOT约束；</w:t>
      </w:r>
    </w:p>
    <w:p>
      <w:pPr>
        <w:numPr>
          <w:ilvl w:val="0"/>
          <w:numId w:val="1004"/>
        </w:numPr>
        <w:pStyle w:val="Compact"/>
      </w:pPr>
      <w:r>
        <w:t xml:space="preserve">在线服务优先选择最小可行模型并行布局，吞吐通过副本扩展；</w:t>
      </w:r>
    </w:p>
    <w:p>
      <w:pPr>
        <w:numPr>
          <w:ilvl w:val="0"/>
          <w:numId w:val="1004"/>
        </w:numPr>
        <w:pStyle w:val="Compact"/>
      </w:pPr>
      <w:r>
        <w:t xml:space="preserve">离线服务可以提高Batch，优先保持专家GEMM饱满。</w:t>
      </w:r>
    </w:p>
    <w:p>
      <w:pPr>
        <w:pStyle w:val="FirstParagraph"/>
      </w:pPr>
      <w:r>
        <w:t xml:space="preserve">小Batch MoE Decode容易同时出现小专家GEMM和大量All-to-All小消息。扩大EP可以降低每Rank权重，却可能增加通信Peer和尾部延迟。</w:t>
      </w:r>
    </w:p>
    <w:bookmarkEnd w:id="30"/>
    <w:bookmarkStart w:id="31" w:name="pd分离"/>
    <w:p>
      <w:pPr>
        <w:pStyle w:val="Heading3"/>
      </w:pPr>
      <w:r>
        <w:t xml:space="preserve">5.4 PD分离</w:t>
      </w:r>
    </w:p>
    <w:p>
      <w:pPr>
        <w:pStyle w:val="FirstParagraph"/>
      </w:pPr>
      <w:r>
        <w:t xml:space="preserve">PD分离将Prefill和Decode部署到不同资源池。请求到达率为</w:t>
      </w:r>
      <w:r>
        <w:t xml:space="preserve"> </w:t>
      </w:r>
      <m:oMath>
        <m:r>
          <m:t>λ</m:t>
        </m:r>
      </m:oMath>
      <w:r>
        <w:t xml:space="preserve">，网络有效效率为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network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KV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L</m:t>
                </m:r>
                <m:r>
                  <m:t>S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KV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head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B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PD</m:t>
                    </m:r>
                  </m:sub>
                </m:sSub>
              </m:e>
              <m:e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  <m:scr m:val="double-struck"/>
                      </m:rPr>
                      <m:t>E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wire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network</m:t>
                        </m:r>
                      </m:sub>
                    </m:sSub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PD分离支持P组和D组独立扩容，但增加KV传输、TP布局重排和目的端Incast。平均带宽之外还需校验P99 Prompt长度和短时突发。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通信域与超节点边界"/>
    <w:p>
      <w:pPr>
        <w:pStyle w:val="Heading2"/>
      </w:pPr>
      <w:r>
        <w:t xml:space="preserve">6. 通信域与超节点边界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并行方式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主要通信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All-Reduce/All-Gather/Reduce-Scatter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All-to-All Dispatch/Combine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每个MoE层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Ring/All-Gather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每个Attention层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Stage边界点对点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每个Micro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梯度同步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每个Optimizer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t xml:space="preserve">超节点边界由通信频率、消息大小、有效带宽和计算重叠共同确定。单纯使用Fabric聚合带宽无法支撑规模判断，产品规格还需要给出：</w:t>
      </w:r>
    </w:p>
    <w:p>
      <w:pPr>
        <w:numPr>
          <w:ilvl w:val="0"/>
          <w:numId w:val="1005"/>
        </w:numPr>
        <w:pStyle w:val="Compact"/>
      </w:pPr>
      <w:r>
        <w:t xml:space="preserve">单NPU注入与接收带宽；</w:t>
      </w:r>
    </w:p>
    <w:p>
      <w:pPr>
        <w:numPr>
          <w:ilvl w:val="0"/>
          <w:numId w:val="1005"/>
        </w:numPr>
        <w:pStyle w:val="Compact"/>
      </w:pPr>
      <w:r>
        <w:t xml:space="preserve">不同Rank数、消息大小下的HCCL算法带宽；</w:t>
      </w:r>
    </w:p>
    <w:p>
      <w:pPr>
        <w:numPr>
          <w:ilvl w:val="0"/>
          <w:numId w:val="1005"/>
        </w:numPr>
        <w:pStyle w:val="Compact"/>
      </w:pPr>
      <w:r>
        <w:t xml:space="preserve">All-to-All双向吞吐和P99时延；</w:t>
      </w:r>
    </w:p>
    <w:p>
      <w:pPr>
        <w:numPr>
          <w:ilvl w:val="0"/>
          <w:numId w:val="1005"/>
        </w:numPr>
        <w:pStyle w:val="Compact"/>
      </w:pPr>
      <w:r>
        <w:t xml:space="preserve">64/128/256/512/1024卡子域效率；</w:t>
      </w:r>
    </w:p>
    <w:p>
      <w:pPr>
        <w:numPr>
          <w:ilvl w:val="0"/>
          <w:numId w:val="1005"/>
        </w:numPr>
        <w:pStyle w:val="Compact"/>
      </w:pPr>
      <w:r>
        <w:t xml:space="preserve">多作业并发和故障降级下的带宽保持能力。</w:t>
      </w:r>
    </w:p>
    <w:p>
      <w:pPr>
        <w:pStyle w:val="FirstParagraph"/>
      </w:pPr>
      <w:r>
        <w:t xml:space="preserve">大超节点还需要灵活子域能力。较小MoE任务不应被迫使用整个通信域，子域之间需要具备带宽隔离、故障隔离和拓扑感知调度。</w:t>
      </w:r>
    </w:p>
    <w:p>
      <w:pPr>
        <w:pStyle w:val="BodyText"/>
      </w:pPr>
      <w:r>
        <w:t xml:space="preserve">规模扩展停止条件包括：</w:t>
      </w:r>
    </w:p>
    <w:p>
      <w:pPr>
        <w:numPr>
          <w:ilvl w:val="0"/>
          <w:numId w:val="1006"/>
        </w:numPr>
        <w:pStyle w:val="Compact"/>
      </w:pPr>
      <w:r>
        <w:t xml:space="preserve">扩展效率低于产品目标；</w:t>
      </w:r>
    </w:p>
    <w:p>
      <w:pPr>
        <w:numPr>
          <w:ilvl w:val="0"/>
          <w:numId w:val="1006"/>
        </w:numPr>
        <w:pStyle w:val="Compact"/>
      </w:pPr>
      <w:r>
        <w:t xml:space="preserve">通信暴露时间开始主导Step时间；</w:t>
      </w:r>
    </w:p>
    <w:p>
      <w:pPr>
        <w:numPr>
          <w:ilvl w:val="0"/>
          <w:numId w:val="1006"/>
        </w:numPr>
        <w:pStyle w:val="Compact"/>
      </w:pPr>
      <w:r>
        <w:t xml:space="preserve">单专家Token数量低于高效GEMM阈值；</w:t>
      </w:r>
    </w:p>
    <w:p>
      <w:pPr>
        <w:numPr>
          <w:ilvl w:val="0"/>
          <w:numId w:val="1006"/>
        </w:numPr>
        <w:pStyle w:val="Compact"/>
      </w:pPr>
      <w:r>
        <w:t xml:space="preserve">专家倾斜使最慢Rank主导尾延迟；</w:t>
      </w:r>
    </w:p>
    <w:p>
      <w:pPr>
        <w:numPr>
          <w:ilvl w:val="0"/>
          <w:numId w:val="1006"/>
        </w:numPr>
        <w:pStyle w:val="Compact"/>
      </w:pPr>
      <w:r>
        <w:t xml:space="preserve">推理TPOT不再改善；</w:t>
      </w:r>
    </w:p>
    <w:p>
      <w:pPr>
        <w:numPr>
          <w:ilvl w:val="0"/>
          <w:numId w:val="1006"/>
        </w:numPr>
        <w:pStyle w:val="Compact"/>
      </w:pPr>
      <w:r>
        <w:t xml:space="preserve">增加EP后Per-peer消息过小。</w:t>
      </w:r>
    </w:p>
    <w:p>
      <w:r>
        <w:pict>
          <v:rect style="width:0;height:1.5pt" o:hralign="center" o:hrstd="t" o:hr="t"/>
        </w:pict>
      </w:r>
    </w:p>
    <w:bookmarkEnd w:id="33"/>
    <w:bookmarkStart w:id="37" w:name="atlas-950参数化算例"/>
    <w:p>
      <w:pPr>
        <w:pStyle w:val="Heading2"/>
      </w:pPr>
      <w:r>
        <w:t xml:space="preserve">7. Atlas 950参数化算例</w:t>
      </w:r>
    </w:p>
    <w:bookmarkStart w:id="34" w:name="公开口径"/>
    <w:p>
      <w:pPr>
        <w:pStyle w:val="Heading3"/>
      </w:pPr>
      <w:r>
        <w:t xml:space="preserve">7.1 公开口径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1024卡真机，2026-07-17公开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EFLOPS FP8、2 EFLOPS FP4、256 TB统一编址空间、约3 μs 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统一编址空间不等于HBM；未公开精确总互联带宽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8192卡路线图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EFLOPS FP8、16 EFLOPS FP4、1152 TB总内存、约16 PB/s互联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路线图计划参数，不作为已交付实测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Ascend 950DT路线图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GB HBM、4 TB/s HBM带宽、2 TB/s芯片互联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用于示例，应用有效值仍需Benchmark</w:t>
            </w:r>
          </w:p>
        </w:tc>
      </w:tr>
    </w:tbl>
    <w:bookmarkEnd w:id="34"/>
    <w:bookmarkStart w:id="35" w:name="moe训练示例"/>
    <w:p>
      <w:pPr>
        <w:pStyle w:val="Heading3"/>
      </w:pPr>
      <w:r>
        <w:t xml:space="preserve">7.2 MoE训练示例</w:t>
      </w:r>
    </w:p>
    <w:p>
      <w:pPr>
        <w:pStyle w:val="FirstParagraph"/>
      </w:pPr>
      <w:r>
        <w:t xml:space="preserve">示例输入：</w:t>
      </w:r>
    </w:p>
    <w:p>
      <w:pPr>
        <w:numPr>
          <w:ilvl w:val="0"/>
          <w:numId w:val="1007"/>
        </w:numPr>
        <w:pStyle w:val="Compact"/>
      </w:pPr>
      <w:r>
        <w:t xml:space="preserve">总参数671B，激活参数37B；</w:t>
      </w:r>
    </w:p>
    <w:p>
      <w:pPr>
        <w:numPr>
          <w:ilvl w:val="0"/>
          <w:numId w:val="1007"/>
        </w:numPr>
        <w:pStyle w:val="Compact"/>
      </w:pPr>
      <w:r>
        <w:t xml:space="preserve">256个Routed Experts，Top-8；</w:t>
      </w:r>
    </w:p>
    <w:p>
      <w:pPr>
        <w:numPr>
          <w:ilvl w:val="0"/>
          <w:numId w:val="1007"/>
        </w:numPr>
        <w:pStyle w:val="Compact"/>
      </w:pPr>
      <w:r>
        <w:t xml:space="preserve">97.5%参数为Routed Expert，2.5%为非专家参数，该比例代入式（1）得到约37.2B激活参数；</w:t>
      </w:r>
    </w:p>
    <w:p>
      <w:pPr>
        <w:numPr>
          <w:ilvl w:val="0"/>
          <w:numId w:val="1007"/>
        </w:numPr>
        <w:pStyle w:val="Compact"/>
      </w:pPr>
      <w:r>
        <w:t xml:space="preserve">Routed Expert按</w:t>
      </w:r>
      <w:r>
        <w:t xml:space="preserve"> </w:t>
      </w:r>
      <m:oMath>
        <m:r>
          <m:t>T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r>
          <m:t>E</m:t>
        </m:r>
        <m:r>
          <m:t>P</m:t>
        </m:r>
        <m:r>
          <m:rPr>
            <m:sty m:val="p"/>
          </m:rPr>
          <m:t>×</m:t>
        </m:r>
        <m:r>
          <m:t>P</m:t>
        </m:r>
        <m:r>
          <m:t>P</m:t>
        </m:r>
      </m:oMath>
      <w:r>
        <w:t xml:space="preserve"> </w:t>
      </w:r>
      <w:r>
        <w:t xml:space="preserve">切分，非专家参数按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×</m:t>
        </m:r>
        <m:r>
          <m:t>P</m:t>
        </m:r>
        <m:r>
          <m:t>P</m:t>
        </m:r>
      </m:oMath>
      <w:r>
        <w:t xml:space="preserve"> </w:t>
      </w:r>
      <w:r>
        <w:t xml:space="preserve">切分；</w:t>
      </w:r>
    </w:p>
    <w:p>
      <w:pPr>
        <w:numPr>
          <w:ilvl w:val="0"/>
          <w:numId w:val="1007"/>
        </w:numPr>
        <w:pStyle w:val="Compact"/>
      </w:pPr>
      <m:oMath>
        <m:r>
          <m:t>T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T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E</m:t>
        </m:r>
        <m:r>
          <m:t>P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P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85%规划容量内再为Activation、通信和Workspace预留20 GB；</w:t>
      </w:r>
    </w:p>
    <w:p>
      <w:pPr>
        <w:numPr>
          <w:ilvl w:val="0"/>
          <w:numId w:val="1007"/>
        </w:numPr>
        <w:pStyle w:val="Compact"/>
      </w:pPr>
      <w:r>
        <w:t xml:space="preserve">HBM规划利用率85%。</w:t>
      </w:r>
    </w:p>
    <w:p>
      <w:pPr>
        <w:pStyle w:val="FirstParagraph"/>
      </w:pPr>
      <w:r>
        <w:t xml:space="preserve">训练状态总量约为</w:t>
      </w:r>
      <w:r>
        <w:t xml:space="preserve"> </w:t>
      </w:r>
      <m:oMath>
        <m:r>
          <m:t>671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10.736</m:t>
        </m:r>
        <m:r>
          <m:t> </m:t>
        </m:r>
        <m:r>
          <m:rPr>
            <m:nor/>
            <m:sty m:val="p"/>
          </m:rPr>
          <m:t>TB</m:t>
        </m:r>
      </m:oMath>
      <w:r>
        <w:t xml:space="preserve">。</w:t>
      </w:r>
    </w:p>
    <w:p>
      <w:pPr>
        <w:pStyle w:val="BodyText"/>
      </w:pPr>
      <w:r>
        <w:t xml:space="preserve">在上述参数拆分假设下，每RankRouted Expert状态约10.2 GB，非专家状态约16.8 GB，训练状态合计约27.0 GB；加20 GB负载预留后约47.0 GB，低于122.4 GB规划容量。HBM剩余15%作为系统安全余量，与20 GB负载预留分属两层。完整模型并行组为1024 Rank，每个PP Stage内的高频TP×EP域为128 Rank。</w:t>
      </w:r>
    </w:p>
    <w:p>
      <w:pPr>
        <w:pStyle w:val="BodyText"/>
      </w:pPr>
      <w:r>
        <w:t xml:space="preserve">该结果只证明容量候选。性能推荐规模仍需验证128 Rank All-to-All、专家倾斜、小GEMM效率和TP通信。</w:t>
      </w:r>
    </w:p>
    <w:bookmarkEnd w:id="35"/>
    <w:bookmarkStart w:id="36" w:name="长上下文moe推理示例"/>
    <w:p>
      <w:pPr>
        <w:pStyle w:val="Heading3"/>
      </w:pPr>
      <w:r>
        <w:t xml:space="preserve">7.3 长上下文MoE推理示例</w:t>
      </w:r>
    </w:p>
    <w:p>
      <w:pPr>
        <w:pStyle w:val="FirstParagraph"/>
      </w:pPr>
      <w:r>
        <w:t xml:space="preserve">示例模型：</w:t>
      </w:r>
    </w:p>
    <w:p>
      <w:pPr>
        <w:numPr>
          <w:ilvl w:val="0"/>
          <w:numId w:val="1008"/>
        </w:numPr>
        <w:pStyle w:val="Compact"/>
      </w:pPr>
      <w:r>
        <w:t xml:space="preserve">总参数400B、激活参数40B；</w:t>
      </w:r>
    </w:p>
    <w:p>
      <w:pPr>
        <w:numPr>
          <w:ilvl w:val="0"/>
          <w:numId w:val="1008"/>
        </w:numPr>
        <w:pStyle w:val="Compact"/>
      </w:pPr>
      <w:r>
        <w:t xml:space="preserve">FP8权重约400 GB；</w:t>
      </w:r>
    </w:p>
    <w:p>
      <w:pPr>
        <w:numPr>
          <w:ilvl w:val="0"/>
          <w:numId w:val="1008"/>
        </w:numPr>
        <w:pStyle w:val="Compact"/>
      </w:pPr>
      <w:r>
        <w:t xml:space="preserve">64层、8个KV Head、Head维度128；</w:t>
      </w:r>
    </w:p>
    <w:p>
      <w:pPr>
        <w:numPr>
          <w:ilvl w:val="0"/>
          <w:numId w:val="1008"/>
        </w:numPr>
        <w:pStyle w:val="Compact"/>
      </w:pPr>
      <w:r>
        <w:t xml:space="preserve">BF16 KV；</w:t>
      </w:r>
    </w:p>
    <w:p>
      <w:pPr>
        <w:numPr>
          <w:ilvl w:val="0"/>
          <w:numId w:val="1008"/>
        </w:numPr>
        <w:pStyle w:val="Compact"/>
      </w:pPr>
      <w:r>
        <w:t xml:space="preserve">128 Ki上下文、16并发。</w:t>
      </w:r>
    </w:p>
    <w:p>
      <w:pPr>
        <w:pStyle w:val="FirstParagraph"/>
      </w:pPr>
      <w:r>
        <w:t xml:space="preserve">每Token KV为256 KiB，单请求KV为32 GiB，16并发逻辑KV约512 GiB，即约550 GB。权重与KV合计约950 GB，按单NPU规划可用122.4 GB计算，逻辑聚合容量下界为8 Rank。</w:t>
      </w:r>
    </w:p>
    <w:p>
      <w:pPr>
        <w:pStyle w:val="BodyText"/>
      </w:pPr>
      <w:r>
        <w:t xml:space="preserve">实际布局还需加入专家放置、TP/EP/CP、KV Head复制和Workspace。高频域通常大于聚合容量下界。</w:t>
      </w:r>
    </w:p>
    <w:p>
      <w:pPr>
        <w:pStyle w:val="BodyText"/>
      </w:pPr>
      <w:r>
        <w:t xml:space="preserve">按每秒2个完整Prompt进入Decode池、网络有效效率70%计算，平均名义PD KV带宽下界约为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/</m:t>
        </m:r>
        <m:r>
          <m:t>0.7</m:t>
        </m:r>
        <m:r>
          <m:rPr>
            <m:sty m:val="p"/>
          </m:rPr>
          <m:t>≈</m:t>
        </m:r>
        <m:r>
          <m:t>91.4</m:t>
        </m:r>
        <m:r>
          <m:t> </m:t>
        </m:r>
        <m:r>
          <m:rPr>
            <m:nor/>
            <m:sty m:val="p"/>
          </m:rPr>
          <m:t>GiB/s</m:t>
        </m:r>
      </m:oMath>
      <w:r>
        <w:t xml:space="preserve">。该值使用逻辑KV而非完整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wire</m:t>
            </m:r>
          </m:sub>
        </m:sSub>
      </m:oMath>
      <w:r>
        <w:t xml:space="preserve">，不含TP重排、协议开销和短时突发，不能直接与2 TB/s芯片互联峰值作性能结论。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产品规格与客户选型建议"/>
    <w:p>
      <w:pPr>
        <w:pStyle w:val="Heading2"/>
      </w:pPr>
      <w:r>
        <w:t xml:space="preserve">8. 产品规格与客户选型建议</w:t>
      </w:r>
    </w:p>
    <w:bookmarkStart w:id="38" w:name="产品规格"/>
    <w:p>
      <w:pPr>
        <w:pStyle w:val="Heading3"/>
      </w:pPr>
      <w:r>
        <w:t xml:space="preserve">8.1 产品规格</w:t>
      </w:r>
    </w:p>
    <w:p>
      <w:pPr>
        <w:pStyle w:val="FirstParagraph"/>
      </w:pPr>
      <w:r>
        <w:t xml:space="preserve">超节点产品定义应从目标MoE负载集合出发，比较64、128、256、512和1024卡子域的有效覆盖率。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HBM、统一编址和池化内存分层能力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目标精度下的模型级有效算力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All-Reduce/All-Gather的算法带宽与时延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All-to-All吞吐、Peer扩展和P99尾延迟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长序列KV交换和通信计算重叠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最小调度粒度、带宽隔离和故障隔离</w:t>
            </w:r>
          </w:p>
        </w:tc>
      </w:tr>
    </w:tbl>
    <w:p>
      <w:pPr>
        <w:pStyle w:val="BodyText"/>
      </w:pPr>
      <w:r>
        <w:t xml:space="preserve">大规模产品的主要目标场景包括高专家数、长上下文和大TP×EP×CP负载。公开路线图参数尚不能证明最大规模模型级效率，仍需完成1024卡以上的扩展效率、拥塞和尾延迟验证。</w:t>
      </w:r>
    </w:p>
    <w:bookmarkEnd w:id="38"/>
    <w:bookmarkStart w:id="39" w:name="客户选型"/>
    <w:p>
      <w:pPr>
        <w:pStyle w:val="Heading3"/>
      </w:pPr>
      <w:r>
        <w:t xml:space="preserve">8.2 客户选型</w:t>
      </w:r>
    </w:p>
    <w:p>
      <w:pPr>
        <w:pStyle w:val="FirstParagraph"/>
      </w:pPr>
      <w:r>
        <w:t xml:space="preserve">训练选型流程：</w:t>
      </w:r>
    </w:p>
    <w:p>
      <w:pPr>
        <w:pStyle w:val="SourceCode"/>
      </w:pPr>
      <w:r>
        <w:rPr>
          <w:rStyle w:val="VerbatimChar"/>
        </w:rPr>
        <w:t xml:space="preserve">逐层参数与专家分解</w:t>
      </w:r>
      <w:r>
        <w:br/>
      </w:r>
      <w:r>
        <w:rPr>
          <w:rStyle w:val="VerbatimChar"/>
        </w:rPr>
        <w:t xml:space="preserve">→ 训练状态和Activation容量</w:t>
      </w:r>
      <w:r>
        <w:br/>
      </w:r>
      <w:r>
        <w:rPr>
          <w:rStyle w:val="VerbatimChar"/>
        </w:rPr>
        <w:t xml:space="preserve">→ TP×EP×CP高频域</w:t>
      </w:r>
      <w:r>
        <w:br/>
      </w:r>
      <w:r>
        <w:rPr>
          <w:rStyle w:val="VerbatimChar"/>
        </w:rPr>
        <w:t xml:space="preserve">→ PP×DP集群扩展</w:t>
      </w:r>
      <w:r>
        <w:br/>
      </w:r>
      <w:r>
        <w:rPr>
          <w:rStyle w:val="VerbatimChar"/>
        </w:rPr>
        <w:t xml:space="preserve">→ HCCL与端到端MFU验证</w:t>
      </w:r>
    </w:p>
    <w:p>
      <w:pPr>
        <w:pStyle w:val="FirstParagraph"/>
      </w:pPr>
      <w:r>
        <w:t xml:space="preserve">推理选型流程：</w:t>
      </w:r>
    </w:p>
    <w:p>
      <w:pPr>
        <w:pStyle w:val="SourceCode"/>
      </w:pPr>
      <w:r>
        <w:rPr>
          <w:rStyle w:val="VerbatimChar"/>
        </w:rPr>
        <w:t xml:space="preserve">全部专家权重与KV高水位</w:t>
      </w:r>
      <w:r>
        <w:br/>
      </w:r>
      <w:r>
        <w:rPr>
          <w:rStyle w:val="VerbatimChar"/>
        </w:rPr>
        <w:t xml:space="preserve">→ 最小可行TP×EP×CP布局</w:t>
      </w:r>
      <w:r>
        <w:br/>
      </w:r>
      <w:r>
        <w:rPr>
          <w:rStyle w:val="VerbatimChar"/>
        </w:rPr>
        <w:t xml:space="preserve">→ TTFT与TPOT验证</w:t>
      </w:r>
      <w:r>
        <w:br/>
      </w:r>
      <w:r>
        <w:rPr>
          <w:rStyle w:val="VerbatimChar"/>
        </w:rPr>
        <w:t xml:space="preserve">→ Batch和副本扩展吞吐</w:t>
      </w:r>
      <w:r>
        <w:br/>
      </w:r>
      <w:r>
        <w:rPr>
          <w:rStyle w:val="VerbatimChar"/>
        </w:rPr>
        <w:t xml:space="preserve">→ PD传输与P99突发验证</w:t>
      </w:r>
    </w:p>
    <w:bookmarkEnd w:id="39"/>
    <w:bookmarkStart w:id="40" w:name="最终判断"/>
    <w:p>
      <w:pPr>
        <w:pStyle w:val="Heading3"/>
      </w:pPr>
      <w:r>
        <w:t xml:space="preserve">8.3 最终判断</w:t>
      </w:r>
    </w:p>
    <w:p>
      <w:pPr>
        <w:pStyle w:val="FirstParagraph"/>
      </w:pPr>
      <w:r>
        <w:t xml:space="preserve">MoE超节点规模的技术最优点由以下条件共同决定：</w:t>
      </w:r>
    </w:p>
    <w:p>
      <w:pPr>
        <w:numPr>
          <w:ilvl w:val="0"/>
          <w:numId w:val="1009"/>
        </w:numPr>
        <w:pStyle w:val="Compact"/>
      </w:pPr>
      <w:r>
        <w:t xml:space="preserve">全部专家权重或训练状态可装入；</w:t>
      </w:r>
    </w:p>
    <w:p>
      <w:pPr>
        <w:numPr>
          <w:ilvl w:val="0"/>
          <w:numId w:val="1009"/>
        </w:numPr>
        <w:pStyle w:val="Compact"/>
      </w:pPr>
      <w:r>
        <w:t xml:space="preserve">非专家和复制状态不会因EP扩大而超出HBM；</w:t>
      </w:r>
    </w:p>
    <w:p>
      <w:pPr>
        <w:numPr>
          <w:ilvl w:val="0"/>
          <w:numId w:val="1009"/>
        </w:numPr>
        <w:pStyle w:val="Compact"/>
      </w:pPr>
      <w:r>
        <w:t xml:space="preserve">单专家Token数量保持计算饱满；</w:t>
      </w:r>
    </w:p>
    <w:p>
      <w:pPr>
        <w:numPr>
          <w:ilvl w:val="0"/>
          <w:numId w:val="1009"/>
        </w:numPr>
        <w:pStyle w:val="Compact"/>
      </w:pPr>
      <w:r>
        <w:t xml:space="preserve">TP、EP和CP高频通信位于高速域；</w:t>
      </w:r>
    </w:p>
    <w:p>
      <w:pPr>
        <w:numPr>
          <w:ilvl w:val="0"/>
          <w:numId w:val="1009"/>
        </w:numPr>
        <w:pStyle w:val="Compact"/>
      </w:pPr>
      <w:r>
        <w:t xml:space="preserve">通信暴露、专家倾斜和尾部时延保持在目标范围；</w:t>
      </w:r>
    </w:p>
    <w:p>
      <w:pPr>
        <w:numPr>
          <w:ilvl w:val="0"/>
          <w:numId w:val="1009"/>
        </w:numPr>
        <w:pStyle w:val="Compact"/>
      </w:pPr>
      <w:r>
        <w:t xml:space="preserve">较小任务能够使用独立高效子域。</w:t>
      </w:r>
    </w:p>
    <w:p>
      <w:pPr>
        <w:pStyle w:val="FirstParagraph"/>
      </w:pPr>
      <w:r>
        <w:t xml:space="preserve">参数化公式用于生成候选规模，目标平台Benchmark负责确定性能推荐规模和扩展拐点。超节点最大卡数、子域效率和集群总规模需要分别定义。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资料来源"/>
    <w:p>
      <w:pPr>
        <w:pStyle w:val="Heading2"/>
      </w:pPr>
      <w:r>
        <w:t xml:space="preserve">资料来源</w:t>
      </w:r>
    </w:p>
    <w:p>
      <w:pPr>
        <w:numPr>
          <w:ilvl w:val="0"/>
          <w:numId w:val="1010"/>
        </w:numPr>
        <w:pStyle w:val="Compact"/>
      </w:pPr>
      <w:hyperlink r:id="rId42">
        <w:r>
          <w:rPr>
            <w:rStyle w:val="Hyperlink"/>
          </w:rPr>
          <w:t xml:space="preserve">华为计算产业战略及新品发布会主题演讲</w:t>
        </w:r>
      </w:hyperlink>
    </w:p>
    <w:p>
      <w:pPr>
        <w:numPr>
          <w:ilvl w:val="0"/>
          <w:numId w:val="1010"/>
        </w:numPr>
        <w:pStyle w:val="Compact"/>
      </w:pPr>
      <w:hyperlink r:id="rId43">
        <w:r>
          <w:rPr>
            <w:rStyle w:val="Hyperlink"/>
          </w:rPr>
          <w:t xml:space="preserve">华为Atlas 950 SuperPoD 1024卡真机</w:t>
        </w:r>
      </w:hyperlink>
    </w:p>
    <w:p>
      <w:pPr>
        <w:numPr>
          <w:ilvl w:val="0"/>
          <w:numId w:val="1010"/>
        </w:numPr>
        <w:pStyle w:val="Compact"/>
      </w:pPr>
      <w:hyperlink r:id="rId44">
        <w:r>
          <w:rPr>
            <w:rStyle w:val="Hyperlink"/>
          </w:rPr>
          <w:t xml:space="preserve">Switch Transformer</w:t>
        </w:r>
      </w:hyperlink>
    </w:p>
    <w:p>
      <w:pPr>
        <w:numPr>
          <w:ilvl w:val="0"/>
          <w:numId w:val="1010"/>
        </w:numPr>
        <w:pStyle w:val="Compact"/>
      </w:pPr>
      <w:hyperlink r:id="rId45">
        <w:r>
          <w:rPr>
            <w:rStyle w:val="Hyperlink"/>
          </w:rPr>
          <w:t xml:space="preserve">GShard</w:t>
        </w:r>
      </w:hyperlink>
    </w:p>
    <w:p>
      <w:pPr>
        <w:numPr>
          <w:ilvl w:val="0"/>
          <w:numId w:val="1010"/>
        </w:numPr>
        <w:pStyle w:val="Compact"/>
      </w:pPr>
      <w:hyperlink r:id="rId46">
        <w:r>
          <w:rPr>
            <w:rStyle w:val="Hyperlink"/>
          </w:rPr>
          <w:t xml:space="preserve">MegaBlocks</w:t>
        </w:r>
      </w:hyperlink>
    </w:p>
    <w:p>
      <w:pPr>
        <w:numPr>
          <w:ilvl w:val="0"/>
          <w:numId w:val="1010"/>
        </w:numPr>
        <w:pStyle w:val="Compact"/>
      </w:pPr>
      <w:hyperlink r:id="rId47">
        <w:r>
          <w:rPr>
            <w:rStyle w:val="Hyperlink"/>
          </w:rPr>
          <w:t xml:space="preserve">DeepSeekMoE</w:t>
        </w:r>
      </w:hyperlink>
    </w:p>
    <w:p>
      <w:pPr>
        <w:numPr>
          <w:ilvl w:val="0"/>
          <w:numId w:val="1010"/>
        </w:numPr>
        <w:pStyle w:val="Compact"/>
      </w:pPr>
      <w:hyperlink r:id="rId48">
        <w:r>
          <w:rPr>
            <w:rStyle w:val="Hyperlink"/>
          </w:rPr>
          <w:t xml:space="preserve">PagedAttention</w:t>
        </w:r>
      </w:hyperlink>
    </w:p>
    <w:p>
      <w:pPr>
        <w:numPr>
          <w:ilvl w:val="0"/>
          <w:numId w:val="1010"/>
        </w:numPr>
        <w:pStyle w:val="Compact"/>
      </w:pPr>
      <w:hyperlink r:id="rId49">
        <w:r>
          <w:rPr>
            <w:rStyle w:val="Hyperlink"/>
          </w:rPr>
          <w:t xml:space="preserve">DistServe</w:t>
        </w:r>
      </w:hyperlink>
    </w:p>
    <w:p>
      <w:pPr>
        <w:pStyle w:val="BlockText"/>
      </w:pPr>
      <w:r>
        <w:t xml:space="preserve">完整推导、公式边界和Benchmark清单见同目录</w:t>
      </w:r>
      <w:hyperlink r:id="rId50">
        <w:r>
          <w:rPr>
            <w:rStyle w:val="Hyperlink"/>
          </w:rPr>
          <w:t xml:space="preserve">完整版报告</w:t>
        </w:r>
      </w:hyperlink>
      <w:r>
        <w:t xml:space="preserve">。</w:t>
      </w:r>
    </w:p>
    <w:bookmarkEnd w:id="51"/>
    <w:bookmarkEnd w:id="52"/>
    <w:sectPr>
      <w:pgSz w:h="16838" w:w="11906"/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Arial" w:eastAsia="Microsoft YaHei" w:hAnsi="Arial"/>
      <w:b w:val="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Microsoft YaHei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val="4F81BD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val="4F81B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./&#26119;&#33150;&#36229;&#33410;&#28857;&#35268;&#27169;&#38656;&#27714;&#20998;&#26512;.md" TargetMode="External" /><Relationship Type="http://schemas.openxmlformats.org/officeDocument/2006/relationships/hyperlink" Id="rId47" Target="https://aclanthology.org/2024.acl-long.70/" TargetMode="External" /><Relationship Type="http://schemas.openxmlformats.org/officeDocument/2006/relationships/hyperlink" Id="rId45" Target="https://arxiv.org/abs/2006.16668" TargetMode="External" /><Relationship Type="http://schemas.openxmlformats.org/officeDocument/2006/relationships/hyperlink" Id="rId49" Target="https://arxiv.org/abs/2401.09670" TargetMode="External" /><Relationship Type="http://schemas.openxmlformats.org/officeDocument/2006/relationships/hyperlink" Id="rId48" Target="https://dl.acm.org/doi/10.1145/3600006.3613165" TargetMode="External" /><Relationship Type="http://schemas.openxmlformats.org/officeDocument/2006/relationships/hyperlink" Id="rId44" Target="https://jmlr.org/papers/volume23/21-0998/21-0998.pdf" TargetMode="External" /><Relationship Type="http://schemas.openxmlformats.org/officeDocument/2006/relationships/hyperlink" Id="rId46" Target="https://proceedings.mlsys.org/paper_files/paper/2023/file/5a54f79333768effe7e8927bcccffe40-Paper-mlsys2023.pdf" TargetMode="External" /><Relationship Type="http://schemas.openxmlformats.org/officeDocument/2006/relationships/hyperlink" Id="rId42" Target="https://www.huawei.com/cn/news/2025/9/hc-xu-keynote-speech" TargetMode="External" /><Relationship Type="http://schemas.openxmlformats.org/officeDocument/2006/relationships/hyperlink" Id="rId43" Target="https://www.huawei.com/cn/news/2026/7/atlas-950-superpo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&#26119;&#33150;&#36229;&#33410;&#28857;&#35268;&#27169;&#38656;&#27714;&#20998;&#26512;.md" TargetMode="External" /><Relationship Type="http://schemas.openxmlformats.org/officeDocument/2006/relationships/hyperlink" Id="rId47" Target="https://aclanthology.org/2024.acl-long.70/" TargetMode="External" /><Relationship Type="http://schemas.openxmlformats.org/officeDocument/2006/relationships/hyperlink" Id="rId45" Target="https://arxiv.org/abs/2006.16668" TargetMode="External" /><Relationship Type="http://schemas.openxmlformats.org/officeDocument/2006/relationships/hyperlink" Id="rId49" Target="https://arxiv.org/abs/2401.09670" TargetMode="External" /><Relationship Type="http://schemas.openxmlformats.org/officeDocument/2006/relationships/hyperlink" Id="rId48" Target="https://dl.acm.org/doi/10.1145/3600006.3613165" TargetMode="External" /><Relationship Type="http://schemas.openxmlformats.org/officeDocument/2006/relationships/hyperlink" Id="rId44" Target="https://jmlr.org/papers/volume23/21-0998/21-0998.pdf" TargetMode="External" /><Relationship Type="http://schemas.openxmlformats.org/officeDocument/2006/relationships/hyperlink" Id="rId46" Target="https://proceedings.mlsys.org/paper_files/paper/2023/file/5a54f79333768effe7e8927bcccffe40-Paper-mlsys2023.pdf" TargetMode="External" /><Relationship Type="http://schemas.openxmlformats.org/officeDocument/2006/relationships/hyperlink" Id="rId42" Target="https://www.huawei.com/cn/news/2025/9/hc-xu-keynote-speech" TargetMode="External" /><Relationship Type="http://schemas.openxmlformats.org/officeDocument/2006/relationships/hyperlink" Id="rId43" Target="https://www.huawei.com/cn/news/2026/7/atlas-950-superpo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2026-08-11T10:13:10Z</dcterms:created>
  <dcterms:modified xsi:type="dcterms:W3CDTF">2026-08-11T10:13:10Z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