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ATB-2026-12</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24–31 MAY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2026-05-31</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INFRASTRUCTURE CONVERGENCE: THREE ADVERSARIES, ONE SUMMER</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Recognize</w:t>
      </w:r>
    </w:p>
    <w:p>
      <w:pPr>
        <w:spacing w:after="40"/>
      </w:pPr>
      <w:r>
        <w:rPr>
          <w:rFonts w:ascii="Georgia" w:hAnsi="Georgia"/>
          <w:b w:val="0"/>
          <w:i w:val="0"/>
          <w:color w:val="142233"/>
          <w:sz w:val="19"/>
        </w:rPr>
        <w:t>This is not a single-incident threat environment. China, Russia, and Iran are each applying pressure to different layers of the same system — communications, infrastructure, and decision timelines. The converging risk is that a failure in one layer accelerates failure in others.</w:t>
      </w:r>
    </w:p>
    <w:p>
      <w:pPr>
        <w:spacing w:before="160" w:after="40"/>
      </w:pPr>
      <w:r>
        <w:rPr>
          <w:b/>
          <w:color w:val="7A5A1E"/>
          <w:sz w:val="20"/>
        </w:rPr>
        <w:t>Board Implications This Week — Ask</w:t>
      </w:r>
    </w:p>
    <w:p>
      <w:pPr>
        <w:spacing w:after="40"/>
      </w:pPr>
      <w:r>
        <w:rPr>
          <w:rFonts w:ascii="Georgia" w:hAnsi="Georgia"/>
          <w:b w:val="0"/>
          <w:i w:val="0"/>
          <w:color w:val="142233"/>
          <w:sz w:val="19"/>
        </w:rPr>
        <w:t>Which operations fail first if cloud routing is disrupted for 48–72 hours? What is the backup power posture if ERCOT issues a conservation notice during peak AI load demand? Does vendor remote access inventory reflect current state?</w:t>
      </w:r>
    </w:p>
    <w:p>
      <w:pPr>
        <w:spacing w:before="160" w:after="40"/>
      </w:pPr>
      <w:r>
        <w:rPr>
          <w:b/>
          <w:color w:val="7A5A1E"/>
          <w:sz w:val="20"/>
        </w:rPr>
        <w:t>Board Implications This Week — Convene</w:t>
      </w:r>
    </w:p>
    <w:p>
      <w:pPr>
        <w:spacing w:after="40"/>
      </w:pPr>
      <w:r>
        <w:rPr>
          <w:rFonts w:ascii="Georgia" w:hAnsi="Georgia"/>
          <w:b w:val="0"/>
          <w:i w:val="0"/>
          <w:color w:val="142233"/>
          <w:sz w:val="19"/>
        </w:rPr>
        <w:t>A 90-minute leadership review — no slides required — to map which dependency breaks first under multi-layer degraded conditions. Assign owners and deadlines for any gap. This is a CEO and COO decision, not a CISO-only conversation.</w:t>
      </w:r>
    </w:p>
    <w:p>
      <w:pPr>
        <w:spacing w:before="160" w:after="40"/>
      </w:pPr>
      <w:r>
        <w:rPr>
          <w:b/>
          <w:color w:val="7A5A1E"/>
          <w:sz w:val="20"/>
        </w:rPr>
        <w:t>Board Implications This Week — Document</w:t>
      </w:r>
    </w:p>
    <w:p>
      <w:pPr>
        <w:spacing w:after="40"/>
      </w:pPr>
      <w:r>
        <w:rPr>
          <w:rFonts w:ascii="Georgia" w:hAnsi="Georgia"/>
          <w:b w:val="0"/>
          <w:i w:val="0"/>
          <w:color w:val="142233"/>
          <w:sz w:val="19"/>
        </w:rPr>
        <w:t>Record this week’s leadership discussion, gaps identified, and remediation assignments. If a disruption occurs and the organization was warned — as it is being warned now — that governance record becomes material to regulatory, legal, and insurance proceedings.</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Iran Escalated from Rhetoric to Operational Coercion — Hormuz Cables</w:t>
      </w:r>
    </w:p>
    <w:p>
      <w:pPr>
        <w:spacing w:after="160"/>
      </w:pPr>
      <w:r>
        <w:rPr>
          <w:rFonts w:ascii="Georgia" w:hAnsi="Georgia"/>
          <w:b w:val="0"/>
          <w:i w:val="0"/>
          <w:color w:val="142233"/>
          <w:sz w:val="21"/>
        </w:rPr>
        <w:t xml:space="preserve">During the week of 24–31 May, Iranian military and IRGC-linked narratives moved from signaling to operational assertion. IRGC Spokesman Ebrahim Zolfaghari announced on 9 May that Iran would impose fees on undersea cables in the Strait of Hormuz; by late May, state-linked media published detailed cable and cloud infrastructure mapping of the Persian Gulf (sourced to Tasnim, the IRGC-linked outlet) and Iranian officials continued framing cable control as a sovereign right tied to regional negotiations. </w:t>
      </w:r>
      <w:r>
        <w:rPr>
          <w:rFonts w:ascii="Georgia" w:hAnsi="Georgia"/>
          <w:b/>
          <w:i w:val="0"/>
          <w:color w:val="142233"/>
          <w:sz w:val="21"/>
        </w:rPr>
        <w:t>Alcatel Submarine Networks has paused all Gulf repair operations</w:t>
      </w:r>
      <w:r>
        <w:rPr>
          <w:rFonts w:ascii="Georgia" w:hAnsi="Georgia"/>
          <w:b w:val="0"/>
          <w:i w:val="0"/>
          <w:color w:val="142233"/>
          <w:sz w:val="21"/>
        </w:rPr>
        <w:t xml:space="preserve"> in response. With the Red Sea cable corridor already degraded by the Houthi conflict, there is now no reliable repair capacity for the primary remaining Europe-Asia data route.</w:t>
      </w:r>
    </w:p>
    <w:p>
      <w:pPr>
        <w:spacing w:before="200" w:after="120"/>
      </w:pPr>
      <w:r>
        <w:rPr>
          <w:rFonts w:ascii="Calibri" w:hAnsi="Calibri"/>
          <w:b/>
          <w:color w:val="142233"/>
          <w:sz w:val="23"/>
        </w:rPr>
        <w:t>GCHQ Director Issues Unprecedented Public Warning on Russia — 27 May</w:t>
      </w:r>
    </w:p>
    <w:p>
      <w:pPr>
        <w:spacing w:after="160"/>
      </w:pPr>
      <w:r>
        <w:rPr>
          <w:rFonts w:ascii="Georgia" w:hAnsi="Georgia"/>
          <w:b w:val="0"/>
          <w:i w:val="0"/>
          <w:color w:val="142233"/>
          <w:sz w:val="21"/>
        </w:rPr>
        <w:t xml:space="preserve">In a rare public address at Bletchley Park on </w:t>
      </w:r>
      <w:r>
        <w:rPr>
          <w:rFonts w:ascii="Georgia" w:hAnsi="Georgia"/>
          <w:b/>
          <w:i w:val="0"/>
          <w:color w:val="142233"/>
          <w:sz w:val="21"/>
        </w:rPr>
        <w:t>27 May 2026</w:t>
      </w:r>
      <w:r>
        <w:rPr>
          <w:rFonts w:ascii="Georgia" w:hAnsi="Georgia"/>
          <w:b w:val="0"/>
          <w:i w:val="0"/>
          <w:color w:val="142233"/>
          <w:sz w:val="21"/>
        </w:rPr>
        <w:t>, GCHQ Director Anne Keast-Butler warned that Russia is “relentlessly” targeting critical infrastructure, supply chains, democratic processes, and public trust across the UK and Europe. She described the West as existing in “a space between peace and war,” stated the risk of miscalculation is the highest she has ever observed, and called for cybersecurity to be treated as “ten times more urgent.” She also characterized China as a “science and tech superpower with sophisticated capabilities” and stated AI is being weaponized below the threshold of traditional warfare. This is a Five Eyes-level warning directed at boardrooms, not security teams.</w:t>
      </w:r>
    </w:p>
    <w:p>
      <w:pPr>
        <w:spacing w:before="200" w:after="120"/>
      </w:pPr>
      <w:r>
        <w:rPr>
          <w:rFonts w:ascii="Calibri" w:hAnsi="Calibri"/>
          <w:b/>
          <w:color w:val="142233"/>
          <w:sz w:val="23"/>
        </w:rPr>
        <w:t>China Strategic Persistence Guidance Reinforced by NSA/FBI/CISA</w:t>
      </w:r>
    </w:p>
    <w:p>
      <w:pPr>
        <w:spacing w:after="160"/>
      </w:pPr>
      <w:r>
        <w:rPr>
          <w:rFonts w:ascii="Georgia" w:hAnsi="Georgia"/>
          <w:b w:val="0"/>
          <w:i w:val="0"/>
          <w:color w:val="142233"/>
          <w:sz w:val="21"/>
        </w:rPr>
        <w:t xml:space="preserve">Federal guidance issued in May 2026 continued to emphasize that China-linked actors — including Volt Typhoon and Salt Typhoon — maintain covert long-duration access in U.S. infrastructure environments with a focus on energy, telecommunications, cloud infrastructure, edge devices, and identity systems. The CISA Secure by Demand initiative extended this warning to vendor and supply-chain accountability. </w:t>
      </w:r>
      <w:r>
        <w:rPr>
          <w:rFonts w:ascii="Georgia" w:hAnsi="Georgia"/>
          <w:b/>
          <w:i w:val="0"/>
          <w:color w:val="142233"/>
          <w:sz w:val="21"/>
        </w:rPr>
        <w:t>Confirmed fact:</w:t>
      </w:r>
      <w:r>
        <w:rPr>
          <w:rFonts w:ascii="Georgia" w:hAnsi="Georgia"/>
          <w:b w:val="0"/>
          <w:i w:val="0"/>
          <w:color w:val="142233"/>
          <w:sz w:val="21"/>
        </w:rPr>
        <w:t xml:space="preserve"> access exists. </w:t>
      </w:r>
      <w:r>
        <w:rPr>
          <w:rFonts w:ascii="Georgia" w:hAnsi="Georgia"/>
          <w:b/>
          <w:i w:val="0"/>
          <w:color w:val="142233"/>
          <w:sz w:val="21"/>
        </w:rPr>
        <w:t>Analytic assessment:</w:t>
      </w:r>
      <w:r>
        <w:rPr>
          <w:rFonts w:ascii="Georgia" w:hAnsi="Georgia"/>
          <w:b w:val="0"/>
          <w:i w:val="0"/>
          <w:color w:val="142233"/>
          <w:sz w:val="21"/>
        </w:rPr>
        <w:t xml:space="preserve"> it has not been activated because the contingency it supports — a Taiwan conflict or regional crisis — has not materialized. That gap will close on adversary timelines, not ours.</w:t>
      </w:r>
    </w:p>
    <w:p>
      <w:pPr>
        <w:spacing w:before="200" w:after="120"/>
      </w:pPr>
      <w:r>
        <w:rPr>
          <w:rFonts w:ascii="Calibri" w:hAnsi="Calibri"/>
          <w:b/>
          <w:color w:val="142233"/>
          <w:sz w:val="23"/>
        </w:rPr>
        <w:t>ERCOT Grid Enters Record-Demand Summer</w:t>
      </w:r>
    </w:p>
    <w:p>
      <w:pPr>
        <w:spacing w:after="160"/>
      </w:pPr>
      <w:r>
        <w:rPr>
          <w:rFonts w:ascii="Georgia" w:hAnsi="Georgia"/>
          <w:b w:val="0"/>
          <w:i w:val="0"/>
          <w:color w:val="142233"/>
          <w:sz w:val="21"/>
        </w:rPr>
        <w:t>ERCOT’s own filings project summer 2026 peak demand of 90.5–98 GW, exceeding the all-time record. The Public Utility Commission sent preliminary 112 GW forecasts back as unrealistic, but even the conservative range breaks prior records. AI data center load growth — 73% of large-load interconnection requests are data centers — is outpacing dispatchable generation additions. ERCOT-North hub electricity prices are forecast to surge up to 45% this summer. Texas organizations that have not validated backup power posture are entering peak season on assumptions last tested under materially different grid conditions.</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it is </w:t>
      </w:r>
      <w:r>
        <w:rPr>
          <w:rFonts w:ascii="Georgia" w:hAnsi="Georgia"/>
          <w:b/>
          <w:i w:val="0"/>
          <w:color w:val="142233"/>
          <w:sz w:val="21"/>
        </w:rPr>
        <w:t>very likely</w:t>
      </w:r>
      <w:r>
        <w:rPr>
          <w:rFonts w:ascii="Georgia" w:hAnsi="Georgia"/>
          <w:b w:val="0"/>
          <w:i w:val="0"/>
          <w:color w:val="142233"/>
          <w:sz w:val="21"/>
        </w:rPr>
        <w:t xml:space="preserve"> (80–95%) that Iranian coercion of Hormuz undersea cable infrastructure will escalate from fee-assertion to active interference before a negotiated resolution is reached.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IRGC spokesman statement (9 May 2026); Alcatel repair suspension reported by The National (18 May 2026); IRGC-linked Tasnim cable mapping cited in RT analysis (26 May 2026, Russian state-affiliated media — used for Tasnim reference only); Stimson Center analysis of Iranian drone strikes on Gulf data centers (April 2026); Guardian, Reuters, and Times of India coverage 25–27 May 2026. Primary uncertainty: Iran has not severed cables to date; U.S.-Iran ceasefire talks remain active and could shift incentives.</w:t>
      </w:r>
    </w:p>
    <w:p>
      <w:pPr>
        <w:spacing w:after="120"/>
        <w:ind w:left="283"/>
      </w:pPr>
      <w:r>
        <w:rPr>
          <w:color w:val="7A5A1E"/>
          <w:sz w:val="19"/>
        </w:rPr>
        <w:t>Decision implication: Decision Implication: Organizations with cloud routing paths or vendor dependencies transiting the Gulf should identify alternative routing and validate continuity procedures before the next escalation event, not after.</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ERCOT grid stress during summer 2026, compounded by AI data center load concentration, will create exploitable operational vulnerability windows if cyber and physical continuity plans remain separated.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ERCOT April 2026 Long-Term Load Forecast and PUCT proceeding (Data Center Knowledge, May 2026; NPR, 22 May 2026); Data Center Dynamics Texas AI grid risk reporting (27 May 2026). Primary uncertainty: actual summer peak demand, weather-driven load, and realized data center consumption remain uncertain until load materializes.</w:t>
      </w:r>
    </w:p>
    <w:p>
      <w:pPr>
        <w:spacing w:after="120"/>
        <w:ind w:left="283"/>
      </w:pPr>
      <w:r>
        <w:rPr>
          <w:color w:val="7A5A1E"/>
          <w:sz w:val="19"/>
        </w:rPr>
        <w:t>Decision implication: Decision Implication: Large grid consumers and ERCOT-connected critical infrastructure operators should confirm cyber incident response and physical continuity plans are integrated before July, not treated as separate documents.</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China-linked infrastructure persistence represents a pre-conflict access strategy that will be activated against U.S. critical infrastructure during a future Taiwan or regional crisis — and that Texas energy, telecom, and AI/data-center infrastructure are inside that targeting set.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NSA/FBI/CISA Joint Guidance (May 2026); CISA China Threat Overview citing ODNI 2026 Annual Threat Assessment; Cybersecurity Dive (26 May 2026); Financial Times (27 May 2026, subscription required). Primary uncertainty: activation timeline is entirely adversary-controlled; no confirmed active Texas intrusion identified in open reporting this week. This is a structural judgment, not a current-incident finding.</w:t>
      </w:r>
    </w:p>
    <w:p>
      <w:pPr>
        <w:spacing w:after="120"/>
        <w:ind w:left="283"/>
      </w:pPr>
      <w:r>
        <w:rPr>
          <w:color w:val="7A5A1E"/>
          <w:sz w:val="19"/>
        </w:rPr>
        <w:t>Decision implication: Decision Implication: Edge-device visibility, identity governance, and vendor remote-access inventories should be reviewed now against a degraded-operations scenario, not deferred to next fiscal year planning.</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Cross-Sector Implications</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ERCOT / Grid / OT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 xml:space="preserve">ERCOT is entering its highest-risk summer on record. Peak demand is forecast to break the all-time record of 85.5 GW — driven substantially by AI data center load growth the grid was not built to absorb at this pace. ERCOT acknowledged concerns about its own planning reliability, and 73% of large-load interconnection requests are data centers. Any coincident disruption — adversary cyber event against grid management systems, extreme heat, or equipment failure — compresses response time dramatically. </w:t>
            </w:r>
            <w:r>
              <w:rPr>
                <w:rFonts w:ascii="Georgia" w:hAnsi="Georgia"/>
                <w:b/>
                <w:i w:val="0"/>
                <w:color w:val="142233"/>
                <w:sz w:val="19"/>
              </w:rPr>
              <w:t>Action this week:</w:t>
            </w:r>
            <w:r>
              <w:rPr>
                <w:rFonts w:ascii="Georgia" w:hAnsi="Georgia"/>
                <w:b w:val="0"/>
                <w:i w:val="0"/>
                <w:color w:val="142233"/>
                <w:sz w:val="19"/>
              </w:rPr>
              <w:t xml:space="preserve"> OT security posture and backup generation capacity should be reviewed before July. Organizations dependent on uninterrupted power for AI operations, healthcare, or financial processing should validate degraded-operations assumptions now.</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Payments / Recovery / Markets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 xml:space="preserve">Texas financial institutions with Asia-Pacific counterparty exposure, cloud-based transaction processing, or cross-border payment operations face elevated communications continuity risk from the Hormuz cable situation. The more immediate financial risk is market volatility: oil prices remain sensitive to Hormuz escalation, and any Iranian action against cables or shipping would generate rapid energy price movement with direct downstream effects on Texas energy-sector equities, derivatives exposures, and credit portfolios. Finance leadership should verify continuity plans account for simultaneous communications disruption and energy market volatility — not either condition in isolation. </w:t>
            </w:r>
            <w:r>
              <w:rPr>
                <w:rFonts w:ascii="Georgia" w:hAnsi="Georgia"/>
                <w:b/>
                <w:i w:val="0"/>
                <w:color w:val="142233"/>
                <w:sz w:val="19"/>
              </w:rPr>
              <w:t>Action this week:</w:t>
            </w:r>
            <w:r>
              <w:rPr>
                <w:rFonts w:ascii="Georgia" w:hAnsi="Georgia"/>
                <w:b w:val="0"/>
                <w:i w:val="0"/>
                <w:color w:val="142233"/>
                <w:sz w:val="19"/>
              </w:rPr>
              <w:t xml:space="preserve"> Map payment operations against a 48–72 hour cloud or telecom routing disruption scenario.</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 AI Continuity / Supply Chain</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 xml:space="preserve">Healthcare organizations dependent on cloud-hosted clinical applications, remote diagnostic tools, or vendor-managed systems face compounding risk from adversary persistence in shared infrastructure and a degrading global communications layer that could slow incident response. DIB contractors in Texas — particularly those supporting logistics, manufacturing, or command-and-control — should treat the GCHQ warning about Russian supply chain targeting as directly applicable, not as a European concern. AI infrastructure operators face the sharpest convergence: ERCOT grid stress, potential cloud routing disruption, and China persistence create a scenario where availability assumptions embedded in AI service agreements may not survive a multi-layer stress event. </w:t>
            </w:r>
            <w:r>
              <w:rPr>
                <w:rFonts w:ascii="Georgia" w:hAnsi="Georgia"/>
                <w:b/>
                <w:i w:val="0"/>
                <w:color w:val="142233"/>
                <w:sz w:val="19"/>
              </w:rPr>
              <w:t>Action this week:</w:t>
            </w:r>
            <w:r>
              <w:rPr>
                <w:rFonts w:ascii="Georgia" w:hAnsi="Georgia"/>
                <w:b w:val="0"/>
                <w:i w:val="0"/>
                <w:color w:val="142233"/>
                <w:sz w:val="19"/>
              </w:rPr>
              <w:t xml:space="preserve"> Confirm fallback operations and identify continuity-critical workloads before summer peak load begins.</w:t>
            </w:r>
          </w:p>
        </w:tc>
      </w:tr>
    </w:tbl>
    <w:p>
      <w:pPr>
        <w:spacing w:after="120"/>
      </w:pP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Indicators to Watch</w:t>
      </w:r>
    </w:p>
    <w:p>
      <w:pPr>
        <w:spacing w:before="160" w:after="40"/>
      </w:pPr>
      <w:r>
        <w:rPr>
          <w:b/>
          <w:color w:val="1F5C8C"/>
          <w:sz w:val="18"/>
        </w:rPr>
        <w:t xml:space="preserve">IND 1  </w:t>
      </w:r>
      <w:r>
        <w:rPr>
          <w:b/>
          <w:color w:val="142233"/>
          <w:sz w:val="20"/>
        </w:rPr>
        <w:t>Alcatel Suspension Status — Gulf Cable Repair Operations</w:t>
      </w:r>
      <w:r>
        <w:rPr>
          <w:i/>
          <w:color w:val="7A5A1E"/>
          <w:sz w:val="18"/>
        </w:rPr>
        <w:t xml:space="preserve">   [↑ Rising]</w:t>
      </w:r>
    </w:p>
    <w:p>
      <w:pPr>
        <w:spacing w:after="40"/>
        <w:ind w:left="283"/>
      </w:pPr>
      <w:r>
        <w:rPr>
          <w:color w:val="142233"/>
          <w:sz w:val="19"/>
        </w:rPr>
        <w:t>→ Alcatel issues formal statement on indefinite suspension of Gulf operations</w:t>
      </w:r>
    </w:p>
    <w:p>
      <w:pPr>
        <w:spacing w:after="40"/>
        <w:ind w:left="283"/>
      </w:pPr>
      <w:r>
        <w:rPr>
          <w:color w:val="142233"/>
          <w:sz w:val="19"/>
        </w:rPr>
        <w:t>→ Additional cable repair operators announce withdrawal from Hormuz region</w:t>
      </w:r>
    </w:p>
    <w:p>
      <w:pPr>
        <w:spacing w:after="40"/>
        <w:ind w:left="283"/>
      </w:pPr>
      <w:r>
        <w:rPr>
          <w:color w:val="142233"/>
          <w:sz w:val="19"/>
        </w:rPr>
        <w:t>→ Cloud providers begin publishing latency advisories for Asia-Pacific routing</w:t>
      </w:r>
    </w:p>
    <w:p>
      <w:pPr>
        <w:spacing w:after="40"/>
        <w:ind w:left="283"/>
      </w:pPr>
      <w:r>
        <w:rPr>
          <w:color w:val="142233"/>
          <w:sz w:val="19"/>
        </w:rPr>
        <w:t>→ Insurance market suspends or reprices undersea cable coverage in the Gulf</w:t>
      </w:r>
    </w:p>
    <w:p>
      <w:pPr>
        <w:spacing w:after="40"/>
        <w:ind w:left="283"/>
      </w:pPr>
      <w:r>
        <w:rPr>
          <w:color w:val="142233"/>
          <w:sz w:val="19"/>
        </w:rPr>
        <w:t>If Alcatel formally extends or makes permanent its suspension of Gulf repair operations, the redundancy math for Europe-Asia cable routing deteriorates further. Watch for operator service advisories, insurance market reactions, or additional repair companies withdrawing.</w:t>
      </w:r>
    </w:p>
    <w:p>
      <w:pPr>
        <w:spacing w:before="160" w:after="40"/>
      </w:pPr>
      <w:r>
        <w:rPr>
          <w:b/>
          <w:color w:val="1F5C8C"/>
          <w:sz w:val="18"/>
        </w:rPr>
        <w:t xml:space="preserve">IND 2  </w:t>
      </w:r>
      <w:r>
        <w:rPr>
          <w:b/>
          <w:color w:val="142233"/>
          <w:sz w:val="20"/>
        </w:rPr>
        <w:t>Iranian Escalation — Physical Interference with Hormuz Cables</w:t>
      </w:r>
      <w:r>
        <w:rPr>
          <w:i/>
          <w:color w:val="7A5A1E"/>
          <w:sz w:val="18"/>
        </w:rPr>
        <w:t xml:space="preserve">   [↑ Rising]</w:t>
      </w:r>
    </w:p>
    <w:p>
      <w:pPr>
        <w:spacing w:after="40"/>
        <w:ind w:left="283"/>
      </w:pPr>
      <w:r>
        <w:rPr>
          <w:color w:val="142233"/>
          <w:sz w:val="19"/>
        </w:rPr>
        <w:t>→ Iranian vessel reported operating near known cable routes in the Strait</w:t>
      </w:r>
    </w:p>
    <w:p>
      <w:pPr>
        <w:spacing w:after="40"/>
        <w:ind w:left="283"/>
      </w:pPr>
      <w:r>
        <w:rPr>
          <w:color w:val="142233"/>
          <w:sz w:val="19"/>
        </w:rPr>
        <w:t>→ Cable operator issues service disruption alert for Gulf-transiting systems</w:t>
      </w:r>
    </w:p>
    <w:p>
      <w:pPr>
        <w:spacing w:after="40"/>
        <w:ind w:left="283"/>
      </w:pPr>
      <w:r>
        <w:rPr>
          <w:color w:val="142233"/>
          <w:sz w:val="19"/>
        </w:rPr>
        <w:t>→ U.S. Navy issues navigational warning related to cable infrastructure protection</w:t>
      </w:r>
    </w:p>
    <w:p>
      <w:pPr>
        <w:spacing w:after="40"/>
        <w:ind w:left="283"/>
      </w:pPr>
      <w:r>
        <w:rPr>
          <w:color w:val="142233"/>
          <w:sz w:val="19"/>
        </w:rPr>
        <w:t>→ Formal diplomatic protest filed by cable-operating nations against Iran</w:t>
      </w:r>
    </w:p>
    <w:p>
      <w:pPr>
        <w:spacing w:after="40"/>
        <w:ind w:left="283"/>
      </w:pPr>
      <w:r>
        <w:rPr>
          <w:color w:val="142233"/>
          <w:sz w:val="19"/>
        </w:rPr>
        <w:t>The IRGC has mapped the infrastructure and issued demands. The next escalation step is interdiction. Watch for any vessel interference, anchor-drag incidents, or cable service disruption alerts from operators transiting the Gulf.</w:t>
      </w:r>
    </w:p>
    <w:p>
      <w:pPr>
        <w:spacing w:before="160" w:after="40"/>
      </w:pPr>
      <w:r>
        <w:rPr>
          <w:b/>
          <w:color w:val="1F5C8C"/>
          <w:sz w:val="18"/>
        </w:rPr>
        <w:t xml:space="preserve">IND 3  </w:t>
      </w:r>
      <w:r>
        <w:rPr>
          <w:b/>
          <w:color w:val="142233"/>
          <w:sz w:val="20"/>
        </w:rPr>
        <w:t>ERCOT Emergency Conservation Notices — Summer Grid Margin</w:t>
      </w:r>
      <w:r>
        <w:rPr>
          <w:i/>
          <w:color w:val="7A5A1E"/>
          <w:sz w:val="18"/>
        </w:rPr>
        <w:t xml:space="preserve">   [↑ Rising]</w:t>
      </w:r>
    </w:p>
    <w:p>
      <w:pPr>
        <w:spacing w:after="40"/>
        <w:ind w:left="283"/>
      </w:pPr>
      <w:r>
        <w:rPr>
          <w:color w:val="142233"/>
          <w:sz w:val="19"/>
        </w:rPr>
        <w:t>→ ERCOT issues Conservation Appeal or Energy Emergency Alert prior to July 15</w:t>
      </w:r>
    </w:p>
    <w:p>
      <w:pPr>
        <w:spacing w:after="40"/>
        <w:ind w:left="283"/>
      </w:pPr>
      <w:r>
        <w:rPr>
          <w:color w:val="142233"/>
          <w:sz w:val="19"/>
        </w:rPr>
        <w:t>→ ERCOT activates demand response programs before historical peak demand window</w:t>
      </w:r>
    </w:p>
    <w:p>
      <w:pPr>
        <w:spacing w:after="40"/>
        <w:ind w:left="283"/>
      </w:pPr>
      <w:r>
        <w:rPr>
          <w:color w:val="142233"/>
          <w:sz w:val="19"/>
        </w:rPr>
        <w:t>→ Unplanned generation outage during elevated load period reduces operating reserve margin</w:t>
      </w:r>
    </w:p>
    <w:p>
      <w:pPr>
        <w:spacing w:after="40"/>
        <w:ind w:left="283"/>
      </w:pPr>
      <w:r>
        <w:rPr>
          <w:color w:val="142233"/>
          <w:sz w:val="19"/>
        </w:rPr>
        <w:t>→ PUCT convenes emergency session on grid adequacy</w:t>
      </w:r>
    </w:p>
    <w:p>
      <w:pPr>
        <w:spacing w:after="40"/>
        <w:ind w:left="283"/>
      </w:pPr>
      <w:r>
        <w:rPr>
          <w:color w:val="142233"/>
          <w:sz w:val="19"/>
        </w:rPr>
        <w:t>Any conservation notice issued before peak summer load conditions signals that grid margin assumptions are already under pressure and that July–August stress events carry materially elevated risk.</w:t>
      </w:r>
    </w:p>
    <w:p>
      <w:pPr>
        <w:spacing w:before="160" w:after="40"/>
      </w:pPr>
      <w:r>
        <w:rPr>
          <w:b/>
          <w:color w:val="1F5C8C"/>
          <w:sz w:val="18"/>
        </w:rPr>
        <w:t xml:space="preserve">IND 4  </w:t>
      </w:r>
      <w:r>
        <w:rPr>
          <w:b/>
          <w:color w:val="142233"/>
          <w:sz w:val="20"/>
        </w:rPr>
        <w:t>NSA/CISA/Five Eyes Sector-Specific China Advisory</w:t>
      </w:r>
      <w:r>
        <w:rPr>
          <w:i/>
          <w:color w:val="7A5A1E"/>
          <w:sz w:val="18"/>
        </w:rPr>
        <w:t xml:space="preserve">   [↑ Rising]</w:t>
      </w:r>
    </w:p>
    <w:p>
      <w:pPr>
        <w:spacing w:after="40"/>
        <w:ind w:left="283"/>
      </w:pPr>
      <w:r>
        <w:rPr>
          <w:color w:val="142233"/>
          <w:sz w:val="19"/>
        </w:rPr>
        <w:t>→ CISA or NSA publishes advisory naming specific Texas-relevant sectors or vendors</w:t>
      </w:r>
    </w:p>
    <w:p>
      <w:pPr>
        <w:spacing w:after="40"/>
        <w:ind w:left="283"/>
      </w:pPr>
      <w:r>
        <w:rPr>
          <w:color w:val="142233"/>
          <w:sz w:val="19"/>
        </w:rPr>
        <w:t>→ Five Eyes nations release coordinated advisory on China infrastructure activity</w:t>
      </w:r>
    </w:p>
    <w:p>
      <w:pPr>
        <w:spacing w:after="40"/>
        <w:ind w:left="283"/>
      </w:pPr>
      <w:r>
        <w:rPr>
          <w:color w:val="142233"/>
          <w:sz w:val="19"/>
        </w:rPr>
        <w:t>→ DOE or HHS issues sector-specific China threat guidance</w:t>
      </w:r>
    </w:p>
    <w:p>
      <w:pPr>
        <w:spacing w:after="40"/>
        <w:ind w:left="283"/>
      </w:pPr>
      <w:r>
        <w:rPr>
          <w:color w:val="142233"/>
          <w:sz w:val="19"/>
        </w:rPr>
        <w:t>→ Congressional hearing convened on China critical infrastructure access</w:t>
      </w:r>
    </w:p>
    <w:p>
      <w:pPr>
        <w:spacing w:after="40"/>
        <w:ind w:left="283"/>
      </w:pPr>
      <w:r>
        <w:rPr>
          <w:color w:val="142233"/>
          <w:sz w:val="19"/>
        </w:rPr>
        <w:t>Current guidance is category-level. A sector-specific advisory naming energy, cloud, or identity systems with specific TTPs would signal activity consistent with pre-conflict activation posturing, not just pre-positioning.</w:t>
      </w:r>
    </w:p>
    <w:p>
      <w:pPr>
        <w:spacing w:before="160" w:after="40"/>
      </w:pPr>
      <w:r>
        <w:rPr>
          <w:b/>
          <w:color w:val="1F5C8C"/>
          <w:sz w:val="18"/>
        </w:rPr>
        <w:t xml:space="preserve">IND 5  </w:t>
      </w:r>
      <w:r>
        <w:rPr>
          <w:b/>
          <w:color w:val="142233"/>
          <w:sz w:val="20"/>
        </w:rPr>
        <w:t>Russia Escalation — Confirmed Destructive Event Against NATO Member Infrastructure</w:t>
      </w:r>
      <w:r>
        <w:rPr>
          <w:i/>
          <w:color w:val="7A5A1E"/>
          <w:sz w:val="18"/>
        </w:rPr>
        <w:t xml:space="preserve">   [↑ Rising]</w:t>
      </w:r>
    </w:p>
    <w:p>
      <w:pPr>
        <w:spacing w:after="40"/>
        <w:ind w:left="283"/>
      </w:pPr>
      <w:r>
        <w:rPr>
          <w:color w:val="142233"/>
          <w:sz w:val="19"/>
        </w:rPr>
        <w:t>→ NATO member attributes confirmed destructive cyber incident to Russian GRU or SVR actors</w:t>
      </w:r>
    </w:p>
    <w:p>
      <w:pPr>
        <w:spacing w:after="40"/>
        <w:ind w:left="283"/>
      </w:pPr>
      <w:r>
        <w:rPr>
          <w:color w:val="142233"/>
          <w:sz w:val="19"/>
        </w:rPr>
        <w:t>→ Physical sabotage of undersea cable, pipeline, or logistics node confirmed in NATO territory</w:t>
      </w:r>
    </w:p>
    <w:p>
      <w:pPr>
        <w:spacing w:after="40"/>
        <w:ind w:left="283"/>
      </w:pPr>
      <w:r>
        <w:rPr>
          <w:color w:val="142233"/>
          <w:sz w:val="19"/>
        </w:rPr>
        <w:t>→ U.S. government issues domestic advisory citing Russian hybrid escalation</w:t>
      </w:r>
    </w:p>
    <w:p>
      <w:pPr>
        <w:spacing w:after="40"/>
        <w:ind w:left="283"/>
      </w:pPr>
      <w:r>
        <w:rPr>
          <w:color w:val="142233"/>
          <w:sz w:val="19"/>
        </w:rPr>
        <w:t>→ CISA activates enhanced monitoring posture for domestic critical infrastructure</w:t>
      </w:r>
    </w:p>
    <w:p>
      <w:pPr>
        <w:spacing w:after="40"/>
        <w:ind w:left="283"/>
      </w:pPr>
      <w:r>
        <w:rPr>
          <w:color w:val="142233"/>
          <w:sz w:val="19"/>
        </w:rPr>
        <w:t>The GCHQ warning is calibrated against UK and European exposure. A confirmed destructive cyber event or physical sabotage against a NATO member’s critical infrastructure would represent a threshold crossing that changes the risk calculus for U.S.-aligned organizations, including Texas DIB contractors.</w:t>
      </w: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current continuity and resilience plans are adequate against a multi-layer degraded-service scenario — simultaneous communications disruption, cloud routing instability, and ERCOT grid stress — before summer peak load conditions arrive. This decision cannot be made by a security team alone.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CEO, CISO, and COO jointly. Power continuity, cloud vendor dependency, and communications redundancy each require an operational owner. Treating this as a CISO-only problem misframes the decision.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Entering summer peak load season without validated fallback procedures means the first major stress event — whether adversary-driven or operational — requires real-time decision-making under conditions leadership has not rehearsed. The compounding nature of this threat environment means single-point failures are more likely to cascade than in prior years.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Convene a 90-minute leadership review — no slides required — to answer three questions: (1) Which operations fail first if cloud routing is disrupted for 48–72 hours? (2) What is the backup power posture if ERCOT issues a conservation notice during peak AI load demand? (3) Does the vendor access and remote connection inventory reflect current state, or is it 12 months stale? Assign owners and deadlines for any gap identified.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Document this week’s leadership discussion, the gaps identified, and the assigned remediation actions. If a disruption occurs and the organization was warned — as it is being warned now — the governance record of what was assessed, decided, and assigned becomes material to regulatory, legal, and insurance proceedings.</w:t>
            </w:r>
          </w:p>
        </w:tc>
      </w:tr>
    </w:tbl>
    <w:p>
      <w:pPr>
        <w:spacing w:after="120"/>
      </w:pPr>
    </w:p>
    <w:p>
      <w:pPr>
        <w:spacing w:after="160"/>
      </w:pPr>
      <w:r>
        <w:rPr>
          <w:rFonts w:ascii="Georgia" w:hAnsi="Georgia"/>
          <w:b w:val="0"/>
          <w:i w:val="0"/>
          <w:color w:val="142233"/>
          <w:sz w:val="21"/>
        </w:rPr>
        <w:t>Section VI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ATB-2026-12 — COVERAGE WEEK 24–31 MAY 2026</w:t>
      </w:r>
    </w:p>
    <w:p>
      <w:pPr>
        <w:spacing w:before="120" w:after="20"/>
      </w:pPr>
      <w:r>
        <w:rPr>
          <w:rFonts w:ascii="Calibri" w:hAnsi="Calibri"/>
          <w:b/>
          <w:color w:val="7A5A1E"/>
          <w:sz w:val="15"/>
        </w:rPr>
        <w:t>GOVERNMENT / REGULATORY</w:t>
        <w:br/>
      </w:r>
      <w:r>
        <w:rPr>
          <w:b/>
          <w:color w:val="142233"/>
          <w:sz w:val="20"/>
        </w:rPr>
        <w:t>NSA / FBI / CISA — Joint Guidance: Countering China State-Sponsored Actors Targeting U.S. Critical Infrastructure</w:t>
      </w:r>
    </w:p>
    <w:p>
      <w:pPr>
        <w:spacing w:after="20"/>
      </w:pPr>
      <w:hyperlink r:id="rId11">
        <w:r>
          <w:rPr>
            <w:color w:val="1F5C8C"/>
            <w:u w:val="single"/>
            <w:sz w:val="17"/>
            <w:rFonts w:ascii="Consolas"/>
          </w:rPr>
          <w:t>nsa.gov — Joint Guidance, May 2026</w:t>
        </w:r>
      </w:hyperlink>
    </w:p>
    <w:p>
      <w:pPr>
        <w:spacing w:after="40"/>
      </w:pPr>
      <w:r>
        <w:rPr>
          <w:i/>
          <w:color w:val="5C5C5C"/>
          <w:sz w:val="17"/>
        </w:rPr>
        <w:t>Basis for China persistence judgment (KJ-3), cross-sector implications, and Indicators to Watch. Used for Executive Warning and Dominant Judgment.</w:t>
      </w:r>
    </w:p>
    <w:p>
      <w:pPr>
        <w:spacing w:before="120" w:after="20"/>
      </w:pPr>
      <w:r>
        <w:rPr>
          <w:rFonts w:ascii="Calibri" w:hAnsi="Calibri"/>
          <w:b/>
          <w:color w:val="7A5A1E"/>
          <w:sz w:val="15"/>
        </w:rPr>
        <w:t>GOVERNMENT / REGULATORY</w:t>
        <w:br/>
      </w:r>
      <w:r>
        <w:rPr>
          <w:b/>
          <w:color w:val="142233"/>
          <w:sz w:val="20"/>
        </w:rPr>
        <w:t>CISA — Secure by Demand Initiative</w:t>
      </w:r>
    </w:p>
    <w:p>
      <w:pPr>
        <w:spacing w:after="20"/>
      </w:pPr>
      <w:hyperlink r:id="rId12">
        <w:r>
          <w:rPr>
            <w:color w:val="1F5C8C"/>
            <w:u w:val="single"/>
            <w:sz w:val="17"/>
            <w:rFonts w:ascii="Consolas"/>
          </w:rPr>
          <w:t>cisa.gov/securebydemand — May 2026</w:t>
        </w:r>
      </w:hyperlink>
    </w:p>
    <w:p>
      <w:pPr>
        <w:spacing w:after="40"/>
      </w:pPr>
      <w:r>
        <w:rPr>
          <w:i/>
          <w:color w:val="5C5C5C"/>
          <w:sz w:val="17"/>
        </w:rPr>
        <w:t>Basis for vendor accountability framing in Healthcare/DIB sector implication and Governance Implication Block.</w:t>
      </w:r>
    </w:p>
    <w:p>
      <w:pPr>
        <w:spacing w:before="120" w:after="20"/>
      </w:pPr>
      <w:r>
        <w:rPr>
          <w:rFonts w:ascii="Calibri" w:hAnsi="Calibri"/>
          <w:b/>
          <w:color w:val="7A5A1E"/>
          <w:sz w:val="15"/>
        </w:rPr>
        <w:t>GOVERNMENT / REGULATORY</w:t>
        <w:br/>
      </w:r>
      <w:r>
        <w:rPr>
          <w:b/>
          <w:color w:val="142233"/>
          <w:sz w:val="20"/>
        </w:rPr>
        <w:t>CISA — China Threat Overview (citing ODNI 2026 Annual Threat Assessment)</w:t>
      </w:r>
    </w:p>
    <w:p>
      <w:pPr>
        <w:spacing w:after="20"/>
      </w:pPr>
      <w:hyperlink r:id="rId13">
        <w:r>
          <w:rPr>
            <w:color w:val="1F5C8C"/>
            <w:u w:val="single"/>
            <w:sz w:val="17"/>
            <w:rFonts w:ascii="Consolas"/>
          </w:rPr>
          <w:t>cisa.gov/topics/cyber-threats-and-advisories/nation-state-cyber-actors/china</w:t>
        </w:r>
      </w:hyperlink>
    </w:p>
    <w:p>
      <w:pPr>
        <w:spacing w:after="40"/>
      </w:pPr>
      <w:r>
        <w:rPr>
          <w:i/>
          <w:color w:val="5C5C5C"/>
          <w:sz w:val="17"/>
        </w:rPr>
        <w:t>Basis for Volt Typhoon and Salt Typhoon confirmed targeting assessment (KJ-3). ODNI 2026 ATA cited within CISA overview.</w:t>
      </w:r>
    </w:p>
    <w:p>
      <w:pPr>
        <w:spacing w:before="120" w:after="20"/>
      </w:pPr>
      <w:r>
        <w:rPr>
          <w:rFonts w:ascii="Calibri" w:hAnsi="Calibri"/>
          <w:b/>
          <w:color w:val="7A5A1E"/>
          <w:sz w:val="15"/>
        </w:rPr>
        <w:t>GOVERNMENT / REGULATORY</w:t>
        <w:br/>
      </w:r>
      <w:r>
        <w:rPr>
          <w:b/>
          <w:color w:val="142233"/>
          <w:sz w:val="20"/>
        </w:rPr>
        <w:t>CISA — CI Fortify Initiative (Continuing Baseline from ATB-2026-10)</w:t>
      </w:r>
    </w:p>
    <w:p>
      <w:pPr>
        <w:spacing w:after="20"/>
      </w:pPr>
      <w:hyperlink r:id="rId14">
        <w:r>
          <w:rPr>
            <w:color w:val="1F5C8C"/>
            <w:u w:val="single"/>
            <w:sz w:val="17"/>
            <w:rFonts w:ascii="Consolas"/>
          </w:rPr>
          <w:t>cisa.gov — CI Fortify, May 2026</w:t>
        </w:r>
      </w:hyperlink>
    </w:p>
    <w:p>
      <w:pPr>
        <w:spacing w:after="40"/>
      </w:pPr>
      <w:r>
        <w:rPr>
          <w:i/>
          <w:color w:val="5C5C5C"/>
          <w:sz w:val="17"/>
        </w:rPr>
        <w:t>Carried forward as continuing federal baseline for degraded-service continuity assumptions. Not counted as a new current-week development.</w:t>
      </w:r>
    </w:p>
    <w:p>
      <w:pPr>
        <w:spacing w:before="120" w:after="20"/>
      </w:pPr>
      <w:r>
        <w:rPr>
          <w:rFonts w:ascii="Calibri" w:hAnsi="Calibri"/>
          <w:b/>
          <w:color w:val="7A5A1E"/>
          <w:sz w:val="15"/>
        </w:rPr>
        <w:t>ALLIED INTELLIGENCE</w:t>
        <w:br/>
      </w:r>
      <w:r>
        <w:rPr>
          <w:b/>
          <w:color w:val="142233"/>
          <w:sz w:val="20"/>
        </w:rPr>
        <w:t>GCHQ Director Anne Keast-Butler — Inaugural GCHQ Annual Lecture, Bletchley Park, 27 May 2026</w:t>
      </w:r>
    </w:p>
    <w:p>
      <w:pPr>
        <w:spacing w:after="20"/>
      </w:pPr>
      <w:hyperlink r:id="rId15">
        <w:r>
          <w:rPr>
            <w:color w:val="1F5C8C"/>
            <w:u w:val="single"/>
            <w:sz w:val="17"/>
            <w:rFonts w:ascii="Consolas"/>
          </w:rPr>
          <w:t>ITV News — 27 May 2026</w:t>
        </w:r>
      </w:hyperlink>
    </w:p>
    <w:p>
      <w:pPr>
        <w:spacing w:after="40"/>
      </w:pPr>
      <w:r>
        <w:rPr>
          <w:i/>
          <w:color w:val="5C5C5C"/>
          <w:sz w:val="17"/>
        </w:rPr>
        <w:t>Basis for Russia hybrid escalation assessment, What Changed section, and Indicator 5. Three independent outlets confirming same speech content.</w:t>
      </w:r>
    </w:p>
    <w:p>
      <w:pPr>
        <w:spacing w:before="120" w:after="20"/>
      </w:pPr>
      <w:r>
        <w:rPr>
          <w:rFonts w:ascii="Calibri" w:hAnsi="Calibri"/>
          <w:b/>
          <w:color w:val="7A5A1E"/>
          <w:sz w:val="15"/>
        </w:rPr>
        <w:t>GRID / REGULATORY</w:t>
        <w:br/>
      </w:r>
      <w:r>
        <w:rPr>
          <w:b/>
          <w:color w:val="142233"/>
          <w:sz w:val="20"/>
        </w:rPr>
        <w:t>ERCOT — April 2026 Long-Term Load Forecast (PUCT Filing)</w:t>
      </w:r>
    </w:p>
    <w:p>
      <w:pPr>
        <w:spacing w:after="20"/>
      </w:pPr>
      <w:hyperlink r:id="rId16">
        <w:r>
          <w:rPr>
            <w:color w:val="1F5C8C"/>
            <w:u w:val="single"/>
            <w:sz w:val="17"/>
            <w:rFonts w:ascii="Consolas"/>
          </w:rPr>
          <w:t>Data Center Knowledge — May 2026</w:t>
        </w:r>
      </w:hyperlink>
    </w:p>
    <w:p>
      <w:pPr>
        <w:spacing w:after="40"/>
      </w:pPr>
      <w:r>
        <w:rPr>
          <w:i/>
          <w:color w:val="5C5C5C"/>
          <w:sz w:val="17"/>
        </w:rPr>
        <w:t>Basis for ERCOT demand concentration and grid vulnerability assessment (KJ-2, Energy implication, Indicator 3). NPR dated 22 May; included as same news cycle.</w:t>
      </w:r>
    </w:p>
    <w:p>
      <w:pPr>
        <w:spacing w:before="120" w:after="20"/>
      </w:pPr>
      <w:r>
        <w:rPr>
          <w:rFonts w:ascii="Calibri" w:hAnsi="Calibri"/>
          <w:b/>
          <w:color w:val="7A5A1E"/>
          <w:sz w:val="15"/>
        </w:rPr>
        <w:t>INDUSTRY</w:t>
        <w:br/>
      </w:r>
      <w:r>
        <w:rPr>
          <w:b/>
          <w:color w:val="142233"/>
          <w:sz w:val="20"/>
        </w:rPr>
        <w:t>Data Center Dynamics — Texas AI Data Center Growth and Grid Risk</w:t>
      </w:r>
    </w:p>
    <w:p>
      <w:pPr>
        <w:spacing w:after="20"/>
      </w:pPr>
      <w:hyperlink r:id="rId17">
        <w:r>
          <w:rPr>
            <w:color w:val="1F5C8C"/>
            <w:u w:val="single"/>
            <w:sz w:val="17"/>
            <w:rFonts w:ascii="Consolas"/>
          </w:rPr>
          <w:t>datacenterdynamics.com — 27 May 2026</w:t>
        </w:r>
      </w:hyperlink>
    </w:p>
    <w:p>
      <w:pPr>
        <w:spacing w:after="40"/>
      </w:pPr>
      <w:r>
        <w:rPr>
          <w:i/>
          <w:color w:val="5C5C5C"/>
          <w:sz w:val="17"/>
        </w:rPr>
        <w:t>Cited for AI infrastructure concentration risk in Texas and ERCOT load growth context.</w:t>
      </w:r>
    </w:p>
    <w:p>
      <w:pPr>
        <w:spacing w:before="120" w:after="20"/>
      </w:pPr>
      <w:r>
        <w:rPr>
          <w:rFonts w:ascii="Calibri" w:hAnsi="Calibri"/>
          <w:b/>
          <w:color w:val="7A5A1E"/>
          <w:sz w:val="15"/>
        </w:rPr>
        <w:t>OPEN SOURCE</w:t>
        <w:br/>
      </w:r>
      <w:r>
        <w:rPr>
          <w:b/>
          <w:color w:val="142233"/>
          <w:sz w:val="20"/>
        </w:rPr>
        <w:t>The National News — Alcatel Suspension of Gulf Cable Repair Operations</w:t>
      </w:r>
    </w:p>
    <w:p>
      <w:pPr>
        <w:spacing w:after="20"/>
      </w:pPr>
      <w:hyperlink r:id="rId18">
        <w:r>
          <w:rPr>
            <w:color w:val="1F5C8C"/>
            <w:u w:val="single"/>
            <w:sz w:val="17"/>
            <w:rFonts w:ascii="Consolas"/>
          </w:rPr>
          <w:t>thenationalnews.com — 18 May 2026</w:t>
        </w:r>
      </w:hyperlink>
    </w:p>
    <w:p>
      <w:pPr>
        <w:spacing w:after="40"/>
      </w:pPr>
      <w:r>
        <w:rPr>
          <w:i/>
          <w:color w:val="5C5C5C"/>
          <w:sz w:val="17"/>
        </w:rPr>
        <w:t>Primary source for Alcatel operational pause. Cited for KJ-1, What Changed section, and Indicator 1.</w:t>
      </w:r>
    </w:p>
    <w:p>
      <w:pPr>
        <w:spacing w:before="120" w:after="20"/>
      </w:pPr>
      <w:r>
        <w:rPr>
          <w:rFonts w:ascii="Calibri" w:hAnsi="Calibri"/>
          <w:b/>
          <w:color w:val="7A5A1E"/>
          <w:sz w:val="15"/>
        </w:rPr>
        <w:t>STRATEGIC ANALYSIS</w:t>
        <w:br/>
      </w:r>
      <w:r>
        <w:rPr>
          <w:b/>
          <w:color w:val="142233"/>
          <w:sz w:val="20"/>
        </w:rPr>
        <w:t>Stimson Center — Beneath the Strait: Iran Could Threaten Gulf Data Centers and Undersea Cables</w:t>
      </w:r>
    </w:p>
    <w:p>
      <w:pPr>
        <w:spacing w:after="20"/>
      </w:pPr>
      <w:hyperlink r:id="rId19">
        <w:r>
          <w:rPr>
            <w:color w:val="1F5C8C"/>
            <w:u w:val="single"/>
            <w:sz w:val="17"/>
            <w:rFonts w:ascii="Consolas"/>
          </w:rPr>
          <w:t>stimson.org — April 2026</w:t>
        </w:r>
      </w:hyperlink>
    </w:p>
    <w:p>
      <w:pPr>
        <w:spacing w:after="40"/>
      </w:pPr>
      <w:r>
        <w:rPr>
          <w:i/>
          <w:color w:val="5C5C5C"/>
          <w:sz w:val="17"/>
        </w:rPr>
        <w:t>Cited for Iranian drone strikes on Bahrain and UAE data centers and cable disruption risk analysis. Stimson Center is a nonpartisan research institution; cited for analysis only.</w:t>
      </w:r>
    </w:p>
    <w:p>
      <w:pPr>
        <w:spacing w:before="120" w:after="20"/>
      </w:pPr>
      <w:r>
        <w:rPr>
          <w:rFonts w:ascii="Calibri" w:hAnsi="Calibri"/>
          <w:b/>
          <w:color w:val="7A5A1E"/>
          <w:sz w:val="15"/>
        </w:rPr>
        <w:t>OPEN SOURCE</w:t>
        <w:br/>
      </w:r>
      <w:r>
        <w:rPr>
          <w:b/>
          <w:color w:val="142233"/>
          <w:sz w:val="20"/>
        </w:rPr>
        <w:t>CNN — Iran Eyes New Source of Power Beneath the Strait of Hormuz</w:t>
      </w:r>
    </w:p>
    <w:p>
      <w:pPr>
        <w:spacing w:after="20"/>
      </w:pPr>
      <w:hyperlink r:id="rId20">
        <w:r>
          <w:rPr>
            <w:color w:val="1F5C8C"/>
            <w:u w:val="single"/>
            <w:sz w:val="17"/>
            <w:rFonts w:ascii="Consolas"/>
          </w:rPr>
          <w:t>CNN — 17 May 2026</w:t>
        </w:r>
      </w:hyperlink>
    </w:p>
    <w:p>
      <w:pPr>
        <w:spacing w:after="40"/>
      </w:pPr>
      <w:r>
        <w:rPr>
          <w:i/>
          <w:color w:val="5C5C5C"/>
          <w:sz w:val="17"/>
        </w:rPr>
        <w:t>Cited for TeleGeography cable routing analysis (Falcon and GBI cables in Iranian waters) and bandwidth concentration figures.</w:t>
      </w:r>
    </w:p>
    <w:p>
      <w:pPr>
        <w:spacing w:before="120" w:after="20"/>
      </w:pPr>
      <w:r>
        <w:rPr>
          <w:rFonts w:ascii="Calibri" w:hAnsi="Calibri"/>
          <w:b/>
          <w:color w:val="7A5A1E"/>
          <w:sz w:val="15"/>
        </w:rPr>
        <w:t>OPEN SOURCE</w:t>
        <w:br/>
      </w:r>
      <w:r>
        <w:rPr>
          <w:b/>
          <w:color w:val="142233"/>
          <w:sz w:val="20"/>
        </w:rPr>
        <w:t>The Guardian — Iran Hormuz Cable and Telecom Tensions (25, 26, 27 May 2026)</w:t>
      </w:r>
    </w:p>
    <w:p>
      <w:pPr>
        <w:spacing w:after="20"/>
      </w:pPr>
      <w:hyperlink r:id="rId21">
        <w:r>
          <w:rPr>
            <w:color w:val="1F5C8C"/>
            <w:u w:val="single"/>
            <w:sz w:val="17"/>
            <w:rFonts w:ascii="Consolas"/>
          </w:rPr>
          <w:t>The Guardian — 25 May</w:t>
        </w:r>
      </w:hyperlink>
    </w:p>
    <w:p>
      <w:pPr>
        <w:spacing w:after="40"/>
      </w:pPr>
      <w:r>
        <w:rPr>
          <w:i/>
          <w:color w:val="5C5C5C"/>
          <w:sz w:val="17"/>
        </w:rPr>
        <w:t>Corroborating coverage of Iranian cable coercion signaling across three days. Used for pattern confirmation in What Changed section.</w:t>
      </w:r>
    </w:p>
    <w:p>
      <w:pPr>
        <w:spacing w:before="120" w:after="20"/>
      </w:pPr>
      <w:r>
        <w:rPr>
          <w:rFonts w:ascii="Calibri" w:hAnsi="Calibri"/>
          <w:b/>
          <w:color w:val="7A5A1E"/>
          <w:sz w:val="15"/>
        </w:rPr>
        <w:t>OPEN SOURCE</w:t>
        <w:br/>
      </w:r>
      <w:r>
        <w:rPr>
          <w:b/>
          <w:color w:val="142233"/>
          <w:sz w:val="20"/>
        </w:rPr>
        <w:t>Reuters — Iran Maritime Security and Hormuz Telecom (26, 27 May 2026)</w:t>
      </w:r>
    </w:p>
    <w:p>
      <w:pPr>
        <w:spacing w:after="20"/>
      </w:pPr>
      <w:hyperlink r:id="rId22">
        <w:r>
          <w:rPr>
            <w:color w:val="1F5C8C"/>
            <w:u w:val="single"/>
            <w:sz w:val="17"/>
            <w:rFonts w:ascii="Consolas"/>
          </w:rPr>
          <w:t>Reuters — 26 May 2026</w:t>
        </w:r>
      </w:hyperlink>
    </w:p>
    <w:p>
      <w:pPr>
        <w:spacing w:after="40"/>
      </w:pPr>
      <w:r>
        <w:rPr>
          <w:i/>
          <w:color w:val="5C5C5C"/>
          <w:sz w:val="17"/>
        </w:rPr>
        <w:t>Corroborating Iranian maritime and telecom coercion reporting. Used for Finance sector implication.</w:t>
      </w:r>
    </w:p>
    <w:p>
      <w:pPr>
        <w:spacing w:before="120" w:after="20"/>
      </w:pPr>
      <w:r>
        <w:rPr>
          <w:rFonts w:ascii="Calibri" w:hAnsi="Calibri"/>
          <w:b/>
          <w:color w:val="7A5A1E"/>
          <w:sz w:val="15"/>
        </w:rPr>
        <w:t>OPEN SOURCE</w:t>
        <w:br/>
      </w:r>
      <w:r>
        <w:rPr>
          <w:b/>
          <w:color w:val="142233"/>
          <w:sz w:val="20"/>
        </w:rPr>
        <w:t>Times of India — Iran: Managing Strait Is Legal Right Amid Ceasefire Talks, 25 May 2026</w:t>
      </w:r>
    </w:p>
    <w:p>
      <w:pPr>
        <w:spacing w:after="20"/>
      </w:pPr>
      <w:hyperlink r:id="rId23">
        <w:r>
          <w:rPr>
            <w:color w:val="1F5C8C"/>
            <w:u w:val="single"/>
            <w:sz w:val="17"/>
            <w:rFonts w:ascii="Consolas"/>
          </w:rPr>
          <w:t>Times of India — 25 May 2026</w:t>
        </w:r>
      </w:hyperlink>
    </w:p>
    <w:p>
      <w:pPr>
        <w:spacing w:after="40"/>
      </w:pPr>
      <w:r>
        <w:rPr>
          <w:i/>
          <w:color w:val="5C5C5C"/>
          <w:sz w:val="17"/>
        </w:rPr>
        <w:t>Cited for Iranian sovereign framing of Hormuz cable control during U.S. ceasefire negotiations.</w:t>
      </w:r>
    </w:p>
    <w:p>
      <w:pPr>
        <w:spacing w:before="120" w:after="20"/>
      </w:pPr>
      <w:r>
        <w:rPr>
          <w:rFonts w:ascii="Calibri" w:hAnsi="Calibri"/>
          <w:b/>
          <w:color w:val="7A5A1E"/>
          <w:sz w:val="15"/>
        </w:rPr>
        <w:t>OPEN SOURCE</w:t>
        <w:br/>
      </w:r>
      <w:r>
        <w:rPr>
          <w:b/>
          <w:color w:val="142233"/>
          <w:sz w:val="20"/>
        </w:rPr>
        <w:t>The Guardian — Russia Hits Kyiv with Oreshnik Hypersonic Missile, 24 May 2026</w:t>
      </w:r>
    </w:p>
    <w:p>
      <w:pPr>
        <w:spacing w:after="20"/>
      </w:pPr>
      <w:hyperlink r:id="rId24">
        <w:r>
          <w:rPr>
            <w:color w:val="1F5C8C"/>
            <w:u w:val="single"/>
            <w:sz w:val="17"/>
            <w:rFonts w:ascii="Consolas"/>
          </w:rPr>
          <w:t>The Guardian — 24 May 2026</w:t>
        </w:r>
      </w:hyperlink>
    </w:p>
    <w:p>
      <w:pPr>
        <w:spacing w:after="40"/>
      </w:pPr>
      <w:r>
        <w:rPr>
          <w:i/>
          <w:color w:val="5C5C5C"/>
          <w:sz w:val="17"/>
        </w:rPr>
        <w:t>Cited for Russia continued infrastructure escalation and wartime signaling assessment.</w:t>
      </w:r>
    </w:p>
    <w:p>
      <w:pPr>
        <w:spacing w:before="120" w:after="20"/>
      </w:pPr>
      <w:r>
        <w:rPr>
          <w:rFonts w:ascii="Calibri" w:hAnsi="Calibri"/>
          <w:b/>
          <w:color w:val="7A5A1E"/>
          <w:sz w:val="15"/>
        </w:rPr>
        <w:t>OPEN SOURCE</w:t>
        <w:br/>
      </w:r>
      <w:r>
        <w:rPr>
          <w:b/>
          <w:color w:val="142233"/>
          <w:sz w:val="20"/>
        </w:rPr>
        <w:t>Washington Post — Russia-Ukraine Drone and Missile Strikes on Infrastructure, 25 May 2026</w:t>
      </w:r>
    </w:p>
    <w:p>
      <w:pPr>
        <w:spacing w:after="20"/>
      </w:pPr>
      <w:hyperlink r:id="rId25">
        <w:r>
          <w:rPr>
            <w:color w:val="1F5C8C"/>
            <w:u w:val="single"/>
            <w:sz w:val="17"/>
            <w:rFonts w:ascii="Consolas"/>
          </w:rPr>
          <w:t>Washington Post — 25 May 2026</w:t>
        </w:r>
      </w:hyperlink>
    </w:p>
    <w:p>
      <w:pPr>
        <w:spacing w:after="40"/>
      </w:pPr>
      <w:r>
        <w:rPr>
          <w:i/>
          <w:color w:val="5C5C5C"/>
          <w:sz w:val="17"/>
        </w:rPr>
        <w:t>Cited for Russia continued infrastructure targeting and retaliation narrative assessment.</w:t>
      </w:r>
    </w:p>
    <w:p>
      <w:pPr>
        <w:spacing w:before="120" w:after="20"/>
      </w:pPr>
      <w:r>
        <w:rPr>
          <w:rFonts w:ascii="Calibri" w:hAnsi="Calibri"/>
          <w:b/>
          <w:color w:val="7A5A1E"/>
          <w:sz w:val="15"/>
        </w:rPr>
        <w:t>SECONDARY / INDUSTRY</w:t>
        <w:br/>
      </w:r>
      <w:r>
        <w:rPr>
          <w:b/>
          <w:color w:val="142233"/>
          <w:sz w:val="20"/>
        </w:rPr>
        <w:t>Cybersecurity Dive — China Cyber Persistence and Critical Infrastructure Warning, 26 May 2026</w:t>
      </w:r>
    </w:p>
    <w:p>
      <w:pPr>
        <w:spacing w:after="20"/>
      </w:pPr>
      <w:hyperlink r:id="rId26">
        <w:r>
          <w:rPr>
            <w:color w:val="1F5C8C"/>
            <w:u w:val="single"/>
            <w:sz w:val="17"/>
            <w:rFonts w:ascii="Consolas"/>
          </w:rPr>
          <w:t>cybersecuritydive.com — 26 May 2026</w:t>
        </w:r>
      </w:hyperlink>
    </w:p>
    <w:p>
      <w:pPr>
        <w:spacing w:after="40"/>
      </w:pPr>
      <w:r>
        <w:rPr>
          <w:i/>
          <w:color w:val="5C5C5C"/>
          <w:sz w:val="17"/>
        </w:rPr>
        <w:t>Secondary. Cited for sector-specific China persistence framing. Underlying basis is NSA/FBI/CISA guidance (above).</w:t>
      </w:r>
    </w:p>
    <w:p>
      <w:pPr>
        <w:spacing w:before="120" w:after="20"/>
      </w:pPr>
      <w:r>
        <w:rPr>
          <w:rFonts w:ascii="Calibri" w:hAnsi="Calibri"/>
          <w:b/>
          <w:color w:val="7A5A1E"/>
          <w:sz w:val="15"/>
        </w:rPr>
        <w:t>SECONDARY / NOTE</w:t>
        <w:br/>
      </w:r>
      <w:r>
        <w:rPr>
          <w:b/>
          <w:color w:val="142233"/>
          <w:sz w:val="20"/>
        </w:rPr>
        <w:t>RT News — Iran Undersea Cable Coverage, 26 May 2026</w:t>
      </w:r>
    </w:p>
    <w:p>
      <w:pPr>
        <w:spacing w:after="20"/>
      </w:pPr>
      <w:hyperlink r:id="rId27">
        <w:r>
          <w:rPr>
            <w:color w:val="1F5C8C"/>
            <w:u w:val="single"/>
            <w:sz w:val="17"/>
            <w:rFonts w:ascii="Consolas"/>
          </w:rPr>
          <w:t>RT — 26 May 2026</w:t>
        </w:r>
      </w:hyperlink>
    </w:p>
    <w:p>
      <w:pPr>
        <w:spacing w:after="40"/>
      </w:pPr>
      <w:r>
        <w:rPr>
          <w:i/>
          <w:color w:val="5C5C5C"/>
          <w:sz w:val="17"/>
        </w:rPr>
        <w:t>Editorial caution: Russian state-affiliated media. Cited only for the referenced IRGC-linked Tasnim cable and cloud infrastructure mapping (22 April 2026). Editorial framing excluded. Cross-confirmed against CNN and The National coverage.</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sa.gov/Press-Room/Press-Releases-Statements/Press-Release-View/Article/4287371/nsa-and-others-provide-guidance-to-counter-china-state-sponsored-actors-targeti/" TargetMode="External"/><Relationship Id="rId12" Type="http://schemas.openxmlformats.org/officeDocument/2006/relationships/hyperlink" Target="https://www.cisa.gov/securebydemand" TargetMode="External"/><Relationship Id="rId13" Type="http://schemas.openxmlformats.org/officeDocument/2006/relationships/hyperlink" Target="https://www.cisa.gov/topics/cyber-threats-and-advisories/nation-state-cyber-actors/china" TargetMode="External"/><Relationship Id="rId14" Type="http://schemas.openxmlformats.org/officeDocument/2006/relationships/hyperlink" Target="https://www.cisa.gov/news-events/news/cisa-unveils-new-initiative-fortify-americas-critical-infrastructure" TargetMode="External"/><Relationship Id="rId15" Type="http://schemas.openxmlformats.org/officeDocument/2006/relationships/hyperlink" Target="https://www.itv.com/news/2026-05-27/russia-relentlessly-targeting-uk-infrastructure-and-democracy-warns-gchq-boss" TargetMode="External"/><Relationship Id="rId16" Type="http://schemas.openxmlformats.org/officeDocument/2006/relationships/hyperlink" Target="https://www.datacenterknowledge.com/energy-power-supply/gridlock-or-growth-ercot-warns-texas-ai-power-boom-may-not-materialize" TargetMode="External"/><Relationship Id="rId17" Type="http://schemas.openxmlformats.org/officeDocument/2006/relationships/hyperlink" Target="https://www.datacenterdynamics.com/en/news/texas-ai-data-center-growth-grid-risk/" TargetMode="External"/><Relationship Id="rId18" Type="http://schemas.openxmlformats.org/officeDocument/2006/relationships/hyperlink" Target="https://www.thenationalnews.com/future/technology/2026/05/18/strait-of-hormuz-news-internet-cables/" TargetMode="External"/><Relationship Id="rId19" Type="http://schemas.openxmlformats.org/officeDocument/2006/relationships/hyperlink" Target="https://www.stimson.org/2026/beneath-the-strait-iran-could-threaten-gulf-data-centers-undersea-cables/" TargetMode="External"/><Relationship Id="rId20" Type="http://schemas.openxmlformats.org/officeDocument/2006/relationships/hyperlink" Target="https://www.cnn.com/2026/05/17/middleeast/iran-hormuz-undersea-cables-intl" TargetMode="External"/><Relationship Id="rId21" Type="http://schemas.openxmlformats.org/officeDocument/2006/relationships/hyperlink" Target="https://www.theguardian.com/world/live/2026/may/25/iran-war-news-middle-east-crisis-oil-price-us-tehran-peace-talks-deal-strait-hormuz" TargetMode="External"/><Relationship Id="rId22" Type="http://schemas.openxmlformats.org/officeDocument/2006/relationships/hyperlink" Target="https://www.reuters.com/world/middle-east/iran-hormuz-maritime-security-talks-2026-05-26/" TargetMode="External"/><Relationship Id="rId23" Type="http://schemas.openxmlformats.org/officeDocument/2006/relationships/hyperlink" Target="https://timesofindia.indiatimes.com/world/middle-east/hormuz-control-iran-says-managing-strait-is-legal-right-amid-ceasefire-talks-with-us/articleshow/131301452.cms" TargetMode="External"/><Relationship Id="rId24" Type="http://schemas.openxmlformats.org/officeDocument/2006/relationships/hyperlink" Target="https://www.theguardian.com/world/2026/may/24/russia-hits-kyiv-ukraine-hypersonic-ballistic-missile" TargetMode="External"/><Relationship Id="rId25" Type="http://schemas.openxmlformats.org/officeDocument/2006/relationships/hyperlink" Target="https://www.washingtonpost.com/world/2026/05/25/russia-ukraine-drone-missile-strikes/" TargetMode="External"/><Relationship Id="rId26" Type="http://schemas.openxmlformats.org/officeDocument/2006/relationships/hyperlink" Target="https://www.cybersecuritydive.com/news/china-cyber-persistence-critical-infrastructure-warning/749221/" TargetMode="External"/><Relationship Id="rId27" Type="http://schemas.openxmlformats.org/officeDocument/2006/relationships/hyperlink" Target="https://www.rt.com/news/640587-could-iran-cut-off-inte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