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ATB-2026-19</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12–18 JULY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2026-07-18</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BASIC HYGIENE IS THE BATTLESPACE</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Can we name, right now, the one person who owns our list of internet-connected network equipment, and the one person who owns handling an outside security report? “IT handles it” is not a real answer.</w:t>
      </w:r>
    </w:p>
    <w:p>
      <w:pPr>
        <w:spacing w:before="160" w:after="40"/>
      </w:pPr>
      <w:r>
        <w:rPr>
          <w:b/>
          <w:color w:val="7A5A1E"/>
          <w:sz w:val="20"/>
        </w:rPr>
        <w:t>Board Implications This Week — Direct</w:t>
      </w:r>
    </w:p>
    <w:p>
      <w:pPr>
        <w:spacing w:after="40"/>
      </w:pPr>
      <w:r>
        <w:rPr>
          <w:rFonts w:ascii="Georgia" w:hAnsi="Georgia"/>
          <w:b w:val="0"/>
          <w:i w:val="0"/>
          <w:color w:val="142233"/>
          <w:sz w:val="19"/>
        </w:rPr>
        <w:t>Order a count of every router, firewall, and remote-access device connected to the internet this week, and confirm who has the authority to unplug one if it’s found compromised.</w:t>
      </w:r>
    </w:p>
    <w:p>
      <w:pPr>
        <w:spacing w:before="160" w:after="40"/>
      </w:pPr>
      <w:r>
        <w:rPr>
          <w:b/>
          <w:color w:val="7A5A1E"/>
          <w:sz w:val="20"/>
        </w:rPr>
        <w:t>Board Implications This Week — Document</w:t>
      </w:r>
    </w:p>
    <w:p>
      <w:pPr>
        <w:spacing w:after="40"/>
      </w:pPr>
      <w:r>
        <w:rPr>
          <w:rFonts w:ascii="Georgia" w:hAnsi="Georgia"/>
          <w:b w:val="0"/>
          <w:i w:val="0"/>
          <w:color w:val="142233"/>
          <w:sz w:val="19"/>
        </w:rPr>
        <w:t>Keep a written, dated record of who checked what and decided what — a paper trail showing leadership actually looked at this problem, with names attached.</w:t>
      </w:r>
    </w:p>
    <w:p>
      <w:pPr>
        <w:spacing w:before="160" w:after="40"/>
      </w:pPr>
      <w:r>
        <w:rPr>
          <w:b/>
          <w:color w:val="7A5A1E"/>
          <w:sz w:val="20"/>
        </w:rPr>
        <w:t>Board Implications This Week — Rehearse</w:t>
      </w:r>
    </w:p>
    <w:p>
      <w:pPr>
        <w:spacing w:after="40"/>
      </w:pPr>
      <w:r>
        <w:rPr>
          <w:rFonts w:ascii="Georgia" w:hAnsi="Georgia"/>
          <w:b w:val="0"/>
          <w:i w:val="0"/>
          <w:color w:val="142233"/>
          <w:sz w:val="19"/>
        </w:rPr>
        <w:t>Actually test your process for an outside person to report a security problem — don’t just publish an email address and assume it works. The federal government’s own version of that address didn’t work.</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Russian Intelligence Exploited Routers Left With Factory Passwords</w:t>
      </w:r>
    </w:p>
    <w:p>
      <w:pPr>
        <w:spacing w:after="160"/>
      </w:pPr>
      <w:r>
        <w:rPr>
          <w:rFonts w:ascii="Georgia" w:hAnsi="Georgia"/>
          <w:b w:val="0"/>
          <w:i w:val="0"/>
          <w:color w:val="142233"/>
          <w:sz w:val="21"/>
        </w:rPr>
        <w:t xml:space="preserve">On </w:t>
      </w:r>
      <w:r>
        <w:rPr>
          <w:rFonts w:ascii="Georgia" w:hAnsi="Georgia"/>
          <w:b/>
          <w:i w:val="0"/>
          <w:color w:val="142233"/>
          <w:sz w:val="21"/>
        </w:rPr>
        <w:t>13 July 2026</w:t>
      </w:r>
      <w:r>
        <w:rPr>
          <w:rFonts w:ascii="Georgia" w:hAnsi="Georgia"/>
          <w:b w:val="0"/>
          <w:i w:val="0"/>
          <w:color w:val="142233"/>
          <w:sz w:val="21"/>
        </w:rPr>
        <w:t>, the NSA, CISA, the FBI, and 19 partner agencies across 13 countries published a joint warning: Russian government hackers — the FSB, Russia’s intelligence service — have spent years breaking into routers and network equipment simply by trying the default password the device shipped with, then quietly copying the device’s settings to a remote server. No hacking tool, no malware, no sophistication required — just an unlocked door. The industries named directly include phone and internet providers, defense contractors, power companies, banks, government offices, and hospitals.</w:t>
      </w:r>
    </w:p>
    <w:p>
      <w:pPr>
        <w:spacing w:before="200" w:after="120"/>
      </w:pPr>
      <w:r>
        <w:rPr>
          <w:rFonts w:ascii="Calibri" w:hAnsi="Calibri"/>
          <w:b/>
          <w:color w:val="142233"/>
          <w:sz w:val="23"/>
        </w:rPr>
        <w:t>A Second, Separate Attack Hit Remote-Access Equipment</w:t>
      </w:r>
    </w:p>
    <w:p>
      <w:pPr>
        <w:spacing w:after="160"/>
      </w:pPr>
      <w:r>
        <w:rPr>
          <w:rFonts w:ascii="Georgia" w:hAnsi="Georgia"/>
          <w:b w:val="0"/>
          <w:i w:val="0"/>
          <w:color w:val="142233"/>
          <w:sz w:val="21"/>
        </w:rPr>
        <w:t xml:space="preserve">On </w:t>
      </w:r>
      <w:r>
        <w:rPr>
          <w:rFonts w:ascii="Georgia" w:hAnsi="Georgia"/>
          <w:b/>
          <w:i w:val="0"/>
          <w:color w:val="142233"/>
          <w:sz w:val="21"/>
        </w:rPr>
        <w:t>14 July 2026</w:t>
      </w:r>
      <w:r>
        <w:rPr>
          <w:rFonts w:ascii="Georgia" w:hAnsi="Georgia"/>
          <w:b w:val="0"/>
          <w:i w:val="0"/>
          <w:color w:val="142233"/>
          <w:sz w:val="21"/>
        </w:rPr>
        <w:t>, SonicWall — a maker of equipment many businesses use to let employees connect securely from home — confirmed that attackers were actively exploiting a serious flaw in that equipment, letting them take full control of the device. This is a different, unrelated attacker from the Russian router campaign above. The significance: two separate attackers, in the same week, both got in through the same kind of weak spot — equipment sitting on the edge of the network that wasn’t locked down.</w:t>
      </w:r>
    </w:p>
    <w:p>
      <w:pPr>
        <w:spacing w:before="200" w:after="120"/>
      </w:pPr>
      <w:r>
        <w:rPr>
          <w:rFonts w:ascii="Calibri" w:hAnsi="Calibri"/>
          <w:b/>
          <w:color w:val="142233"/>
          <w:sz w:val="23"/>
        </w:rPr>
        <w:t>Feds Charged the Landlords Behind Major Ransomware Gangs</w:t>
      </w:r>
    </w:p>
    <w:p>
      <w:pPr>
        <w:spacing w:after="160"/>
      </w:pPr>
      <w:r>
        <w:rPr>
          <w:rFonts w:ascii="Georgia" w:hAnsi="Georgia"/>
          <w:b w:val="0"/>
          <w:i w:val="0"/>
          <w:color w:val="142233"/>
          <w:sz w:val="21"/>
        </w:rPr>
        <w:t xml:space="preserve">On </w:t>
      </w:r>
      <w:r>
        <w:rPr>
          <w:rFonts w:ascii="Georgia" w:hAnsi="Georgia"/>
          <w:b/>
          <w:i w:val="0"/>
          <w:color w:val="142233"/>
          <w:sz w:val="21"/>
        </w:rPr>
        <w:t>14 July 2026</w:t>
      </w:r>
      <w:r>
        <w:rPr>
          <w:rFonts w:ascii="Georgia" w:hAnsi="Georgia"/>
          <w:b w:val="0"/>
          <w:i w:val="0"/>
          <w:color w:val="142233"/>
          <w:sz w:val="21"/>
        </w:rPr>
        <w:t>, the Department of Justice charged three Russian nationals and two Russia-based companies with running what security professionals call “bulletproof hosting” — essentially, renting out server space to criminals and refusing to shut it down no matter who complains, the internet equivalent of a landlord who rents rooms to a crime ring and looks the other way. This hosting operation is tied to more than $62 million in losses and supported several of the ransomware gangs behind major hospital, school, and bank attacks over the past few years.</w:t>
      </w:r>
    </w:p>
    <w:p>
      <w:pPr>
        <w:spacing w:before="200" w:after="120"/>
      </w:pPr>
      <w:r>
        <w:rPr>
          <w:rFonts w:ascii="Calibri" w:hAnsi="Calibri"/>
          <w:b/>
          <w:color w:val="142233"/>
          <w:sz w:val="23"/>
        </w:rPr>
        <w:t>The Government Told Everyone to Fix a Problem It Had Just Failed at Itself</w:t>
      </w:r>
    </w:p>
    <w:p>
      <w:pPr>
        <w:spacing w:after="160"/>
      </w:pPr>
      <w:r>
        <w:rPr>
          <w:rFonts w:ascii="Georgia" w:hAnsi="Georgia"/>
          <w:b w:val="0"/>
          <w:i w:val="0"/>
          <w:color w:val="142233"/>
          <w:sz w:val="21"/>
        </w:rPr>
        <w:t xml:space="preserve">On </w:t>
      </w:r>
      <w:r>
        <w:rPr>
          <w:rFonts w:ascii="Georgia" w:hAnsi="Georgia"/>
          <w:b/>
          <w:i w:val="0"/>
          <w:color w:val="142233"/>
          <w:sz w:val="21"/>
        </w:rPr>
        <w:t>15 July 2026</w:t>
      </w:r>
      <w:r>
        <w:rPr>
          <w:rFonts w:ascii="Georgia" w:hAnsi="Georgia"/>
          <w:b w:val="0"/>
          <w:i w:val="0"/>
          <w:color w:val="142233"/>
          <w:sz w:val="21"/>
        </w:rPr>
        <w:t>, CISA and several international partners published guidance telling organizations to set up a real, working process for outside security researchers to report problems. Six days earlier, CISA admitted that a researcher who found the agency’s own cloud passwords sitting exposed online had to send nine emails, with no response, before anyone at CISA acted. In its own words, the agency’s reporting channels “were not well defined.” It is a real-world example, at the highest level, of exactly the mistake the new guidance is meant to prevent.</w:t>
      </w:r>
    </w:p>
    <w:p>
      <w:pPr>
        <w:spacing w:before="200" w:after="120"/>
      </w:pPr>
      <w:r>
        <w:rPr>
          <w:rFonts w:ascii="Calibri" w:hAnsi="Calibri"/>
          <w:b/>
          <w:color w:val="142233"/>
          <w:sz w:val="23"/>
        </w:rPr>
        <w:t>Iran-U.S. Conflict Escalation — Background, Not a New Cyber Finding</w:t>
      </w:r>
    </w:p>
    <w:p>
      <w:pPr>
        <w:spacing w:after="160"/>
      </w:pPr>
      <w:r>
        <w:rPr>
          <w:rFonts w:ascii="Georgia" w:hAnsi="Georgia"/>
          <w:b w:val="0"/>
          <w:i w:val="0"/>
          <w:color w:val="142233"/>
          <w:sz w:val="21"/>
        </w:rPr>
        <w:t xml:space="preserve">U.S. military officials confirmed two American service members killed in Jordan on </w:t>
      </w:r>
      <w:r>
        <w:rPr>
          <w:rFonts w:ascii="Georgia" w:hAnsi="Georgia"/>
          <w:b/>
          <w:i w:val="0"/>
          <w:color w:val="142233"/>
          <w:sz w:val="21"/>
        </w:rPr>
        <w:t>17 July</w:t>
      </w:r>
      <w:r>
        <w:rPr>
          <w:rFonts w:ascii="Georgia" w:hAnsi="Georgia"/>
          <w:b w:val="0"/>
          <w:i w:val="0"/>
          <w:color w:val="142233"/>
          <w:sz w:val="21"/>
        </w:rPr>
        <w:t xml:space="preserve"> and a third killed in Iraq on </w:t>
      </w:r>
      <w:r>
        <w:rPr>
          <w:rFonts w:ascii="Georgia" w:hAnsi="Georgia"/>
          <w:b/>
          <w:i w:val="0"/>
          <w:color w:val="142233"/>
          <w:sz w:val="21"/>
        </w:rPr>
        <w:t>18–19 July</w:t>
      </w:r>
      <w:r>
        <w:rPr>
          <w:rFonts w:ascii="Georgia" w:hAnsi="Georgia"/>
          <w:b w:val="0"/>
          <w:i w:val="0"/>
          <w:color w:val="142233"/>
          <w:sz w:val="21"/>
        </w:rPr>
        <w:t>, with a fourth death still being confirmed. This is a serious escalation of the U.S.-Iran conflict we flagged last issue, and it makes an Iranian cyberattack somewhat more likely as a matter of motive. But motive is not evidence — nothing this week points to an actual Iranian cyberattack against U.S. infrastructure, so we are not raising our threat rating on that specific question yet.</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Russian government hackers will keep breaking into routers and network equipment that still have factory-default settings, and Texas organizations with older equipment or informal IT management carry the same risk demonstrated this week.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CISA/NSA/FBI/DC3 joint advisory AA26-194A, 13 July 2026, co-signed by 19 agencies across 13 countries; same-day CISA Known Exploited Vulnerabilities catalog addition. Technical detail: unauthenticated SNMPv1/v2 default community-string abuse against public-facing router management interfaces, followed by TFTP-based configuration exfiltration — no CVE or malware required. Primary uncertainty: no confirmed Texas-named victim identified in open reporting this week; Texas-specific exposure is an analytic extrapolation from sector targeting, not a confirmed intrusion.</w:t>
      </w:r>
    </w:p>
    <w:p>
      <w:pPr>
        <w:spacing w:after="120"/>
        <w:ind w:left="283"/>
      </w:pPr>
      <w:r>
        <w:rPr>
          <w:color w:val="7A5A1E"/>
          <w:sz w:val="19"/>
        </w:rPr>
        <w:t>Decision implication: Decision Implication: This week, get a list of every router and network device your company owns that can be reached from the internet. Confirm someone has permission to shut one off immediately if it’s found compromised, even if it’s in daily use.</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The weak point isn’t routers alone — it’s any piece of equipment that sits on the edge of the network and connects to the internet, including the systems employees use for remote access. A second, unrelated attacker proved this the same week by breaking into different equipment the same way.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SonicWall PSIRT advisory SNWLID-2026-0008, 14 July 2026, covering CVE-2026-15409 (unauthenticated SSRF, CVSS 10.0) and CVE-2026-15410 (post-authentication code injection); CISA KEV catalog addition, 14 July 2026, under BOD 26-04. Primary uncertainty: no attribution to a specific threat actor or group has been published for this exploitation; treat as criminal or unknown-actor activity, distinct from the Russian government attribution in KJ-1.</w:t>
      </w:r>
    </w:p>
    <w:p>
      <w:pPr>
        <w:spacing w:after="120"/>
        <w:ind w:left="283"/>
      </w:pPr>
      <w:r>
        <w:rPr>
          <w:color w:val="7A5A1E"/>
          <w:sz w:val="19"/>
        </w:rPr>
        <w:t>Decision implication: Decision Implication: Extend this week’s equipment inventory beyond routers to include any remote-access or VPN equipment. If your company uses SonicWall SMA1000 devices, update or disconnect them now — don’t wait for the next maintenance window.</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Having a security-contact email posted on a website is not the same as having a working process. Organizations that haven’t actually tested how an outside report reaches a real decision-maker are at risk of the same failure that just happened to the federal government itself.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CISA/NSA/JPCERT/NCSC-NL/NCSC-UK joint guidance on coordinated vulnerability disclosure programs, 15 July 2026; CISA’s own disclosure of its GovCloud-key incident, reported 9 July 2026. Primary uncertainty: this is a directly observed governance pattern at CISA itself, not an inference about adversary behavior; whether the pattern is widespread among Texas critical infrastructure operators remains an assessment pending client verification.</w:t>
      </w:r>
    </w:p>
    <w:p>
      <w:pPr>
        <w:spacing w:after="120"/>
        <w:ind w:left="283"/>
      </w:pPr>
      <w:r>
        <w:rPr>
          <w:color w:val="7A5A1E"/>
          <w:sz w:val="19"/>
        </w:rPr>
        <w:t>Decision implication: Decision Implication: This week, confirm your organization has a security-contact address, and actually send it a test message to see how long it takes a real person to respond. If nobody answers within a day or two, that’s the gap CISA just demonstrated.</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Carried forward from ATB-2026-17/18: Iran likely still wants to retaliate against U.S. infrastructure with a cyberattack, and this week’s combat deaths make that motive stronger — but there is still no evidence an actual cyberattack has happened. </w:t>
      </w:r>
      <w:r>
        <w:rPr>
          <w:rFonts w:ascii="Consolas" w:hAnsi="Consolas"/>
          <w:b w:val="0"/>
          <w:i w:val="0"/>
          <w:color w:val="7A5A1E"/>
          <w:sz w:val="16"/>
        </w:rPr>
        <w:t>MODERATE CONFIDENCE, UNCHANGED</w:t>
      </w:r>
      <w:r>
        <w:br/>
      </w:r>
      <w:r>
        <w:br/>
      </w:r>
      <w:r>
        <w:br/>
      </w:r>
    </w:p>
    <w:p>
      <w:pPr>
        <w:spacing w:after="40"/>
        <w:ind w:left="283"/>
      </w:pPr>
      <w:r>
        <w:rPr>
          <w:i/>
          <w:color w:val="5C5C5C"/>
          <w:sz w:val="18"/>
        </w:rPr>
        <w:t>Source basis / uncertainty: Source basis: CENTCOM statements reported by CNN, NPR, Axios, Stars and Stripes, and Al Jazeera, 17–19 July 2026 (multi-source wire reporting, high reliability on the kinetic fact). Primary uncertainty: no CISA/FBI/NSA advisory or named-victim disclosure has corroborated Iranian cyber intensification — the specific evidence needed to raise this assessment remains outstanding. This is the fourth consecutive issue without that confirming evidence.</w:t>
      </w:r>
    </w:p>
    <w:p>
      <w:pPr>
        <w:spacing w:after="120"/>
        <w:ind w:left="283"/>
      </w:pPr>
      <w:r>
        <w:rPr>
          <w:color w:val="7A5A1E"/>
          <w:sz w:val="19"/>
        </w:rPr>
        <w:t>Decision implication: Decision Implication: No change to your security posture is required based on this week’s combat news alone. Keep your existing precautions in place around industrial systems and vendor connections — don’t relax them because the news feels quieter, and don’t tighten them further based on battlefield news that hasn’t produced any actual cyber evidence.</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Two different countries are creating risk right now, but on very different levels of certainty, and it’s important not to blur them together. Russia’s router campaign is proven — confirmed by 19 government agencies with technical detail to back it up. The likely goal is quiet, long-term access they can use later, not an immediate attack. Iran is the opposite case: the real-world conflict is confirmed and getting worse, but no one has shown evidence of an actual Iranian cyberattack yet. Treating both threats the same way would be a mistake in either direction — underestimating what Russia has already proven it can do, or overreacting to an Iranian cyberattack that, so far, hasn’t happened.</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The equipment named in this week’s warnings — routers, remote-access boxes, VPN equipment — sits underneath every sector Texas leadership tracks, but it’s rarely discussed at the board level because it’s treated as an IT detail rather than a business risk. This week says that framing is wrong: three separate incidents, three different attackers, one shared weak spot.</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Power / Vendor Connections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power sector is named directly in this week’s Russian router warning. </w:t>
            </w:r>
            <w:r>
              <w:rPr>
                <w:rFonts w:ascii="Georgia" w:hAnsi="Georgia"/>
                <w:b/>
                <w:i w:val="0"/>
                <w:color w:val="142233"/>
                <w:sz w:val="19"/>
              </w:rPr>
              <w:t>Why it matters locally:</w:t>
            </w:r>
            <w:r>
              <w:rPr>
                <w:rFonts w:ascii="Georgia" w:hAnsi="Georgia"/>
                <w:b w:val="0"/>
                <w:i w:val="0"/>
                <w:color w:val="142233"/>
                <w:sz w:val="19"/>
              </w:rPr>
              <w:t xml:space="preserve"> A compromised router or remote-access box can knock out the connections vendors and technicians use to monitor and respond to outages — without ever touching the actual power equipment. Texas energy companies should treat “who owns our network equipment list” as a board question this week, not an IT ticket. </w:t>
            </w:r>
            <w:r>
              <w:rPr>
                <w:rFonts w:ascii="Georgia" w:hAnsi="Georgia"/>
                <w:b/>
                <w:i w:val="0"/>
                <w:color w:val="142233"/>
                <w:sz w:val="19"/>
              </w:rPr>
              <w:t>Cascade risk:</w:t>
            </w:r>
            <w:r>
              <w:rPr>
                <w:rFonts w:ascii="Georgia" w:hAnsi="Georgia"/>
                <w:b w:val="0"/>
                <w:i w:val="0"/>
                <w:color w:val="142233"/>
                <w:sz w:val="19"/>
              </w:rPr>
              <w:t xml:space="preserve"> A power disruption ripples into hospitals, banks, and shipping within hours.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Branch Networks / Vendor Risk</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Banking is named directly in the Russian router warning; the same week, federal charges confirmed banks were among the victims of the ransomware gangs tied to the indicted hosting operation. </w:t>
            </w:r>
            <w:r>
              <w:rPr>
                <w:rFonts w:ascii="Georgia" w:hAnsi="Georgia"/>
                <w:b/>
                <w:i w:val="0"/>
                <w:color w:val="142233"/>
                <w:sz w:val="19"/>
              </w:rPr>
              <w:t>Why it matters locally:</w:t>
            </w:r>
            <w:r>
              <w:rPr>
                <w:rFonts w:ascii="Georgia" w:hAnsi="Georgia"/>
                <w:b w:val="0"/>
                <w:i w:val="0"/>
                <w:color w:val="142233"/>
                <w:sz w:val="19"/>
              </w:rPr>
              <w:t xml:space="preserve"> This is a double exposure — a foreign government and criminal ransomware gangs are both exploiting the same kind of weak spot. </w:t>
            </w:r>
            <w:r>
              <w:rPr>
                <w:rFonts w:ascii="Georgia" w:hAnsi="Georgia"/>
                <w:b/>
                <w:i w:val="0"/>
                <w:color w:val="142233"/>
                <w:sz w:val="19"/>
              </w:rPr>
              <w:t>Cascade risk:</w:t>
            </w:r>
            <w:r>
              <w:rPr>
                <w:rFonts w:ascii="Georgia" w:hAnsi="Georgia"/>
                <w:b w:val="0"/>
                <w:i w:val="0"/>
                <w:color w:val="142233"/>
                <w:sz w:val="19"/>
              </w:rPr>
              <w:t xml:space="preserve"> Leadership should pre-approve a plan to quickly disconnect a compromised branch or vendor connection without losing the records needed for a later investigation.</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Defense Contractors / AI Continuity / Suppliers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Healthcare:</w:t>
            </w:r>
            <w:r>
              <w:rPr>
                <w:rFonts w:ascii="Georgia" w:hAnsi="Georgia"/>
                <w:b w:val="0"/>
                <w:i w:val="0"/>
                <w:color w:val="142233"/>
                <w:sz w:val="19"/>
              </w:rPr>
              <w:t xml:space="preserve"> Named in the Russian router warning and among this week’s federal indictment victims. Hospitals often rely on outside IT vendors and can’t easily tolerate downtime, which makes this exposure worse. </w:t>
            </w:r>
            <w:r>
              <w:rPr>
                <w:rFonts w:ascii="Georgia" w:hAnsi="Georgia"/>
                <w:b/>
                <w:i w:val="0"/>
                <w:color w:val="142233"/>
                <w:sz w:val="19"/>
              </w:rPr>
              <w:t>Defense contractors:</w:t>
            </w:r>
            <w:r>
              <w:rPr>
                <w:rFonts w:ascii="Georgia" w:hAnsi="Georgia"/>
                <w:b w:val="0"/>
                <w:i w:val="0"/>
                <w:color w:val="142233"/>
                <w:sz w:val="19"/>
              </w:rPr>
              <w:t xml:space="preserve"> Also named directly. Smaller Texas-based suppliers with lean security teams are the likely weak link in the defense supply chain — a leadership and staffing gap fixable this week with a simple equipment count, not an expensive new purchase. </w:t>
            </w:r>
            <w:r>
              <w:rPr>
                <w:rFonts w:ascii="Georgia" w:hAnsi="Georgia"/>
                <w:b/>
                <w:i w:val="0"/>
                <w:color w:val="142233"/>
                <w:sz w:val="19"/>
              </w:rPr>
              <w:t>Cascade risk:</w:t>
            </w:r>
            <w:r>
              <w:rPr>
                <w:rFonts w:ascii="Georgia" w:hAnsi="Georgia"/>
                <w:b w:val="0"/>
                <w:i w:val="0"/>
                <w:color w:val="142233"/>
                <w:sz w:val="19"/>
              </w:rPr>
              <w:t xml:space="preserve"> A hospital outage creates immediate patient-safety risk; a defense-supplier outage creates contract and national-security risk.</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What We’re Watching, Next 1 to 4 Weeks</w:t>
      </w:r>
    </w:p>
    <w:p>
      <w:pPr>
        <w:spacing w:before="160" w:after="40"/>
      </w:pPr>
      <w:r>
        <w:rPr>
          <w:b/>
          <w:color w:val="1F5C8C"/>
          <w:sz w:val="18"/>
        </w:rPr>
        <w:t xml:space="preserve">PIR 2 / IND 1  </w:t>
      </w:r>
      <w:r>
        <w:rPr>
          <w:b/>
          <w:color w:val="142233"/>
          <w:sz w:val="20"/>
        </w:rPr>
        <w:t>Actual proof of an Iranian cyberattack — not just motive</w:t>
      </w:r>
      <w:r>
        <w:rPr>
          <w:i/>
          <w:color w:val="7A5A1E"/>
          <w:sz w:val="18"/>
        </w:rPr>
        <w:t xml:space="preserve">   [↑ Rising]</w:t>
      </w:r>
    </w:p>
    <w:p>
      <w:pPr>
        <w:spacing w:after="40"/>
        <w:ind w:left="283"/>
      </w:pPr>
      <w:r>
        <w:rPr>
          <w:color w:val="142233"/>
          <w:sz w:val="19"/>
        </w:rPr>
        <w:t>→ We’re watching for a federal government warning, or a company publicly confirming it was hit, that specifically names Iran as the attacker.</w:t>
      </w:r>
    </w:p>
    <w:p>
      <w:pPr>
        <w:spacing w:after="40"/>
        <w:ind w:left="283"/>
      </w:pPr>
      <w:r>
        <w:rPr>
          <w:color w:val="142233"/>
          <w:sz w:val="19"/>
        </w:rPr>
        <w:t>→ That’s the specific evidence that would move our Iran assessment (KJ-4) from a “probably wants to” to a “confirmed doing it.”</w:t>
      </w:r>
    </w:p>
    <w:p>
      <w:pPr>
        <w:spacing w:after="40"/>
        <w:ind w:left="283"/>
      </w:pPr>
      <w:r>
        <w:rPr>
          <w:color w:val="142233"/>
          <w:sz w:val="19"/>
        </w:rPr>
        <w:t>→ Tied to: PIR 2, cross-sector risk.</w:t>
      </w:r>
    </w:p>
    <w:p>
      <w:pPr>
        <w:spacing w:before="160" w:after="40"/>
      </w:pPr>
      <w:r>
        <w:rPr>
          <w:b/>
          <w:color w:val="1F5C8C"/>
          <w:sz w:val="18"/>
        </w:rPr>
        <w:t xml:space="preserve">PIR 1 / IND 2  </w:t>
      </w:r>
      <w:r>
        <w:rPr>
          <w:b/>
          <w:color w:val="142233"/>
          <w:sz w:val="20"/>
        </w:rPr>
        <w:t>A Texas company or agency named as a victim of either this week’s router campaign or the SonicWall attack</w:t>
      </w:r>
      <w:r>
        <w:rPr>
          <w:i/>
          <w:color w:val="7A5A1E"/>
          <w:sz w:val="18"/>
        </w:rPr>
        <w:t xml:space="preserve">   [↑ Rising]</w:t>
      </w:r>
    </w:p>
    <w:p>
      <w:pPr>
        <w:spacing w:after="40"/>
        <w:ind w:left="283"/>
      </w:pPr>
      <w:r>
        <w:rPr>
          <w:color w:val="142233"/>
          <w:sz w:val="19"/>
        </w:rPr>
        <w:t>→ We’re watching for any breach notification or advisory that names a specific Texas organization.</w:t>
      </w:r>
    </w:p>
    <w:p>
      <w:pPr>
        <w:spacing w:after="40"/>
        <w:ind w:left="283"/>
      </w:pPr>
      <w:r>
        <w:rPr>
          <w:color w:val="142233"/>
          <w:sz w:val="19"/>
        </w:rPr>
        <w:t>→ That would turn this week’s general warning (KJ-1, KJ-2) into a confirmed, local problem.</w:t>
      </w:r>
    </w:p>
    <w:p>
      <w:pPr>
        <w:spacing w:after="40"/>
        <w:ind w:left="283"/>
      </w:pPr>
      <w:r>
        <w:rPr>
          <w:color w:val="142233"/>
          <w:sz w:val="19"/>
        </w:rPr>
        <w:t>→ Tied to: PIR 1, targeting of Texas organizations specifically.</w:t>
      </w:r>
    </w:p>
    <w:p>
      <w:pPr>
        <w:spacing w:before="160" w:after="40"/>
      </w:pPr>
      <w:r>
        <w:rPr>
          <w:b/>
          <w:color w:val="1F5C8C"/>
          <w:sz w:val="18"/>
        </w:rPr>
        <w:t xml:space="preserve">PIR 4 / IND 3  </w:t>
      </w:r>
      <w:r>
        <w:rPr>
          <w:b/>
          <w:color w:val="142233"/>
          <w:sz w:val="20"/>
        </w:rPr>
        <w:t>Whether the ransomware gangs find a new landlord</w:t>
      </w:r>
      <w:r>
        <w:rPr>
          <w:i/>
          <w:color w:val="7A5A1E"/>
          <w:sz w:val="18"/>
        </w:rPr>
        <w:t xml:space="preserve">   [→ Sustained]</w:t>
      </w:r>
    </w:p>
    <w:p>
      <w:pPr>
        <w:spacing w:after="40"/>
        <w:ind w:left="283"/>
      </w:pPr>
      <w:r>
        <w:rPr>
          <w:color w:val="142233"/>
          <w:sz w:val="19"/>
        </w:rPr>
        <w:t>→ We’re watching to see whether the ransomware gangs affected by this week’s federal charges simply move to new hosting providers.</w:t>
      </w:r>
    </w:p>
    <w:p>
      <w:pPr>
        <w:spacing w:after="40"/>
        <w:ind w:left="283"/>
      </w:pPr>
      <w:r>
        <w:rPr>
          <w:color w:val="142233"/>
          <w:sz w:val="19"/>
        </w:rPr>
        <w:t>→ Would tell us whether the charges actually disrupted them, or were just an inconvenience.</w:t>
      </w:r>
    </w:p>
    <w:p>
      <w:pPr>
        <w:spacing w:after="40"/>
        <w:ind w:left="283"/>
      </w:pPr>
      <w:r>
        <w:rPr>
          <w:color w:val="142233"/>
          <w:sz w:val="19"/>
        </w:rPr>
        <w:t>→ Tied to: PIR 4, criminal infrastructure resilience.</w:t>
      </w:r>
    </w:p>
    <w:p>
      <w:pPr>
        <w:spacing w:before="160" w:after="40"/>
      </w:pPr>
      <w:r>
        <w:rPr>
          <w:b/>
          <w:color w:val="1F5C8C"/>
          <w:sz w:val="18"/>
        </w:rPr>
        <w:t xml:space="preserve">PIR 6 / IND 4  </w:t>
      </w:r>
      <w:r>
        <w:rPr>
          <w:b/>
          <w:color w:val="142233"/>
          <w:sz w:val="20"/>
        </w:rPr>
        <w:t>Whether another organization repeats CISA’s mistake</w:t>
      </w:r>
      <w:r>
        <w:rPr>
          <w:i/>
          <w:color w:val="7A5A1E"/>
          <w:sz w:val="18"/>
        </w:rPr>
        <w:t xml:space="preserve">   [→ Sustained]</w:t>
      </w:r>
    </w:p>
    <w:p>
      <w:pPr>
        <w:spacing w:after="40"/>
        <w:ind w:left="283"/>
      </w:pPr>
      <w:r>
        <w:rPr>
          <w:color w:val="142233"/>
          <w:sz w:val="19"/>
        </w:rPr>
        <w:t>→ We’re watching for another case where a security researcher’s warning gets ignored or mishandled at a company or agency.</w:t>
      </w:r>
    </w:p>
    <w:p>
      <w:pPr>
        <w:spacing w:after="40"/>
        <w:ind w:left="283"/>
      </w:pPr>
      <w:r>
        <w:rPr>
          <w:color w:val="142233"/>
          <w:sz w:val="19"/>
        </w:rPr>
        <w:t>→ Would tell us whether this week’s failure was a one-time slip at CISA, or a widespread problem.</w:t>
      </w:r>
    </w:p>
    <w:p>
      <w:pPr>
        <w:spacing w:after="40"/>
        <w:ind w:left="283"/>
      </w:pPr>
      <w:r>
        <w:rPr>
          <w:color w:val="142233"/>
          <w:sz w:val="19"/>
        </w:rPr>
        <w:t>→ Tied to: PIR 6, leadership-relevant governance warning.</w:t>
      </w:r>
    </w:p>
    <w:p>
      <w:pPr>
        <w:spacing w:before="160" w:after="40"/>
      </w:pPr>
      <w:r>
        <w:rPr>
          <w:b/>
          <w:color w:val="1F5C8C"/>
          <w:sz w:val="18"/>
        </w:rPr>
        <w:t xml:space="preserve">PIR 3 / IND 5  </w:t>
      </w:r>
      <w:r>
        <w:rPr>
          <w:b/>
          <w:color w:val="142233"/>
          <w:sz w:val="20"/>
        </w:rPr>
        <w:t>Whether the Iran conflict spreads to places tied to Texas business</w:t>
      </w:r>
      <w:r>
        <w:rPr>
          <w:i/>
          <w:color w:val="7A5A1E"/>
          <w:sz w:val="18"/>
        </w:rPr>
        <w:t xml:space="preserve">   [↑ Rising]</w:t>
      </w:r>
    </w:p>
    <w:p>
      <w:pPr>
        <w:spacing w:after="40"/>
        <w:ind w:left="283"/>
      </w:pPr>
      <w:r>
        <w:rPr>
          <w:color w:val="142233"/>
          <w:sz w:val="19"/>
        </w:rPr>
        <w:t>→ We’re watching for strikes on Middle East infrastructure connected to Texas energy exports or defense contractors — a desalination plant in Kuwait has already been hit twice this week.</w:t>
      </w:r>
    </w:p>
    <w:p>
      <w:pPr>
        <w:spacing w:after="40"/>
        <w:ind w:left="283"/>
      </w:pPr>
      <w:r>
        <w:rPr>
          <w:color w:val="142233"/>
          <w:sz w:val="19"/>
        </w:rPr>
        <w:t>→ This would raise the urgency of the Iran story, though not by itself change our cyberattack confidence level in KJ-4.</w:t>
      </w:r>
    </w:p>
    <w:p>
      <w:pPr>
        <w:spacing w:after="40"/>
        <w:ind w:left="283"/>
      </w:pPr>
      <w:r>
        <w:rPr>
          <w:color w:val="142233"/>
          <w:sz w:val="19"/>
        </w:rPr>
        <w:t>→ Tied to: PIR 3 and PIR 7, escalation and conflict-driven cyber risk.</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your organization can name, in writing, one person who owns the list of internet-connected network equipment, and one person who owns handling an outside security report. Both gaps caused every incident described in this issue — including the federal government’s own.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Chief Information Security Officer, or whoever runs IT infrastructure, with the board’s risk committee kept in the loop given how many sectors this week’s warnings named.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An unlocked digital door stays open at the exact moment a second country’s motive to retaliate is getting stronger — and there’s no clear way for an outside researcher or partner to warn you about a problem before it becomes public.</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Count every router, firewall, and remote-access device connected to the internet, SonicWall SMA1000 devices included. Confirm who can disconnect one immediately. Test your security-contact process — don’t just publish it.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dated, named record of who reviewed this week’s warnings and what they decided about each piece of equipment found exposed. Proof that your security-contact process was actually tested, not just posted online.</w:t>
            </w:r>
          </w:p>
        </w:tc>
      </w:tr>
    </w:tbl>
    <w:p>
      <w:pPr>
        <w:spacing w:after="120"/>
      </w:pP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Last issue (ATB-2026-18), we said Iran’s cyber-retaliation risk was “probably wants to but hasn’t yet,” and named “further U.S.-Iran fighting” as the specific event that would push us to treat this as an active crisis for Gulf-connected Texas industries.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i w:val="0"/>
                <w:color w:val="142233"/>
                <w:sz w:val="19"/>
              </w:rPr>
              <w:t>That event happened.</w:t>
            </w:r>
            <w:r>
              <w:rPr>
                <w:rFonts w:ascii="Georgia" w:hAnsi="Georgia"/>
                <w:b w:val="0"/>
                <w:i w:val="0"/>
                <w:color w:val="142233"/>
                <w:sz w:val="19"/>
              </w:rPr>
              <w:t xml:space="preserve"> The U.S. military confirmed three American combat deaths in Jordan and Iraq this week, with a fourth pending confirmation. The fighting itself is confirmed and serious. But the specific thing we said would raise our cyberattack confidence — actual evidence of an Iranian cyberattack — still hasn’t shown up. We’re holding the line on that distinction this week.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bigger story this week wasn’t Iran. It was three separate, unrelated incidents — the Russian router campaign, the SonicWall attack, and the federal government’s own security-reporting failure — all pointing to the same root problem: basic equipment and process management.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Three new high-confidence findings this issue, all about the equipment and process problem (KJ-1, KJ-2, KJ-3). The Iran cyberattack assessment (KJ-4) stays exactly where it was — we’re not letting dramatic battlefield news push up a cyber-risk number without actual cyber evidence.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government warning or a confirmed victim naming Iran specifically is still what would change our Iran assessment. A Texas organization named as a victim of this week’s router or remote-access attacks would turn a general warning into a local, confirmed problem.</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ATB-2026-19 — COVERAGE WEEK 12–18 JULY 2026 AND CONTINUING BASELINE</w:t>
      </w:r>
    </w:p>
    <w:p>
      <w:pPr>
        <w:spacing w:before="120" w:after="20"/>
      </w:pPr>
      <w:r>
        <w:rPr>
          <w:rFonts w:ascii="Calibri" w:hAnsi="Calibri"/>
          <w:b/>
          <w:color w:val="7A5A1E"/>
          <w:sz w:val="15"/>
        </w:rPr>
        <w:t>GOVERNMENT / REGULATORY</w:t>
        <w:br/>
      </w:r>
      <w:r>
        <w:rPr>
          <w:b/>
          <w:color w:val="142233"/>
          <w:sz w:val="20"/>
        </w:rPr>
        <w:t>CISA/NSA/FBI/DC3 and 19 International Partners — Joint Advisory AA26-194A: Improve Router Hygiene to Protect Against Russian State-Sponsored Targeting</w:t>
      </w:r>
    </w:p>
    <w:p>
      <w:pPr>
        <w:spacing w:after="20"/>
      </w:pPr>
      <w:hyperlink r:id="rId11">
        <w:r>
          <w:rPr>
            <w:color w:val="1F5C8C"/>
            <w:u w:val="single"/>
            <w:sz w:val="17"/>
            <w:rFonts w:ascii="Consolas"/>
          </w:rPr>
          <w:t>cisa.gov/news-events/news/cisa-joins-nsa-fbi-dc3-and-international-partners-warning-russian-cyber-threat-activity-targeting</w:t>
        </w:r>
      </w:hyperlink>
    </w:p>
    <w:p>
      <w:pPr>
        <w:spacing w:after="40"/>
      </w:pPr>
      <w:r>
        <w:rPr>
          <w:i/>
          <w:color w:val="5C5C5C"/>
          <w:sz w:val="17"/>
        </w:rPr>
        <w:t>Published 13 July 2026. Primary basis for KJ-1, Dominant Judgment, and Section I.</w:t>
      </w:r>
    </w:p>
    <w:p>
      <w:pPr>
        <w:spacing w:before="120" w:after="20"/>
      </w:pPr>
      <w:r>
        <w:rPr>
          <w:rFonts w:ascii="Calibri" w:hAnsi="Calibri"/>
          <w:b/>
          <w:color w:val="7A5A1E"/>
          <w:sz w:val="15"/>
        </w:rPr>
        <w:t>GOVERNMENT / REGULATORY</w:t>
        <w:br/>
      </w:r>
      <w:r>
        <w:rPr>
          <w:b/>
          <w:color w:val="142233"/>
          <w:sz w:val="20"/>
        </w:rPr>
        <w:t>U.S. Department of Justice — Three Russian Nationals and Two Companies Indicted for International Cybercrimes Resulting in More Than $62M in Victim Losses</w:t>
      </w:r>
    </w:p>
    <w:p>
      <w:pPr>
        <w:spacing w:after="20"/>
      </w:pPr>
      <w:hyperlink r:id="rId12">
        <w:r>
          <w:rPr>
            <w:color w:val="1F5C8C"/>
            <w:u w:val="single"/>
            <w:sz w:val="17"/>
            <w:rFonts w:ascii="Consolas"/>
          </w:rPr>
          <w:t>justice.gov/opa/pr/three-russian-nationals-and-two-companies-indicted-international-cybercrimes-resulting-more</w:t>
        </w:r>
      </w:hyperlink>
    </w:p>
    <w:p>
      <w:pPr>
        <w:spacing w:after="40"/>
      </w:pPr>
      <w:r>
        <w:rPr>
          <w:i/>
          <w:color w:val="5C5C5C"/>
          <w:sz w:val="17"/>
        </w:rPr>
        <w:t>Unsealed 14 July 2026. Primary basis for Section I and Financial/Healthcare cross-sector implications.</w:t>
      </w:r>
    </w:p>
    <w:p>
      <w:pPr>
        <w:spacing w:before="120" w:after="20"/>
      </w:pPr>
      <w:r>
        <w:rPr>
          <w:rFonts w:ascii="Calibri" w:hAnsi="Calibri"/>
          <w:b/>
          <w:color w:val="7A5A1E"/>
          <w:sz w:val="15"/>
        </w:rPr>
        <w:t>GOVERNMENT / REGULATORY</w:t>
        <w:br/>
      </w:r>
      <w:r>
        <w:rPr>
          <w:b/>
          <w:color w:val="142233"/>
          <w:sz w:val="20"/>
        </w:rPr>
        <w:t>CISA — Known Exploited Vulnerabilities Catalog Addition: SonicWall SMA1000 (CVE-2026-15409, CVE-2026-15410)</w:t>
      </w:r>
    </w:p>
    <w:p>
      <w:pPr>
        <w:spacing w:after="20"/>
      </w:pPr>
      <w:hyperlink r:id="rId13">
        <w:r>
          <w:rPr>
            <w:color w:val="1F5C8C"/>
            <w:u w:val="single"/>
            <w:sz w:val="17"/>
            <w:rFonts w:ascii="Consolas"/>
          </w:rPr>
          <w:t>cisa.gov/news-events/alerts/2026/07/14/cisa-adds-four-known-exploited-vulnerabilities-catalog</w:t>
        </w:r>
      </w:hyperlink>
    </w:p>
    <w:p>
      <w:pPr>
        <w:spacing w:after="40"/>
      </w:pPr>
      <w:r>
        <w:rPr>
          <w:i/>
          <w:color w:val="5C5C5C"/>
          <w:sz w:val="17"/>
        </w:rPr>
        <w:t>Published 14 July 2026, under BOD 26-04. Primary basis for KJ-2.</w:t>
      </w:r>
    </w:p>
    <w:p>
      <w:pPr>
        <w:spacing w:before="120" w:after="20"/>
      </w:pPr>
      <w:r>
        <w:rPr>
          <w:rFonts w:ascii="Calibri" w:hAnsi="Calibri"/>
          <w:b/>
          <w:color w:val="7A5A1E"/>
          <w:sz w:val="15"/>
        </w:rPr>
        <w:t>VENDOR / PSIRT</w:t>
        <w:br/>
      </w:r>
      <w:r>
        <w:rPr>
          <w:b/>
          <w:color w:val="142233"/>
          <w:sz w:val="20"/>
        </w:rPr>
        <w:t>SonicWall — PSIRT Advisory SNWLID-2026-0008</w:t>
      </w:r>
    </w:p>
    <w:p>
      <w:pPr>
        <w:spacing w:after="20"/>
      </w:pPr>
      <w:hyperlink r:id="rId14">
        <w:r>
          <w:rPr>
            <w:color w:val="1F5C8C"/>
            <w:u w:val="single"/>
            <w:sz w:val="17"/>
            <w:rFonts w:ascii="Consolas"/>
          </w:rPr>
          <w:t>psirt.global.sonicwall.com/vuln-detail/SNWLID-2026-0008</w:t>
        </w:r>
      </w:hyperlink>
    </w:p>
    <w:p>
      <w:pPr>
        <w:spacing w:after="40"/>
      </w:pPr>
      <w:r>
        <w:rPr>
          <w:i/>
          <w:color w:val="5C5C5C"/>
          <w:sz w:val="17"/>
        </w:rPr>
        <w:t>Published 14 July 2026. Vendor-primary technical basis for KJ-2, including indicators of compromise.</w:t>
      </w:r>
    </w:p>
    <w:p>
      <w:pPr>
        <w:spacing w:before="120" w:after="20"/>
      </w:pPr>
      <w:r>
        <w:rPr>
          <w:rFonts w:ascii="Calibri" w:hAnsi="Calibri"/>
          <w:b/>
          <w:color w:val="7A5A1E"/>
          <w:sz w:val="15"/>
        </w:rPr>
        <w:t>GOVERNMENT / REGULATORY</w:t>
        <w:br/>
      </w:r>
      <w:r>
        <w:rPr>
          <w:b/>
          <w:color w:val="142233"/>
          <w:sz w:val="20"/>
        </w:rPr>
        <w:t>CISA/NSA/JPCERT/CC/NCSC-NL/NCSC-UK — Establishing a Coordinated Vulnerability Disclosure Program to Work With Security Researchers</w:t>
      </w:r>
    </w:p>
    <w:p>
      <w:pPr>
        <w:spacing w:after="20"/>
      </w:pPr>
      <w:hyperlink r:id="rId15">
        <w:r>
          <w:rPr>
            <w:color w:val="1F5C8C"/>
            <w:u w:val="single"/>
            <w:sz w:val="17"/>
            <w:rFonts w:ascii="Consolas"/>
          </w:rPr>
          <w:t>cisa.gov/news-events/news/cisa-and-partners-publish-guidance-help-software-manufacturers-and-online-service-providers-work</w:t>
        </w:r>
      </w:hyperlink>
    </w:p>
    <w:p>
      <w:pPr>
        <w:spacing w:after="40"/>
      </w:pPr>
      <w:r>
        <w:rPr>
          <w:i/>
          <w:color w:val="5C5C5C"/>
          <w:sz w:val="17"/>
        </w:rPr>
        <w:t>Published 15 July 2026. Primary basis for KJ-3 and Governance Implication Block.</w:t>
      </w:r>
    </w:p>
    <w:p>
      <w:pPr>
        <w:spacing w:before="120" w:after="20"/>
      </w:pPr>
      <w:r>
        <w:rPr>
          <w:rFonts w:ascii="Calibri" w:hAnsi="Calibri"/>
          <w:b/>
          <w:color w:val="7A5A1E"/>
          <w:sz w:val="15"/>
        </w:rPr>
        <w:t>TRADE PRESS</w:t>
        <w:br/>
      </w:r>
      <w:r>
        <w:rPr>
          <w:b/>
          <w:color w:val="142233"/>
          <w:sz w:val="20"/>
        </w:rPr>
        <w:t>Help Net Security — CISA folds its own hard-won lessons into coordinated vulnerability disclosure guidance</w:t>
      </w:r>
    </w:p>
    <w:p>
      <w:pPr>
        <w:spacing w:after="20"/>
      </w:pPr>
      <w:hyperlink r:id="rId16">
        <w:r>
          <w:rPr>
            <w:color w:val="1F5C8C"/>
            <w:u w:val="single"/>
            <w:sz w:val="17"/>
            <w:rFonts w:ascii="Consolas"/>
          </w:rPr>
          <w:t>helpnetsecurity.com/2026/07/16/cisa-coordinated-vulnerability-disclosure-guidance/</w:t>
        </w:r>
      </w:hyperlink>
    </w:p>
    <w:p>
      <w:pPr>
        <w:spacing w:after="40"/>
      </w:pPr>
      <w:r>
        <w:rPr>
          <w:i/>
          <w:color w:val="5C5C5C"/>
          <w:sz w:val="17"/>
        </w:rPr>
        <w:t>16 July 2026. Cited for the CISA GovCloud-key disclosure-failure case study only; underlying incident acknowledged directly by CISA’s Acting CIO and Acting CISO on 9 July.</w:t>
      </w:r>
    </w:p>
    <w:p>
      <w:pPr>
        <w:spacing w:before="120" w:after="20"/>
      </w:pPr>
      <w:r>
        <w:rPr>
          <w:rFonts w:ascii="Calibri" w:hAnsi="Calibri"/>
          <w:b/>
          <w:color w:val="7A5A1E"/>
          <w:sz w:val="15"/>
        </w:rPr>
        <w:t>WIRE / MAJOR MEDIA</w:t>
        <w:br/>
      </w:r>
      <w:r>
        <w:rPr>
          <w:b/>
          <w:color w:val="142233"/>
          <w:sz w:val="20"/>
        </w:rPr>
        <w:t>CNN, NPR, Axios, Stars and Stripes, Al Jazeera — U.S. service members killed in Jordan and Iraq</w:t>
      </w:r>
    </w:p>
    <w:p>
      <w:pPr>
        <w:spacing w:after="20"/>
      </w:pPr>
      <w:hyperlink r:id="rId17">
        <w:r>
          <w:rPr>
            <w:color w:val="1F5C8C"/>
            <w:u w:val="single"/>
            <w:sz w:val="17"/>
            <w:rFonts w:ascii="Consolas"/>
          </w:rPr>
          <w:t>cnn.com/2026/07/18/politics/iran-war-us-service-members-killed-jordan</w:t>
        </w:r>
      </w:hyperlink>
    </w:p>
    <w:p>
      <w:pPr>
        <w:spacing w:after="40"/>
      </w:pPr>
      <w:r>
        <w:rPr>
          <w:i/>
          <w:color w:val="5C5C5C"/>
          <w:sz w:val="17"/>
        </w:rPr>
        <w:t>17–19 July 2026. Multi-source, high reliability on the kinetic fact, corroborating CENTCOM statements. Cited for KJ-4 and Section I context only; not cited as evidence of Iranian cyber activity.</w:t>
      </w:r>
    </w:p>
    <w:p>
      <w:pPr>
        <w:spacing w:before="120" w:after="20"/>
      </w:pPr>
      <w:r>
        <w:rPr>
          <w:rFonts w:ascii="Calibri" w:hAnsi="Calibri"/>
          <w:b/>
          <w:color w:val="7A5A1E"/>
          <w:sz w:val="15"/>
        </w:rPr>
        <w:t>TRADE PRESS</w:t>
        <w:br/>
      </w:r>
      <w:r>
        <w:rPr>
          <w:b/>
          <w:color w:val="142233"/>
          <w:sz w:val="20"/>
        </w:rPr>
        <w:t>BleepingComputer, TechTimes — DOJ indictment reporting: named ransomware clients and victim sectors</w:t>
      </w:r>
    </w:p>
    <w:p>
      <w:pPr>
        <w:spacing w:after="20"/>
      </w:pPr>
      <w:hyperlink r:id="rId18">
        <w:r>
          <w:rPr>
            <w:color w:val="1F5C8C"/>
            <w:u w:val="single"/>
            <w:sz w:val="17"/>
            <w:rFonts w:ascii="Consolas"/>
          </w:rPr>
          <w:t>bleepingcomputer.com/news/security/us-charges-alleged-russian-bulletproof-hosting-service-operators/</w:t>
        </w:r>
      </w:hyperlink>
    </w:p>
    <w:p>
      <w:pPr>
        <w:spacing w:after="40"/>
      </w:pPr>
      <w:r>
        <w:rPr>
          <w:i/>
          <w:color w:val="5C5C5C"/>
          <w:sz w:val="17"/>
        </w:rPr>
        <w:t>14–16 July 2026. Cited for ransomware-group naming (LockBit, Cl0p, BlackSuit, Play) and hospital/school/bank victim detail supplementing the DOJ press release.</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cisa.gov/news-events/news/cisa-joins-nsa-fbi-dc3-and-international-partners-warning-russian-cyber-threat-activity-targeting" TargetMode="External"/><Relationship Id="rId12" Type="http://schemas.openxmlformats.org/officeDocument/2006/relationships/hyperlink" Target="https://www.justice.gov/opa/pr/three-russian-nationals-and-two-companies-indicted-international-cybercrimes-resulting-more" TargetMode="External"/><Relationship Id="rId13" Type="http://schemas.openxmlformats.org/officeDocument/2006/relationships/hyperlink" Target="https://www.cisa.gov/news-events/alerts/2026/07/14/cisa-adds-four-known-exploited-vulnerabilities-catalog" TargetMode="External"/><Relationship Id="rId14" Type="http://schemas.openxmlformats.org/officeDocument/2006/relationships/hyperlink" Target="https://psirt.global.sonicwall.com/vuln-detail/SNWLID-2026-0008" TargetMode="External"/><Relationship Id="rId15" Type="http://schemas.openxmlformats.org/officeDocument/2006/relationships/hyperlink" Target="https://www.cisa.gov/news-events/news/cisa-and-partners-publish-guidance-help-software-manufacturers-and-online-service-providers-work" TargetMode="External"/><Relationship Id="rId16" Type="http://schemas.openxmlformats.org/officeDocument/2006/relationships/hyperlink" Target="https://www.helpnetsecurity.com/2026/07/16/cisa-coordinated-vulnerability-disclosure-guidance/" TargetMode="External"/><Relationship Id="rId17" Type="http://schemas.openxmlformats.org/officeDocument/2006/relationships/hyperlink" Target="https://www.cnn.com/2026/07/18/politics/iran-war-us-service-members-killed-jordan" TargetMode="External"/><Relationship Id="rId18" Type="http://schemas.openxmlformats.org/officeDocument/2006/relationships/hyperlink" Target="https://www.bleepingcomputer.com/news/security/us-charges-alleged-russian-bulletproof-hosting-service-operat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