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ATB-2026-23</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9–15 AUG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2026-08-15</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HORMUZ IS NOW A TEXAS RISK DRIVER</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What specific Hormuz trigger — a price move, an insurance repricing, a further attack pattern — changes our procurement, hedging, shipping, or customer-communication posture?</w:t>
      </w:r>
    </w:p>
    <w:p>
      <w:pPr>
        <w:spacing w:before="160" w:after="40"/>
      </w:pPr>
      <w:r>
        <w:rPr>
          <w:b/>
          <w:color w:val="7A5A1E"/>
          <w:sz w:val="20"/>
        </w:rPr>
        <w:t>Board Implications This Week — Direct</w:t>
      </w:r>
    </w:p>
    <w:p>
      <w:pPr>
        <w:spacing w:after="40"/>
      </w:pPr>
      <w:r>
        <w:rPr>
          <w:rFonts w:ascii="Georgia" w:hAnsi="Georgia"/>
          <w:b w:val="0"/>
          <w:i w:val="0"/>
          <w:color w:val="142233"/>
          <w:sz w:val="19"/>
        </w:rPr>
        <w:t>Require validation of how long essential services can run with core systems degraded, using JPS Health Network’s eight-plus-day timeline as a real-world benchmark rather than a hypothetical.</w:t>
      </w:r>
    </w:p>
    <w:p>
      <w:pPr>
        <w:spacing w:before="160" w:after="40"/>
      </w:pPr>
      <w:r>
        <w:rPr>
          <w:b/>
          <w:color w:val="7A5A1E"/>
          <w:sz w:val="20"/>
        </w:rPr>
        <w:t>Board Implications This Week — Document</w:t>
      </w:r>
    </w:p>
    <w:p>
      <w:pPr>
        <w:spacing w:after="40"/>
      </w:pPr>
      <w:r>
        <w:rPr>
          <w:rFonts w:ascii="Georgia" w:hAnsi="Georgia"/>
          <w:b w:val="0"/>
          <w:i w:val="0"/>
          <w:color w:val="142233"/>
          <w:sz w:val="19"/>
        </w:rPr>
        <w:t>Confirm in writing that the DOJ/DHS approval path for federal cyber-operation cooperation requests exists before one arrives, not after.</w:t>
      </w:r>
    </w:p>
    <w:p>
      <w:pPr>
        <w:spacing w:before="160" w:after="40"/>
      </w:pPr>
      <w:r>
        <w:rPr>
          <w:b/>
          <w:color w:val="7A5A1E"/>
          <w:sz w:val="20"/>
        </w:rPr>
        <w:t>Board Implications This Week — Rehearse</w:t>
      </w:r>
    </w:p>
    <w:p>
      <w:pPr>
        <w:spacing w:after="40"/>
      </w:pPr>
      <w:r>
        <w:rPr>
          <w:rFonts w:ascii="Georgia" w:hAnsi="Georgia"/>
          <w:b w:val="0"/>
          <w:i w:val="0"/>
          <w:color w:val="142233"/>
          <w:sz w:val="19"/>
        </w:rPr>
        <w:t>Brief DIB, aerospace, and software personnel on recruitment-channel targeting risk — the access path now runs through legitimate employees’ external job-seeking activity, not just HR intake.</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Repeated Tanker Attacks Confirm Hormuz Is a Sustained Condition</w:t>
      </w:r>
    </w:p>
    <w:p>
      <w:pPr>
        <w:spacing w:after="160"/>
      </w:pPr>
      <w:r>
        <w:rPr>
          <w:rFonts w:ascii="Georgia" w:hAnsi="Georgia"/>
          <w:b w:val="0"/>
          <w:i w:val="0"/>
          <w:color w:val="142233"/>
          <w:sz w:val="21"/>
        </w:rPr>
        <w:t xml:space="preserve">Iran struck </w:t>
      </w:r>
      <w:r>
        <w:rPr>
          <w:rFonts w:ascii="Georgia" w:hAnsi="Georgia"/>
          <w:b/>
          <w:i w:val="0"/>
          <w:color w:val="142233"/>
          <w:sz w:val="21"/>
        </w:rPr>
        <w:t>at least three vessels in the Strait of Hormuz this week</w:t>
      </w:r>
      <w:r>
        <w:rPr>
          <w:rFonts w:ascii="Georgia" w:hAnsi="Georgia"/>
          <w:b w:val="0"/>
          <w:i w:val="0"/>
          <w:color w:val="142233"/>
          <w:sz w:val="21"/>
        </w:rPr>
        <w:t>, including two ADNOC-operated (UAE state-owned) tankers hit by drones on 13–14 August, with a further incident reported 15 August. UKMTO advisories confirm commercial shipping traffic remains well below normal under the active U.S. naval blockade of Iran. No casualties were reported. The decision problem is not whether any single Texas asset was struck — none was — it is whether leadership has a pre-defined threshold for when this volatility changes hedging, sourcing, or shipping posture.</w:t>
      </w:r>
    </w:p>
    <w:p>
      <w:pPr>
        <w:spacing w:before="200" w:after="120"/>
      </w:pPr>
      <w:r>
        <w:rPr>
          <w:rFonts w:ascii="Calibri" w:hAnsi="Calibri"/>
          <w:b/>
          <w:color w:val="142233"/>
          <w:sz w:val="23"/>
        </w:rPr>
        <w:t>JPS Health Network Enters Its Second Week of Network Downtime</w:t>
      </w:r>
    </w:p>
    <w:p>
      <w:pPr>
        <w:spacing w:after="160"/>
      </w:pPr>
      <w:r>
        <w:rPr>
          <w:rFonts w:ascii="Georgia" w:hAnsi="Georgia"/>
          <w:b w:val="0"/>
          <w:i w:val="0"/>
          <w:color w:val="142233"/>
          <w:sz w:val="21"/>
        </w:rPr>
        <w:t xml:space="preserve">Fort Worth’s </w:t>
      </w:r>
      <w:r>
        <w:rPr>
          <w:rFonts w:ascii="Georgia" w:hAnsi="Georgia"/>
          <w:b/>
          <w:i w:val="0"/>
          <w:color w:val="142233"/>
          <w:sz w:val="21"/>
        </w:rPr>
        <w:t>JPS Health Network</w:t>
      </w:r>
      <w:r>
        <w:rPr>
          <w:rFonts w:ascii="Georgia" w:hAnsi="Georgia"/>
          <w:b w:val="0"/>
          <w:i w:val="0"/>
          <w:color w:val="142233"/>
          <w:sz w:val="21"/>
        </w:rPr>
        <w:t xml:space="preserve"> — a 582-bed hospital and 25-plus community clinics serving Tarrant County — has operated under manual downtime procedures since detecting suspicious activity in its technology environment on 3 August. As of this week, the outage has persisted beyond a week, with patients filing paper intake forms and facing medication-refill delays. JPS has not confirmed a cybersecurity cause; Liberty CTI does not attribute the outage to malicious activity absent that confirmation. The executive lesson stands regardless of cause: prolonged digital degradation creates patient-care and legal decisions well before attribution is resolved.</w:t>
      </w:r>
    </w:p>
    <w:p>
      <w:pPr>
        <w:spacing w:before="200" w:after="120"/>
      </w:pPr>
      <w:r>
        <w:rPr>
          <w:rFonts w:ascii="Calibri" w:hAnsi="Calibri"/>
          <w:b/>
          <w:color w:val="142233"/>
          <w:sz w:val="23"/>
        </w:rPr>
        <w:t>DPRK Recruitment Campaign Reaches Federally Confirmed Status</w:t>
      </w:r>
    </w:p>
    <w:p>
      <w:pPr>
        <w:spacing w:after="160"/>
      </w:pPr>
      <w:r>
        <w:rPr>
          <w:rFonts w:ascii="Georgia" w:hAnsi="Georgia"/>
          <w:b w:val="0"/>
          <w:i w:val="0"/>
          <w:color w:val="142233"/>
          <w:sz w:val="21"/>
        </w:rPr>
        <w:t xml:space="preserve">North Korea’s Lazarus Group has escalated its recruitment-based targeting of defense and aerospace personnel to </w:t>
      </w:r>
      <w:r>
        <w:rPr>
          <w:rFonts w:ascii="Georgia" w:hAnsi="Georgia"/>
          <w:b/>
          <w:i w:val="0"/>
          <w:color w:val="142233"/>
          <w:sz w:val="21"/>
        </w:rPr>
        <w:t>federally confirmed active exploitation</w:t>
      </w:r>
      <w:r>
        <w:rPr>
          <w:rFonts w:ascii="Georgia" w:hAnsi="Georgia"/>
          <w:b w:val="0"/>
          <w:i w:val="0"/>
          <w:color w:val="142233"/>
          <w:sz w:val="21"/>
        </w:rPr>
        <w:t xml:space="preserve"> — this week’s development moves the campaign from single-vendor reporting to confirmation by Microsoft and inclusion in the federal Known Exploited Vulnerabilities catalog, with a federal patch deadline set for 25 August. Confirmed targeting spans defense, aerospace, and related technical personnel. Texas’s aerospace and cloud/AI talent concentration keeps this a live exposure for the state’s DIB and software-engineering base.</w:t>
      </w:r>
    </w:p>
    <w:p>
      <w:pPr>
        <w:spacing w:before="200" w:after="120"/>
      </w:pPr>
      <w:r>
        <w:rPr>
          <w:rFonts w:ascii="Calibri" w:hAnsi="Calibri"/>
          <w:b/>
          <w:color w:val="142233"/>
          <w:sz w:val="23"/>
        </w:rPr>
        <w:t>White House Authorizes Private-Sector Participation in Federal Cyber Operations</w:t>
      </w:r>
    </w:p>
    <w:p>
      <w:pPr>
        <w:spacing w:after="160"/>
      </w:pPr>
      <w:r>
        <w:rPr>
          <w:rFonts w:ascii="Georgia" w:hAnsi="Georgia"/>
          <w:b w:val="0"/>
          <w:i w:val="0"/>
          <w:color w:val="142233"/>
          <w:sz w:val="21"/>
        </w:rPr>
        <w:t xml:space="preserve">On </w:t>
      </w:r>
      <w:r>
        <w:rPr>
          <w:rFonts w:ascii="Georgia" w:hAnsi="Georgia"/>
          <w:b/>
          <w:i w:val="0"/>
          <w:color w:val="142233"/>
          <w:sz w:val="21"/>
        </w:rPr>
        <w:t>12 August</w:t>
      </w:r>
      <w:r>
        <w:rPr>
          <w:rFonts w:ascii="Georgia" w:hAnsi="Georgia"/>
          <w:b w:val="0"/>
          <w:i w:val="0"/>
          <w:color w:val="142233"/>
          <w:sz w:val="21"/>
        </w:rPr>
        <w:t>, the White House signed a National Security Presidential Memorandum directing the Homeland Security Task Force’s National Coordination Center — run by two Executive Directors from DOJ and DHS — to establish a program allowing vetted private companies to participate in specifically authorized federal cyber operations against transnational criminal organizations. Participating companies enter contractual agreements directly with DOJ or DHS. This is a governance and legal-authority change, not a new adversary threat; it directly affects any organization that could plausibly receive a federal cooperation request.</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Liberty CTI assesses that attacks on UAE-operated tankers in the Strait of Hormuz materially increase near-term energy-price, shipping, insurance, and supply-chain volatility. Texas is partially insulated as a major oil, gas, refining, petrochemical, and LNG producer, but Texas firms remain exposed to global pricing, tanker availability, marine insurance, imported feedstocks, and customer-market disruption.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UKMTO/JMIC maritime advisories; multi-source wire reporting on the 13–15 August tanker incidents; U.S. naval blockade status. Primary uncertainty: this is a durability judgment, not an attribution judgment — UAE attribution to Iran is a stated government position, not independently confirmed by Liberty CTI.</w:t>
      </w:r>
    </w:p>
    <w:p>
      <w:pPr>
        <w:spacing w:after="120"/>
        <w:ind w:left="283"/>
      </w:pPr>
      <w:r>
        <w:rPr>
          <w:color w:val="7A5A1E"/>
          <w:sz w:val="19"/>
        </w:rPr>
        <w:t>Decision implication: Decision Implication: Energy, refining, petrochemical, and logistics leadership should define the specific Hormuz trigger — price, insurance, or attack-pattern — that changes procurement and hedging posture, rather than waiting for a Texas-direct incident.</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that the JPS Health Network outage is an executive-relevant Texas critical-infrastructure disruption. JPS publicly confirms a network outage and directs patients to alternative communication channels. Cyber causation remains unconfirmed in primary-source reporting; Liberty CTI therefore does not attribute the outage to malicious activity.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JPS public statements and regional press reporting (Fort Worth Report, NBC 5 DFW, WFAA) corroborated across multiple outlets since 3 August. Primary uncertainty: cause is unconfirmed; JPS has stated only that it detected suspicious activity and initiated downtime procedures.</w:t>
      </w:r>
    </w:p>
    <w:p>
      <w:pPr>
        <w:spacing w:after="120"/>
        <w:ind w:left="283"/>
      </w:pPr>
      <w:r>
        <w:rPr>
          <w:color w:val="7A5A1E"/>
          <w:sz w:val="19"/>
        </w:rPr>
        <w:t>Decision implication: Decision Implication: Texas hospital and health-system boards should validate how long essential services can function with EHR, identity, scheduling, and pharmacy systems degraded — JPS's timeline is now a real-world benchmark, not a hypothetical.</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that North Korea is </w:t>
      </w:r>
      <w:r>
        <w:rPr>
          <w:rFonts w:ascii="Georgia" w:hAnsi="Georgia"/>
          <w:b/>
          <w:i w:val="0"/>
          <w:color w:val="142233"/>
          <w:sz w:val="21"/>
        </w:rPr>
        <w:t>very likely</w:t>
      </w:r>
      <w:r>
        <w:rPr>
          <w:rFonts w:ascii="Georgia" w:hAnsi="Georgia"/>
          <w:b w:val="0"/>
          <w:i w:val="0"/>
          <w:color w:val="142233"/>
          <w:sz w:val="21"/>
        </w:rPr>
        <w:t xml:space="preserve"> increasing the sophistication of access operations against defense, aerospace, and software targets, now corroborated by federal confirmation rather than single-vendor reporting alone.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primary vendor threat research on the current Operation Dream Job wave; Microsoft's own confirmation of active exploitation; CISA's addition of the underlying flaw to its Known Exploited Vulnerabilities catalog with a 25 August federal remediation deadline. Primary uncertainty: full victim scope and any Texas-specific targeting remain unconfirmed in open reporting.</w:t>
      </w:r>
    </w:p>
    <w:p>
      <w:pPr>
        <w:spacing w:after="120"/>
        <w:ind w:left="283"/>
      </w:pPr>
      <w:r>
        <w:rPr>
          <w:color w:val="7A5A1E"/>
          <w:sz w:val="19"/>
        </w:rPr>
        <w:t>Decision implication: Decision Implication: DIB, aerospace, and software-engineering leadership should brief technical personnel on recruitment-channel targeting risk and confirm patch-management cadence is current as standing practice, not a one-time check.</w:t>
      </w:r>
    </w:p>
    <w:p>
      <w:pPr>
        <w:spacing w:after="40" w:before="200"/>
      </w:pPr>
      <w:r>
        <w:rPr>
          <w:rFonts w:ascii="Calibri" w:hAnsi="Calibri"/>
          <w:b/>
          <w:color w:val="1F5C8C"/>
          <w:sz w:val="19"/>
        </w:rPr>
        <w:t xml:space="preserve">KJ-4  </w:t>
      </w:r>
      <w:r>
        <w:rPr>
          <w:rFonts w:ascii="Georgia" w:hAnsi="Georgia"/>
          <w:b w:val="0"/>
          <w:i w:val="0"/>
          <w:color w:val="142233"/>
          <w:sz w:val="21"/>
        </w:rPr>
        <w:br/>
        <w:t xml:space="preserve"> Liberty CTI assesses that the new White House transnational-crime cyber framework will likely increase government-private sector operational interaction during major cyber investigations and disruption campaigns. </w:t>
      </w:r>
      <w:r>
        <w:rPr>
          <w:rFonts w:ascii="Consolas" w:hAnsi="Consolas"/>
          <w:b w:val="0"/>
          <w:i w:val="0"/>
          <w:color w:val="7A5A1E"/>
          <w:sz w:val="16"/>
        </w:rPr>
        <w:t>HIGH CONFIDENCE</w:t>
      </w:r>
      <w:r>
        <w:br/>
      </w:r>
      <w:r>
        <w:br/>
      </w:r>
      <w:r>
        <w:br/>
      </w:r>
    </w:p>
    <w:p>
      <w:pPr>
        <w:spacing w:after="40"/>
        <w:ind w:left="283"/>
      </w:pPr>
      <w:r>
        <w:rPr>
          <w:i/>
          <w:color w:val="5C5C5C"/>
          <w:sz w:val="18"/>
        </w:rPr>
        <w:t>Source basis / uncertainty: Source basis: White House National Security Presidential Memorandum and accompanying fact sheet, 12 August 2026. Primary uncertainty: how broadly the program will be implemented, and whether adversarial states will distinguish participating firms from U.S. government operators.</w:t>
      </w:r>
    </w:p>
    <w:p>
      <w:pPr>
        <w:spacing w:after="120"/>
        <w:ind w:left="283"/>
      </w:pPr>
      <w:r>
        <w:rPr>
          <w:color w:val="7A5A1E"/>
          <w:sz w:val="19"/>
        </w:rPr>
        <w:t>Decision implication: Decision Implication: CEOs and General Counsel should confirm, in writing, who can approve cooperation with a DOJ/DHS-run federal cyber-operation request before one arrives — no technical team should have standing authority to agree independently.</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Geopolitical Driver</w:t>
      </w:r>
    </w:p>
    <w:p>
      <w:pPr>
        <w:spacing w:after="160"/>
      </w:pPr>
      <w:r>
        <w:rPr>
          <w:rFonts w:ascii="Georgia" w:hAnsi="Georgia"/>
          <w:b w:val="0"/>
          <w:i w:val="0"/>
          <w:color w:val="142233"/>
          <w:sz w:val="21"/>
        </w:rPr>
        <w:t>The strategic backdrop is the active U.S.-Iran war, ongoing since 28 February 2026, which has moved from a distant conflict to a direct driver of global energy-market volatility through repeated Hormuz tanker attacks. Layered onto that is DPRK sanctions-evasion and revenue-generation activity via recruitment-based intrusion, and a structural U.S. policy shift toward deeper government-private sector integration in cyber operations. Russia remains a standing watch item: Liberty CTI's baseline holds that Russia has demonstrated both the access (GRU-linked router and telecom compromise, April 2026) and the destructive intent (the Poland energy-sector wiper campaign, December 2025) this pattern would require, and Russia may open its 2026–27 winter energy-strike campaign against Ukraine early, around Ukraine's 24 August Independence Day. No new indicator this week ties that baseline directly to Texas.</w:t>
      </w: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Why This Matters to Texas</w:t>
      </w:r>
    </w:p>
    <w:p>
      <w:pPr>
        <w:spacing w:after="160"/>
      </w:pPr>
      <w:r>
        <w:rPr>
          <w:rFonts w:ascii="Georgia" w:hAnsi="Georgia"/>
          <w:b w:val="0"/>
          <w:i w:val="0"/>
          <w:color w:val="142233"/>
          <w:sz w:val="21"/>
        </w:rPr>
        <w:t>No Texas energy asset has been struck, and no Texas healthcare system beyond JPS has reported comparable disruption. That is not the same as Texas being unexposed. Hormuz volatility reaches every Texas refiner, petrochemical operator, and logistics firm through pricing and insurance regardless of where the attacks occur. JPS demonstrates that a prolonged outage can degrade a major Texas public-health system for over a week before any cause is confirmed — a timeline every Texas hospital board should treat as plausible for its own operations, not exceptional.</w:t>
      </w:r>
    </w:p>
    <w:p>
      <w:pPr>
        <w:spacing w:before="320" w:after="120"/>
        <w:pBdr>
          <w:bottom w:val="single" w:sz="6" w:space="4" w:color="A67C2E"/>
        </w:pBdr>
      </w:pPr>
      <w:r>
        <w:rPr>
          <w:rFonts w:ascii="Calibri" w:hAnsi="Calibri"/>
          <w:b/>
          <w:color w:val="7A5A1E"/>
          <w:sz w:val="27"/>
        </w:rPr>
        <w:t>Cross-Sector Cascade Assessment</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Hormuz / Refining / LNG</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Hormuz is now the primary external cascade driver for Texas energy. Repeated tanker attacks move crude and LNG prices, marine insurance, and freight rates in ways that affect refinery economics and customer demand even without any direct Texas incident. </w:t>
            </w:r>
            <w:r>
              <w:rPr>
                <w:rFonts w:ascii="Georgia" w:hAnsi="Georgia"/>
                <w:b/>
                <w:i w:val="0"/>
                <w:color w:val="142233"/>
                <w:sz w:val="19"/>
              </w:rPr>
              <w:t>Why it matters locally:</w:t>
            </w:r>
            <w:r>
              <w:rPr>
                <w:rFonts w:ascii="Georgia" w:hAnsi="Georgia"/>
                <w:b w:val="0"/>
                <w:i w:val="0"/>
                <w:color w:val="142233"/>
                <w:sz w:val="19"/>
              </w:rPr>
              <w:t xml:space="preserve"> Texas producers may see upside from higher prices; refiners, petrochemical firms, and logistics operators face higher costs and volatility regardless. </w:t>
            </w:r>
            <w:r>
              <w:rPr>
                <w:rFonts w:ascii="Georgia" w:hAnsi="Georgia"/>
                <w:b/>
                <w:i w:val="0"/>
                <w:color w:val="142233"/>
                <w:sz w:val="19"/>
              </w:rPr>
              <w:t>Cascade risk:</w:t>
            </w:r>
            <w:r>
              <w:rPr>
                <w:rFonts w:ascii="Georgia" w:hAnsi="Georgia"/>
                <w:b w:val="0"/>
                <w:i w:val="0"/>
                <w:color w:val="142233"/>
                <w:sz w:val="19"/>
              </w:rPr>
              <w:t xml:space="preserve"> Price and insurance volatility reaches trade financing, customer contracts, and capital planning within days.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Trade Financing / Counterparty Risk</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Exposure is largely second-order — trade financing, marine insurance, and counterparty risk tied to energy-market volatility will move faster than any cyber telemetry would. </w:t>
            </w:r>
            <w:r>
              <w:rPr>
                <w:rFonts w:ascii="Georgia" w:hAnsi="Georgia"/>
                <w:b/>
                <w:i w:val="0"/>
                <w:color w:val="142233"/>
                <w:sz w:val="19"/>
              </w:rPr>
              <w:t>Why it matters locally:</w:t>
            </w:r>
            <w:r>
              <w:rPr>
                <w:rFonts w:ascii="Georgia" w:hAnsi="Georgia"/>
                <w:b w:val="0"/>
                <w:i w:val="0"/>
                <w:color w:val="142233"/>
                <w:sz w:val="19"/>
              </w:rPr>
              <w:t xml:space="preserve"> The new federal transnational-crime cyber framework creates a direct governance question for banks and payment processors specifically, since they are among the institutions most likely to receive a cooperation request. </w:t>
            </w:r>
            <w:r>
              <w:rPr>
                <w:rFonts w:ascii="Georgia" w:hAnsi="Georgia"/>
                <w:b/>
                <w:i w:val="0"/>
                <w:color w:val="142233"/>
                <w:sz w:val="19"/>
              </w:rPr>
              <w:t>Cascade risk:</w:t>
            </w:r>
            <w:r>
              <w:rPr>
                <w:rFonts w:ascii="Georgia" w:hAnsi="Georgia"/>
                <w:b w:val="0"/>
                <w:i w:val="0"/>
                <w:color w:val="142233"/>
                <w:sz w:val="19"/>
              </w:rPr>
              <w:t xml:space="preserve"> Few institutions currently have a documented approval chain for either exposure.</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Continuity / Recruitment Risk</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Healthcare:</w:t>
            </w:r>
            <w:r>
              <w:rPr>
                <w:rFonts w:ascii="Georgia" w:hAnsi="Georgia"/>
                <w:b w:val="0"/>
                <w:i w:val="0"/>
                <w:color w:val="142233"/>
                <w:sz w:val="19"/>
              </w:rPr>
              <w:t xml:space="preserve"> JPS Health Network is the strongest Texas-specific case this week — over a week of manual downtime procedures demonstrating that prolonged digital degradation creates patient-care and legal decisions well before attribution is confirmed. </w:t>
            </w:r>
            <w:r>
              <w:rPr>
                <w:rFonts w:ascii="Georgia" w:hAnsi="Georgia"/>
                <w:b/>
                <w:i w:val="0"/>
                <w:color w:val="142233"/>
                <w:sz w:val="19"/>
              </w:rPr>
              <w:t>DIB:</w:t>
            </w:r>
            <w:r>
              <w:rPr>
                <w:rFonts w:ascii="Georgia" w:hAnsi="Georgia"/>
                <w:b w:val="0"/>
                <w:i w:val="0"/>
                <w:color w:val="142233"/>
                <w:sz w:val="19"/>
              </w:rPr>
              <w:t xml:space="preserve"> North Korea's recruitment-based targeting of defense and aerospace personnel is now federally confirmed, not just vendor-flagged — sustained pressure on Texas's aerospace, DIB, and software-engineering talent base. </w:t>
            </w:r>
            <w:r>
              <w:rPr>
                <w:rFonts w:ascii="Georgia" w:hAnsi="Georgia"/>
                <w:b/>
                <w:i w:val="0"/>
                <w:color w:val="142233"/>
                <w:sz w:val="19"/>
              </w:rPr>
              <w:t>Cascade risk:</w:t>
            </w:r>
            <w:r>
              <w:rPr>
                <w:rFonts w:ascii="Georgia" w:hAnsi="Georgia"/>
                <w:b w:val="0"/>
                <w:i w:val="0"/>
                <w:color w:val="142233"/>
                <w:sz w:val="19"/>
              </w:rPr>
              <w:t xml:space="preserve"> Healthcare degradation creates immediate safety pressure; DIB degradation creates IP-loss and contract-performance pressure.</w:t>
              <w:br/>
              <w:t xml:space="preserve"> </w:t>
            </w:r>
          </w:p>
        </w:tc>
      </w:tr>
    </w:tbl>
    <w:p>
      <w:pPr>
        <w:spacing w:after="120"/>
      </w:pP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3 / I&amp;W 1  </w:t>
      </w:r>
      <w:r>
        <w:rPr>
          <w:b/>
          <w:color w:val="142233"/>
          <w:sz w:val="20"/>
        </w:rPr>
        <w:t>Additional tanker attacks or a shift in Iran's targeting pattern</w:t>
      </w:r>
      <w:r>
        <w:rPr>
          <w:i/>
          <w:color w:val="7A5A1E"/>
          <w:sz w:val="18"/>
        </w:rPr>
        <w:t xml:space="preserve">   [↑ Rising]</w:t>
      </w:r>
    </w:p>
    <w:p>
      <w:pPr>
        <w:spacing w:after="40"/>
        <w:ind w:left="283"/>
      </w:pPr>
      <w:r>
        <w:rPr>
          <w:color w:val="142233"/>
          <w:sz w:val="19"/>
        </w:rPr>
        <w:t>→ Watch for further Strait of Hormuz incidents, or a shift toward U.S.-flagged or Texas-linked cargo specifically.</w:t>
      </w:r>
    </w:p>
    <w:p>
      <w:pPr>
        <w:spacing w:after="40"/>
        <w:ind w:left="283"/>
      </w:pPr>
      <w:r>
        <w:rPr>
          <w:color w:val="142233"/>
          <w:sz w:val="19"/>
        </w:rPr>
        <w:t>→ Would confirm the Dominant Judgment's durability assessment and raise urgency on the hedging-trigger decision.</w:t>
      </w:r>
    </w:p>
    <w:p>
      <w:pPr>
        <w:spacing w:after="40"/>
        <w:ind w:left="283"/>
      </w:pPr>
      <w:r>
        <w:rPr>
          <w:color w:val="142233"/>
          <w:sz w:val="19"/>
        </w:rPr>
        <w:t>→ Tied to: PIR 3, escalation indicators.</w:t>
      </w:r>
    </w:p>
    <w:p>
      <w:pPr>
        <w:spacing w:before="160" w:after="40"/>
      </w:pPr>
      <w:r>
        <w:rPr>
          <w:b/>
          <w:color w:val="1F5C8C"/>
          <w:sz w:val="18"/>
        </w:rPr>
        <w:t xml:space="preserve">PIR 6 / I&amp;W 2  </w:t>
      </w:r>
      <w:r>
        <w:rPr>
          <w:b/>
          <w:color w:val="142233"/>
          <w:sz w:val="20"/>
        </w:rPr>
        <w:t>Movement in stalled U.S.-Iran ceasefire talks</w:t>
      </w:r>
      <w:r>
        <w:rPr>
          <w:i/>
          <w:color w:val="7A5A1E"/>
          <w:sz w:val="18"/>
        </w:rPr>
        <w:t xml:space="preserve">   [→ Sustained]</w:t>
      </w:r>
    </w:p>
    <w:p>
      <w:pPr>
        <w:spacing w:after="40"/>
        <w:ind w:left="283"/>
      </w:pPr>
      <w:r>
        <w:rPr>
          <w:color w:val="142233"/>
          <w:sz w:val="19"/>
        </w:rPr>
        <w:t>→ Watch for any credible de-escalation signal in ceasefire negotiations.</w:t>
      </w:r>
    </w:p>
    <w:p>
      <w:pPr>
        <w:spacing w:after="40"/>
        <w:ind w:left="283"/>
      </w:pPr>
      <w:r>
        <w:rPr>
          <w:color w:val="142233"/>
          <w:sz w:val="19"/>
        </w:rPr>
        <w:t>→ Would be the clearest signal the Dominant Judgment should soften from High to Moderate confidence.</w:t>
      </w:r>
    </w:p>
    <w:p>
      <w:pPr>
        <w:spacing w:after="40"/>
        <w:ind w:left="283"/>
      </w:pPr>
      <w:r>
        <w:rPr>
          <w:color w:val="142233"/>
          <w:sz w:val="19"/>
        </w:rPr>
        <w:t>→ Tied to: PIR 6, executive decision-relevant warning.</w:t>
      </w:r>
    </w:p>
    <w:p>
      <w:pPr>
        <w:spacing w:before="160" w:after="40"/>
      </w:pPr>
      <w:r>
        <w:rPr>
          <w:b/>
          <w:color w:val="1F5C8C"/>
          <w:sz w:val="18"/>
        </w:rPr>
        <w:t xml:space="preserve">PIR 5 / I&amp;W 3  </w:t>
      </w:r>
      <w:r>
        <w:rPr>
          <w:b/>
          <w:color w:val="142233"/>
          <w:sz w:val="20"/>
        </w:rPr>
        <w:t>JPS attribution outcome, or a second Texas healthcare outage</w:t>
      </w:r>
      <w:r>
        <w:rPr>
          <w:i/>
          <w:color w:val="7A5A1E"/>
          <w:sz w:val="18"/>
        </w:rPr>
        <w:t xml:space="preserve">   [→ Sustained]</w:t>
      </w:r>
    </w:p>
    <w:p>
      <w:pPr>
        <w:spacing w:after="40"/>
        <w:ind w:left="283"/>
      </w:pPr>
      <w:r>
        <w:rPr>
          <w:color w:val="142233"/>
          <w:sz w:val="19"/>
        </w:rPr>
        <w:t>→ Watch for JPS, law enforcement, or a regulator confirming or ruling out a cybersecurity cause, or another Texas health system reporting a comparable prolonged outage.</w:t>
      </w:r>
    </w:p>
    <w:p>
      <w:pPr>
        <w:spacing w:after="40"/>
        <w:ind w:left="283"/>
      </w:pPr>
      <w:r>
        <w:rPr>
          <w:color w:val="142233"/>
          <w:sz w:val="19"/>
        </w:rPr>
        <w:t>→ Would confirm whether this is an isolated case or an emerging Texas healthcare-sector pattern.</w:t>
      </w:r>
    </w:p>
    <w:p>
      <w:pPr>
        <w:spacing w:after="40"/>
        <w:ind w:left="283"/>
      </w:pPr>
      <w:r>
        <w:rPr>
          <w:color w:val="142233"/>
          <w:sz w:val="19"/>
        </w:rPr>
        <w:t>→ Tied to: PIR 5, strategic vulnerability exposure across critical infrastructure.</w:t>
      </w:r>
    </w:p>
    <w:p>
      <w:pPr>
        <w:spacing w:before="160" w:after="40"/>
      </w:pPr>
      <w:r>
        <w:rPr>
          <w:b/>
          <w:color w:val="1F5C8C"/>
          <w:sz w:val="18"/>
        </w:rPr>
        <w:t xml:space="preserve">PIR 1 / I&amp;W 4  </w:t>
      </w:r>
      <w:r>
        <w:rPr>
          <w:b/>
          <w:color w:val="142233"/>
          <w:sz w:val="20"/>
        </w:rPr>
        <w:t>U.S. government attribution or additional confirmed DPRK victims</w:t>
      </w:r>
      <w:r>
        <w:rPr>
          <w:i/>
          <w:color w:val="7A5A1E"/>
          <w:sz w:val="18"/>
        </w:rPr>
        <w:t xml:space="preserve">   [↑ Rising]</w:t>
      </w:r>
    </w:p>
    <w:p>
      <w:pPr>
        <w:spacing w:after="40"/>
        <w:ind w:left="283"/>
      </w:pPr>
      <w:r>
        <w:rPr>
          <w:color w:val="142233"/>
          <w:sz w:val="19"/>
        </w:rPr>
        <w:t>→ Watch for formal U.S. government (not just vendor) attribution on the DPRK recruitment campaign, or additional confirmed defense-sector victims.</w:t>
      </w:r>
    </w:p>
    <w:p>
      <w:pPr>
        <w:spacing w:after="40"/>
        <w:ind w:left="283"/>
      </w:pPr>
      <w:r>
        <w:rPr>
          <w:color w:val="142233"/>
          <w:sz w:val="19"/>
        </w:rPr>
        <w:t>→ Would move this from a federally-confirmed exploitation event to a formally attributed nation-state campaign.</w:t>
      </w:r>
    </w:p>
    <w:p>
      <w:pPr>
        <w:spacing w:after="40"/>
        <w:ind w:left="283"/>
      </w:pPr>
      <w:r>
        <w:rPr>
          <w:color w:val="142233"/>
          <w:sz w:val="19"/>
        </w:rPr>
        <w:t>→ Tied to: PIR 1, nation-state targeting of Texas critical infrastructure.</w:t>
      </w:r>
    </w:p>
    <w:p>
      <w:pPr>
        <w:spacing w:before="160" w:after="40"/>
      </w:pPr>
      <w:r>
        <w:rPr>
          <w:b/>
          <w:color w:val="1F5C8C"/>
          <w:sz w:val="18"/>
        </w:rPr>
        <w:t xml:space="preserve">PIR 7 / I&amp;W 5  </w:t>
      </w:r>
      <w:r>
        <w:rPr>
          <w:b/>
          <w:color w:val="142233"/>
          <w:sz w:val="20"/>
        </w:rPr>
        <w:t>Russian strikes on Ukrainian energy infrastructure around 24 August</w:t>
      </w:r>
      <w:r>
        <w:rPr>
          <w:i/>
          <w:color w:val="7A5A1E"/>
          <w:sz w:val="18"/>
        </w:rPr>
        <w:t xml:space="preserve">   [→ Sustained]</w:t>
      </w:r>
    </w:p>
    <w:p>
      <w:pPr>
        <w:spacing w:after="40"/>
        <w:ind w:left="283"/>
      </w:pPr>
      <w:r>
        <w:rPr>
          <w:color w:val="142233"/>
          <w:sz w:val="19"/>
        </w:rPr>
        <w:t>→ Watch for Russian strikes timed to Ukraine's 24 August Independence Day, a possible early opening of the 2026–27 winter strike campaign.</w:t>
      </w:r>
    </w:p>
    <w:p>
      <w:pPr>
        <w:spacing w:after="40"/>
        <w:ind w:left="283"/>
      </w:pPr>
      <w:r>
        <w:rPr>
          <w:color w:val="142233"/>
          <w:sz w:val="19"/>
        </w:rPr>
        <w:t>→ Would raise, not lower, the probability and urgency of Russian cyber retaliation against Western energy and logistics targets — consistent with, not itself confirming, Liberty CTI's standing baseline.</w:t>
      </w:r>
    </w:p>
    <w:p>
      <w:pPr>
        <w:spacing w:after="40"/>
        <w:ind w:left="283"/>
      </w:pPr>
      <w:r>
        <w:rPr>
          <w:color w:val="142233"/>
          <w:sz w:val="19"/>
        </w:rPr>
        <w:t>→ Tied to: PIR 7, geopolitical-cyber acceleration.</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leadership has a pre-defined trigger for when Hormuz-driven volatility changes procurement, hedging, shipping, or customer-communication posture — and, separately, whether critical operations can be validated to run on manual procedures for the length JPS has now demonstrated is realistic.</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CEO, COO, CFO, CISO, General Counsel, continuity leadership. For federal cyber-operation cooperation specifically: the program runs through DOJ and DHS via the National Coordination Center — know that before a request arrives, not after.</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Being forced to make hedging, sourcing, or continuity decisions live under market pressure instead of against a pre-agreed threshold; discovering during an actual outage that manual-procedure duration assumptions were wrong; unauthorized or legally unprotected cooperation with a federal operational request.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Define the specific Hormuz trigger — price move, insurance repricing, further attack pattern — that changes your posture. For any high-dependency operation, validate how long essential services can run with core systems degraded, using JPS's timeline as a real-world benchmark. Confirm the DOJ/DHS approval path for federal cyber-operation cooperation requests exists in writing. Brief DIB/aerospace/software personnel on recruitment-channel targeting risk.</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Hedging and procurement decisions tied to Hormuz triggers; continuity-validation results; any government cooperation request plus counsel review and scope authorization; recruiter-contact records for DIB personnel.</w:t>
            </w:r>
          </w:p>
        </w:tc>
      </w:tr>
    </w:tbl>
    <w:p>
      <w:pPr>
        <w:spacing w:after="120"/>
      </w:pP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Actions This Week</w:t>
      </w:r>
    </w:p>
    <w:p>
      <w:pPr>
        <w:spacing w:after="160"/>
      </w:pPr>
      <w:r>
        <w:rPr>
          <w:rFonts w:ascii="Georgia" w:hAnsi="Georgia"/>
          <w:b w:val="0"/>
          <w:i w:val="0"/>
          <w:color w:val="142233"/>
          <w:sz w:val="21"/>
        </w:rPr>
        <w:t>Section VIII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ATB-2026-22 assessed the water-sector OT campaign's occurrence at High confidence — confirmed operational effects across Michigan and New Jersey — with Iranian affiliation carried as the leading hypothesis at Moderate confidence, explicitly unconfirmed.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Unchanged this issue. No Texas-named victim and no formal U.S. government attribution emerged this week. The active U.S.-Iran war raises the consequence if attribution firms up, but does not itself move confidence on the water-campaign judgment.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What changed</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This week's dominant movement was not the water-sector campaign. It was the Strait of Hormuz escalating to repeated, confirmed tanker attacks, and JPS Health Network's continuity crisis becoming the strongest current Texas-specific case.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Confidence movement</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New Dominant Judgment established this issue (Hormuz durability) at High confidence. DPRK judgment moved from Moderate to High confidence following federal (not just vendor) corroboration.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Texas-named victim in the water-sector campaign, formal U.S. attribution, a Hormuz de-escalation signal, or JPS attribution confirmation would each move posture in this thread going forward.</w:t>
            </w:r>
          </w:p>
        </w:tc>
      </w:tr>
    </w:tbl>
    <w:p>
      <w:pPr>
        <w:spacing w:after="120"/>
      </w:pPr>
    </w:p>
    <w:p>
      <w:pPr>
        <w:spacing w:after="160"/>
      </w:pPr>
      <w:r>
        <w:rPr>
          <w:rFonts w:ascii="Georgia" w:hAnsi="Georgia"/>
          <w:b w:val="0"/>
          <w:i w:val="0"/>
          <w:color w:val="142233"/>
          <w:sz w:val="21"/>
        </w:rPr>
        <w:t>Section IX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ATB-2026-23 — COVERAGE WEEK 9–15 AUG 2026 AND CONTINUING BASELINE</w:t>
      </w:r>
    </w:p>
    <w:p>
      <w:pPr>
        <w:spacing w:before="120" w:after="20"/>
      </w:pPr>
      <w:r>
        <w:rPr>
          <w:rFonts w:ascii="Calibri" w:hAnsi="Calibri"/>
          <w:b/>
          <w:color w:val="7A5A1E"/>
          <w:sz w:val="15"/>
        </w:rPr>
        <w:t>GOVERNMENT / MARITIME AUTHORITY</w:t>
        <w:br/>
      </w:r>
      <w:r>
        <w:rPr>
          <w:b/>
          <w:color w:val="142233"/>
          <w:sz w:val="20"/>
        </w:rPr>
        <w:t>UKMTO / JMIC — Advisory Note, Strait of Hormuz</w:t>
      </w:r>
    </w:p>
    <w:p>
      <w:pPr>
        <w:spacing w:after="20"/>
      </w:pPr>
      <w:hyperlink r:id="rId11">
        <w:r>
          <w:rPr>
            <w:color w:val="1F5C8C"/>
            <w:u w:val="single"/>
            <w:sz w:val="17"/>
            <w:rFonts w:ascii="Consolas"/>
          </w:rPr>
          <w:t>ukmto.org — JMIC Advisory Note, Update 082</w:t>
        </w:r>
      </w:hyperlink>
    </w:p>
    <w:p>
      <w:pPr>
        <w:spacing w:after="40"/>
      </w:pPr>
      <w:r>
        <w:rPr>
          <w:i/>
          <w:color w:val="5C5C5C"/>
          <w:sz w:val="17"/>
        </w:rPr>
        <w:t>Published within coverage week. Basis for occurrence confirmation on sustained Hormuz shipping disruption and blockade enforcement status.</w:t>
      </w:r>
    </w:p>
    <w:p>
      <w:pPr>
        <w:spacing w:before="120" w:after="20"/>
      </w:pPr>
      <w:r>
        <w:rPr>
          <w:rFonts w:ascii="Calibri" w:hAnsi="Calibri"/>
          <w:b/>
          <w:color w:val="7A5A1E"/>
          <w:sz w:val="15"/>
        </w:rPr>
        <w:t>PRESS / WIRE</w:t>
        <w:br/>
      </w:r>
      <w:r>
        <w:rPr>
          <w:b/>
          <w:color w:val="142233"/>
          <w:sz w:val="20"/>
        </w:rPr>
        <w:t>Associated Press — ADNOC Tanker Attacks, 14–15 August 2026</w:t>
      </w:r>
    </w:p>
    <w:p>
      <w:pPr>
        <w:spacing w:after="20"/>
      </w:pPr>
      <w:hyperlink r:id="rId12">
        <w:r>
          <w:rPr>
            <w:color w:val="1F5C8C"/>
            <w:u w:val="single"/>
            <w:sz w:val="17"/>
            <w:rFonts w:ascii="Consolas"/>
          </w:rPr>
          <w:t>apnews.com — UAE tankers attacked in Strait of Hormuz</w:t>
        </w:r>
      </w:hyperlink>
    </w:p>
    <w:p>
      <w:pPr>
        <w:spacing w:after="40"/>
      </w:pPr>
      <w:r>
        <w:rPr>
          <w:i/>
          <w:color w:val="5C5C5C"/>
          <w:sz w:val="17"/>
        </w:rPr>
        <w:t>Tier 2 wire reporting; corroborated by follow-on 15 August reporting. UAE attribution to Iran presented as an official claim, not independent Liberty CTI attribution.</w:t>
      </w:r>
    </w:p>
    <w:p>
      <w:pPr>
        <w:spacing w:before="120" w:after="20"/>
      </w:pPr>
      <w:r>
        <w:rPr>
          <w:rFonts w:ascii="Calibri" w:hAnsi="Calibri"/>
          <w:b/>
          <w:color w:val="7A5A1E"/>
          <w:sz w:val="15"/>
        </w:rPr>
        <w:t>ORGANIZATION DISCLOSURE</w:t>
        <w:br/>
      </w:r>
      <w:r>
        <w:rPr>
          <w:b/>
          <w:color w:val="142233"/>
          <w:sz w:val="20"/>
        </w:rPr>
        <w:t>JPS Health Network — Public Statements on Network Outage</w:t>
      </w:r>
    </w:p>
    <w:p>
      <w:pPr>
        <w:spacing w:after="20"/>
      </w:pPr>
      <w:hyperlink r:id="rId13">
        <w:r>
          <w:rPr>
            <w:color w:val="1F5C8C"/>
            <w:u w:val="single"/>
            <w:sz w:val="17"/>
            <w:rFonts w:ascii="Consolas"/>
          </w:rPr>
          <w:t>jpshealthnet.org</w:t>
        </w:r>
      </w:hyperlink>
    </w:p>
    <w:p>
      <w:pPr>
        <w:spacing w:after="40"/>
      </w:pPr>
      <w:r>
        <w:rPr>
          <w:i/>
          <w:color w:val="5C5C5C"/>
          <w:sz w:val="17"/>
        </w:rPr>
        <w:t>Tier 1 primary organization disclosure, corroborated by Fort Worth Report, NBC 5 DFW, and WFAA regional reporting since 3 August. Confirms outage and downtime procedures; does not confirm cyber cause.</w:t>
      </w:r>
    </w:p>
    <w:p>
      <w:pPr>
        <w:spacing w:before="120" w:after="20"/>
      </w:pPr>
      <w:r>
        <w:rPr>
          <w:rFonts w:ascii="Calibri" w:hAnsi="Calibri"/>
          <w:b/>
          <w:color w:val="7A5A1E"/>
          <w:sz w:val="15"/>
        </w:rPr>
        <w:t>GOVERNMENT / REGULATORY</w:t>
        <w:br/>
      </w:r>
      <w:r>
        <w:rPr>
          <w:b/>
          <w:color w:val="142233"/>
          <w:sz w:val="20"/>
        </w:rPr>
        <w:t>CISA — Known Exploited Vulnerabilities Catalog</w:t>
      </w:r>
    </w:p>
    <w:p>
      <w:pPr>
        <w:spacing w:after="20"/>
      </w:pPr>
      <w:hyperlink r:id="rId14">
        <w:r>
          <w:rPr>
            <w:color w:val="1F5C8C"/>
            <w:u w:val="single"/>
            <w:sz w:val="17"/>
            <w:rFonts w:ascii="Consolas"/>
          </w:rPr>
          <w:t>cisa.gov/known-exploited-vulnerabilities-catalog</w:t>
        </w:r>
      </w:hyperlink>
    </w:p>
    <w:p>
      <w:pPr>
        <w:spacing w:after="40"/>
      </w:pPr>
      <w:r>
        <w:rPr>
          <w:i/>
          <w:color w:val="5C5C5C"/>
          <w:sz w:val="17"/>
        </w:rPr>
        <w:t>Addition confirmed 11 August 2026 with a 25 August federal remediation deadline. Basis for elevating the DPRK recruitment-campaign judgment from vendor-only to federally confirmed.</w:t>
      </w:r>
    </w:p>
    <w:p>
      <w:pPr>
        <w:spacing w:before="120" w:after="20"/>
      </w:pPr>
      <w:r>
        <w:rPr>
          <w:rFonts w:ascii="Calibri" w:hAnsi="Calibri"/>
          <w:b/>
          <w:color w:val="7A5A1E"/>
          <w:sz w:val="15"/>
        </w:rPr>
        <w:t>GOVERNMENT / EXECUTIVE ACTION</w:t>
        <w:br/>
      </w:r>
      <w:r>
        <w:rPr>
          <w:b/>
          <w:color w:val="142233"/>
          <w:sz w:val="20"/>
        </w:rPr>
        <w:t>The White House — Fact Sheet: Expanding Capabilities to Combat Transnational Cyber-Enabled Crime</w:t>
      </w:r>
    </w:p>
    <w:p>
      <w:pPr>
        <w:spacing w:after="20"/>
      </w:pPr>
      <w:hyperlink r:id="rId15">
        <w:r>
          <w:rPr>
            <w:color w:val="1F5C8C"/>
            <w:u w:val="single"/>
            <w:sz w:val="17"/>
            <w:rFonts w:ascii="Consolas"/>
          </w:rPr>
          <w:t>whitehouse.gov — NSPM fact sheet, 12 August 2026</w:t>
        </w:r>
      </w:hyperlink>
    </w:p>
    <w:p>
      <w:pPr>
        <w:spacing w:after="40"/>
      </w:pPr>
      <w:r>
        <w:rPr>
          <w:i/>
          <w:color w:val="5C5C5C"/>
          <w:sz w:val="17"/>
        </w:rPr>
        <w:t>Primary source. Controlling document for scope and authority of the new DOJ/DHS-run private-sector cyber-operations framework.</w:t>
      </w:r>
    </w:p>
    <w:p>
      <w:pPr>
        <w:spacing w:before="120" w:after="20"/>
      </w:pPr>
      <w:r>
        <w:rPr>
          <w:rFonts w:ascii="Calibri" w:hAnsi="Calibri"/>
          <w:b/>
          <w:color w:val="7A5A1E"/>
          <w:sz w:val="15"/>
        </w:rPr>
        <w:t>PRIMARY VENDOR RESEARCH</w:t>
        <w:br/>
      </w:r>
      <w:r>
        <w:rPr>
          <w:b/>
          <w:color w:val="142233"/>
          <w:sz w:val="20"/>
        </w:rPr>
        <w:t>Check Point Research — Operation Dream Job Campaign Update</w:t>
      </w:r>
    </w:p>
    <w:p>
      <w:pPr>
        <w:spacing w:after="20"/>
      </w:pPr>
      <w:hyperlink r:id="rId16">
        <w:r>
          <w:rPr>
            <w:color w:val="1F5C8C"/>
            <w:u w:val="single"/>
            <w:sz w:val="17"/>
            <w:rFonts w:ascii="Consolas"/>
          </w:rPr>
          <w:t>research.checkpoint.com — Shattering the Dream</w:t>
        </w:r>
      </w:hyperlink>
    </w:p>
    <w:p>
      <w:pPr>
        <w:spacing w:after="40"/>
      </w:pPr>
      <w:r>
        <w:rPr>
          <w:i/>
          <w:color w:val="5C5C5C"/>
          <w:sz w:val="17"/>
        </w:rPr>
        <w:t>Published within coverage week. Cited for campaign TTP and targeting detail only; technical exploit detail reserved for a Technical Annex, not this executive brief.</w:t>
      </w:r>
    </w:p>
    <w:p>
      <w:pPr>
        <w:spacing w:before="120" w:after="20"/>
      </w:pPr>
      <w:r>
        <w:rPr>
          <w:rFonts w:ascii="Calibri" w:hAnsi="Calibri"/>
          <w:b/>
          <w:color w:val="7A5A1E"/>
          <w:sz w:val="15"/>
        </w:rPr>
        <w:t>ANALYSIS / OSINT</w:t>
        <w:br/>
      </w:r>
      <w:r>
        <w:rPr>
          <w:b/>
          <w:color w:val="142233"/>
          <w:sz w:val="20"/>
        </w:rPr>
        <w:t>Critical Threats (ISW) — Russian Offensive Campaign Assessment, 8 August 2026</w:t>
      </w:r>
    </w:p>
    <w:p>
      <w:pPr>
        <w:spacing w:after="20"/>
      </w:pPr>
      <w:hyperlink r:id="rId17">
        <w:r>
          <w:rPr>
            <w:color w:val="1F5C8C"/>
            <w:u w:val="single"/>
            <w:sz w:val="17"/>
            <w:rFonts w:ascii="Consolas"/>
          </w:rPr>
          <w:t>criticalthreats.org — 8 August assessment</w:t>
        </w:r>
      </w:hyperlink>
    </w:p>
    <w:p>
      <w:pPr>
        <w:spacing w:after="40"/>
      </w:pPr>
      <w:r>
        <w:rPr>
          <w:i/>
          <w:color w:val="5C5C5C"/>
          <w:sz w:val="17"/>
        </w:rPr>
        <w:t>Cited for the 24 August Ukraine Independence Day timing indicator only; not used to move PIR 7 independently, per Liberty CTI's standing Russia baseline.</w:t>
      </w:r>
    </w:p>
    <w:p>
      <w:pPr>
        <w:spacing w:before="120" w:after="20"/>
      </w:pPr>
      <w:r>
        <w:rPr>
          <w:rFonts w:ascii="Calibri" w:hAnsi="Calibri"/>
          <w:b/>
          <w:color w:val="7A5A1E"/>
          <w:sz w:val="15"/>
        </w:rPr>
        <w:t>PRESS / REGIONAL</w:t>
        <w:br/>
      </w:r>
      <w:r>
        <w:rPr>
          <w:b/>
          <w:color w:val="142233"/>
          <w:sz w:val="20"/>
        </w:rPr>
        <w:t>Fort Worth Report — JPS Fifth-Day Outage Coverage</w:t>
      </w:r>
    </w:p>
    <w:p>
      <w:pPr>
        <w:spacing w:after="20"/>
      </w:pPr>
      <w:hyperlink r:id="rId18">
        <w:r>
          <w:rPr>
            <w:color w:val="1F5C8C"/>
            <w:u w:val="single"/>
            <w:sz w:val="17"/>
            <w:rFonts w:ascii="Consolas"/>
          </w:rPr>
          <w:t>fortworthreport.org, 7 August 2026</w:t>
        </w:r>
      </w:hyperlink>
    </w:p>
    <w:p>
      <w:pPr>
        <w:spacing w:after="40"/>
      </w:pPr>
      <w:r>
        <w:rPr>
          <w:i/>
          <w:color w:val="5C5C5C"/>
          <w:sz w:val="17"/>
        </w:rPr>
        <w:t>Corroborating regional reporting on JPS outage timeline and "suspicious activity" disclosure. Cited for continuity-impact detail only.</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ukmto.org/-/media/ukmto/products/update-082-jmic-advisory-note-09-august.pdf?rev=3f264c5bd28247a0a6ce7f4fad49cfce" TargetMode="External"/><Relationship Id="rId12" Type="http://schemas.openxmlformats.org/officeDocument/2006/relationships/hyperlink" Target="https://apnews.com/article/e8565c608ac5283ec8103c85df924b13" TargetMode="External"/><Relationship Id="rId13" Type="http://schemas.openxmlformats.org/officeDocument/2006/relationships/hyperlink" Target="https://www.jpshealthnet.org/" TargetMode="External"/><Relationship Id="rId14" Type="http://schemas.openxmlformats.org/officeDocument/2006/relationships/hyperlink" Target="https://www.cisa.gov/known-exploited-vulnerabilities-catalog" TargetMode="External"/><Relationship Id="rId15" Type="http://schemas.openxmlformats.org/officeDocument/2006/relationships/hyperlink" Target="https://www.whitehouse.gov/fact-sheets/2026/08/fact-sheet-president-donald-j-trump-expands-capabilities-to-combat-transnational-cyber-enabled-crime/" TargetMode="External"/><Relationship Id="rId16" Type="http://schemas.openxmlformats.org/officeDocument/2006/relationships/hyperlink" Target="https://research.checkpoint.com/2026/shattering-the-dream-when-a-job-offer-becomes-a-zero-day-attack/" TargetMode="External"/><Relationship Id="rId17" Type="http://schemas.openxmlformats.org/officeDocument/2006/relationships/hyperlink" Target="https://www.criticalthreats.org/analysis/russian-offensive-campaign-assessment-august-8-2026" TargetMode="External"/><Relationship Id="rId18" Type="http://schemas.openxmlformats.org/officeDocument/2006/relationships/hyperlink" Target="https://fortworthreport.org/2026/08/07/jps-experiences-fifth-day-of-network-outage-after-hospital-detects-suspicious-activ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