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7A5A1E"/>
          <w:sz w:val="19"/>
        </w:rPr>
        <w:t>LIBERTY CYBER THREAT INTELLIGENCE</w:t>
      </w:r>
    </w:p>
    <w:p>
      <w:pPr>
        <w:spacing w:after="80"/>
        <w:jc w:val="center"/>
      </w:pPr>
      <w:r>
        <w:rPr>
          <w:rFonts w:ascii="Calibri" w:hAnsi="Calibri"/>
          <w:b/>
          <w:color w:val="142233"/>
          <w:sz w:val="48"/>
        </w:rPr>
        <w:t>THE ALAMO THREAT BRIEF™</w:t>
      </w:r>
    </w:p>
    <w:p>
      <w:pPr>
        <w:spacing w:after="200"/>
        <w:jc w:val="center"/>
      </w:pPr>
      <w:r>
        <w:rPr>
          <w:rFonts w:ascii="Consolas" w:hAnsi="Consolas"/>
          <w:color w:val="5C5C5C"/>
          <w:sz w:val="16"/>
        </w:rPr>
        <w:t>OPEN SOURCE INTELLIGENCE</w:t>
      </w:r>
    </w:p>
    <w:tbl>
      <w:tblPr>
        <w:tblW w:type="auto" w:w="0"/>
        <w:jc w:val="center"/>
        <w:tblLook w:firstColumn="1" w:firstRow="1" w:lastColumn="0" w:lastRow="0" w:noHBand="0" w:noVBand="1" w:val="04A0"/>
      </w:tblPr>
      <w:tblGrid>
        <w:gridCol w:w="1928"/>
        <w:gridCol w:w="7200"/>
      </w:tblGrid>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ISSUE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ATB-2026-25</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COVERAGE PERIOD</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23–29 AUG 2026</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PUBLICATION DATE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2026-08-29</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DOMINANT JUDGMENT</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NATION-STATE ACCESS BROKERS, UNKNOWN EXPOSURE</w:t>
            </w:r>
          </w:p>
        </w:tc>
      </w:tr>
    </w:tbl>
    <w:p>
      <w:pPr>
        <w:spacing w:after="80"/>
      </w:pPr>
    </w:p>
    <w:p>
      <w:pPr>
        <w:jc w:val="center"/>
      </w:pPr>
      <w:r>
        <w:rPr>
          <w:i/>
          <w:color w:val="5C5C5C"/>
          <w:sz w:val="20"/>
        </w:rPr>
        <w:t>Executive decision intelligence for Texas critical infrastructure.</w:t>
      </w:r>
    </w:p>
    <w:p>
      <w:pPr>
        <w:pBdr>
          <w:bottom w:val="single" w:sz="10" w:space="4" w:color="A67C2E"/>
        </w:pBdr>
        <w:spacing w:after="200"/>
      </w:pPr>
    </w:p>
    <w:p>
      <w:pPr>
        <w:spacing w:before="160" w:after="40"/>
      </w:pPr>
      <w:r>
        <w:rPr>
          <w:b/>
          <w:color w:val="7A5A1E"/>
          <w:sz w:val="20"/>
        </w:rPr>
        <w:t>Board Implications This Week — Ask</w:t>
      </w:r>
    </w:p>
    <w:p>
      <w:pPr>
        <w:spacing w:after="40"/>
      </w:pPr>
      <w:r>
        <w:rPr>
          <w:rFonts w:ascii="Georgia" w:hAnsi="Georgia"/>
          <w:b w:val="0"/>
          <w:i w:val="0"/>
          <w:color w:val="142233"/>
          <w:sz w:val="19"/>
        </w:rPr>
        <w:t>Have we independently hunted for the FBI/NSA-published QTFY indicators of compromise, or are we relying on the absence of our name from a victim list the government has not published?</w:t>
      </w:r>
    </w:p>
    <w:p>
      <w:pPr>
        <w:spacing w:before="160" w:after="40"/>
      </w:pPr>
      <w:r>
        <w:rPr>
          <w:b/>
          <w:color w:val="7A5A1E"/>
          <w:sz w:val="20"/>
        </w:rPr>
        <w:t>Board Implications This Week — Direct</w:t>
      </w:r>
    </w:p>
    <w:p>
      <w:pPr>
        <w:spacing w:after="40"/>
      </w:pPr>
      <w:r>
        <w:rPr>
          <w:rFonts w:ascii="Georgia" w:hAnsi="Georgia"/>
          <w:b w:val="0"/>
          <w:i w:val="0"/>
          <w:color w:val="142233"/>
          <w:sz w:val="19"/>
        </w:rPr>
        <w:t>Direct Treasury/Finance to confirm OFAC and correspondent-banking screening is current against the 24 and 28 August Iran designations, including the new Section 311 mechanism now in active use against foreign banks.</w:t>
      </w:r>
    </w:p>
    <w:p>
      <w:pPr>
        <w:spacing w:before="160" w:after="40"/>
      </w:pPr>
      <w:r>
        <w:rPr>
          <w:b/>
          <w:color w:val="7A5A1E"/>
          <w:sz w:val="20"/>
        </w:rPr>
        <w:t>Board Implications This Week — Document</w:t>
      </w:r>
    </w:p>
    <w:p>
      <w:pPr>
        <w:spacing w:after="40"/>
      </w:pPr>
      <w:r>
        <w:rPr>
          <w:rFonts w:ascii="Georgia" w:hAnsi="Georgia"/>
          <w:b w:val="0"/>
          <w:i w:val="0"/>
          <w:color w:val="142233"/>
          <w:sz w:val="19"/>
        </w:rPr>
        <w:t>Whatever the IT/security team finds — or does not find — in this week’s QTFY indicator hunt, put the scope, method, and result in board or risk-committee minutes now, while the tasking is fresh.</w:t>
      </w:r>
    </w:p>
    <w:p>
      <w:pPr>
        <w:spacing w:before="160" w:after="40"/>
      </w:pPr>
      <w:r>
        <w:rPr>
          <w:b/>
          <w:color w:val="7A5A1E"/>
          <w:sz w:val="20"/>
        </w:rPr>
        <w:t>Board Implications This Week — Rehearse</w:t>
      </w:r>
    </w:p>
    <w:p>
      <w:pPr>
        <w:spacing w:after="40"/>
      </w:pPr>
      <w:r>
        <w:rPr>
          <w:rFonts w:ascii="Georgia" w:hAnsi="Georgia"/>
          <w:b w:val="0"/>
          <w:i w:val="0"/>
          <w:color w:val="142233"/>
          <w:sz w:val="19"/>
        </w:rPr>
        <w:t>Rehearse the decision you would face if a subpoena, regulator inquiry, or federal notification named your organization as a QTFY victim next month for intrusion activity that occurred years ago. Decide now who owns that conversation.</w:t>
      </w:r>
    </w:p>
    <w:p>
      <w:pPr>
        <w:spacing w:after="160"/>
      </w:pPr>
      <w:r>
        <w:rPr>
          <w:rFonts w:ascii="Georgia" w:hAnsi="Georgia"/>
          <w:b w:val="0"/>
          <w:i w:val="0"/>
          <w:color w:val="142233"/>
          <w:sz w:val="21"/>
        </w:rPr>
        <w:t>Section I</w:t>
      </w:r>
    </w:p>
    <w:p>
      <w:pPr>
        <w:spacing w:before="320" w:after="120"/>
        <w:pBdr>
          <w:bottom w:val="single" w:sz="6" w:space="4" w:color="A67C2E"/>
        </w:pBdr>
      </w:pPr>
      <w:r>
        <w:rPr>
          <w:rFonts w:ascii="Calibri" w:hAnsi="Calibri"/>
          <w:b/>
          <w:color w:val="7A5A1E"/>
          <w:sz w:val="27"/>
        </w:rPr>
        <w:t>What Changed This Week</w:t>
      </w:r>
    </w:p>
    <w:p>
      <w:pPr>
        <w:spacing w:before="200" w:after="120"/>
      </w:pPr>
      <w:r>
        <w:rPr>
          <w:rFonts w:ascii="Calibri" w:hAnsi="Calibri"/>
          <w:b/>
          <w:color w:val="142233"/>
          <w:sz w:val="23"/>
        </w:rPr>
        <w:t>DOJ, FBI, and NSA Dismantle Eight-Year Chinese Access-Broker Network Spanning Every Liberty CTI Priority Sector</w:t>
      </w:r>
    </w:p>
    <w:p>
      <w:pPr>
        <w:spacing w:after="160"/>
      </w:pPr>
      <w:r>
        <w:rPr>
          <w:rFonts w:ascii="Georgia" w:hAnsi="Georgia"/>
          <w:b w:val="0"/>
          <w:i w:val="0"/>
          <w:color w:val="142233"/>
          <w:sz w:val="21"/>
        </w:rPr>
        <w:t xml:space="preserve">On </w:t>
      </w:r>
      <w:r>
        <w:rPr>
          <w:rFonts w:ascii="Georgia" w:hAnsi="Georgia"/>
          <w:b/>
          <w:i w:val="0"/>
          <w:color w:val="142233"/>
          <w:sz w:val="21"/>
        </w:rPr>
        <w:t>26 August 2026</w:t>
      </w:r>
      <w:r>
        <w:rPr>
          <w:rFonts w:ascii="Georgia" w:hAnsi="Georgia"/>
          <w:b w:val="0"/>
          <w:i w:val="0"/>
          <w:color w:val="142233"/>
          <w:sz w:val="21"/>
        </w:rPr>
        <w:t>, the Justice Department announced court-authorized seizure of domains hard-coded into QScan (a distributed vulnerability-scanning and exploitation platform processing millions of tasks daily) and QTRouter (a traffic-obfuscation network built on compromised IoT devices), the core tools of the China state-sponsored group QTFY. The same day, NSA, FBI, and the Cyber National Mission Force published a joint cybersecurity advisory naming energy and power systems, water and wastewater, financial institutions, telecommunications, the defense industrial base, higher education, and federal civilian government as sectors QTFY targeted. Confirmed successful breaches include financial institutions, defense contractors, telecommunications providers, universities, state governments, NASA, the Department of Justice, the Federal Reserve, and the Department of Energy; confirmed unsuccessful attempts include a children’s hospital, a semiconductor company, a power company, the U.S. Senate, and election-system targets. No private-sector victim has been named, and Liberty CTI identified no Texas-specific confirmation as of this issue. The advisory includes indicators of compromise and directs organizations to hunt for them now rather than wait for notification.</w:t>
      </w:r>
    </w:p>
    <w:p>
      <w:pPr>
        <w:spacing w:before="200" w:after="120"/>
      </w:pPr>
      <w:r>
        <w:rPr>
          <w:rFonts w:ascii="Calibri" w:hAnsi="Calibri"/>
          <w:b/>
          <w:color w:val="142233"/>
          <w:sz w:val="23"/>
        </w:rPr>
        <w:t>Treasury Escalates Iran Economic War Under “Operation Economic Outcast,” Applies a New Correspondent-Banking Weapon</w:t>
      </w:r>
    </w:p>
    <w:p>
      <w:pPr>
        <w:spacing w:after="160"/>
      </w:pPr>
      <w:r>
        <w:rPr>
          <w:rFonts w:ascii="Georgia" w:hAnsi="Georgia"/>
          <w:b w:val="0"/>
          <w:i w:val="0"/>
          <w:color w:val="142233"/>
          <w:sz w:val="21"/>
        </w:rPr>
        <w:t xml:space="preserve">On </w:t>
      </w:r>
      <w:r>
        <w:rPr>
          <w:rFonts w:ascii="Georgia" w:hAnsi="Georgia"/>
          <w:b/>
          <w:i w:val="0"/>
          <w:color w:val="142233"/>
          <w:sz w:val="21"/>
        </w:rPr>
        <w:t>24 August 2026</w:t>
      </w:r>
      <w:r>
        <w:rPr>
          <w:rFonts w:ascii="Georgia" w:hAnsi="Georgia"/>
          <w:b w:val="0"/>
          <w:i w:val="0"/>
          <w:color w:val="142233"/>
          <w:sz w:val="21"/>
        </w:rPr>
        <w:t xml:space="preserve">, Treasury Secretary Scott Bessent unveiled “Operation Economic Outcast,” the detailed sanctions package anticipated in ATB-2026-24, expanding secondary sanctions across digital assets, technology, gold, aviation, and shipping, and designating nearly 60 entities, individuals, and vessels tied to Iranian nuclear/missile procurement, cyber operations, and oil smuggling. On </w:t>
      </w:r>
      <w:r>
        <w:rPr>
          <w:rFonts w:ascii="Georgia" w:hAnsi="Georgia"/>
          <w:b/>
          <w:i w:val="0"/>
          <w:color w:val="142233"/>
          <w:sz w:val="21"/>
        </w:rPr>
        <w:t>28 August</w:t>
      </w:r>
      <w:r>
        <w:rPr>
          <w:rFonts w:ascii="Georgia" w:hAnsi="Georgia"/>
          <w:b w:val="0"/>
          <w:i w:val="0"/>
          <w:color w:val="142233"/>
          <w:sz w:val="21"/>
        </w:rPr>
        <w:t>, Treasury took its first correspondent-banking action under the campaign, proposing to strip the five UAE branches of Banque Misr — Egypt’s second-largest state-owned bank — of U.S. dollar correspondent access under Section 311 of the USA PATRIOT Act, citing roughly $1.8 billion in transactions linked to Iranian shadow-banking networks across 103 companies over two and a half years. OFAC added further Iran-related and counterterrorism designations on both 24 and 28 August. Analysts flagged a persistent enforcement gap: China, which routes an estimated 90 percent of Iranian oil exports, remains untouched by this round of measures.</w:t>
      </w:r>
    </w:p>
    <w:p>
      <w:pPr>
        <w:spacing w:before="200" w:after="120"/>
      </w:pPr>
      <w:r>
        <w:rPr>
          <w:rFonts w:ascii="Calibri" w:hAnsi="Calibri"/>
          <w:b/>
          <w:color w:val="142233"/>
          <w:sz w:val="23"/>
        </w:rPr>
        <w:t>Diplomatic Channels Reopen on the Strait of Hormuz, Even as the Waterway Stays Functionally Closed</w:t>
      </w:r>
    </w:p>
    <w:p>
      <w:pPr>
        <w:spacing w:after="160"/>
      </w:pPr>
      <w:r>
        <w:rPr>
          <w:rFonts w:ascii="Georgia" w:hAnsi="Georgia"/>
          <w:b w:val="0"/>
          <w:i w:val="0"/>
          <w:color w:val="142233"/>
          <w:sz w:val="21"/>
        </w:rPr>
        <w:t>The Strait of Hormuz remained closed to normal commercial traffic through the coverage window — only three ships transited on 23 August, against roughly 85 per day before the war — and U.S. and allied forces extended their pause on strikes against Iranian territory to 29 consecutive nights as of 28 August. Within that standoff, diplomatic activity intensified for the first time in weeks: a Pakistani military delegation led by army chief Field Marshal Asim Munir met Iranian officials on reopening the strait and reviving broader negotiations, characterized by Pakistan’s Interior Minister as “very positive and productive”; Qatar’s Prime Minister separately met four senior Iranian officials in Tehran; and an Iranian security official said the country is compiling a list of conditions for reopening the strait, including an end to the regional war. Brent crude fell 5.3 percent on the week, which Liberty CTI reads as markets pricing diplomatic momentum rather than a physical supply change. The underlying risk has not resolved: an unclaimed projectile struck a tanker off Oman’s coast on 24 August, disabling its engine with no casualties reported.</w:t>
      </w:r>
    </w:p>
    <w:p>
      <w:pPr>
        <w:spacing w:before="200" w:after="120"/>
      </w:pPr>
      <w:r>
        <w:rPr>
          <w:rFonts w:ascii="Calibri" w:hAnsi="Calibri"/>
          <w:b/>
          <w:color w:val="142233"/>
          <w:sz w:val="23"/>
        </w:rPr>
        <w:t>Texas Attorney General Moves to Restrict Chinese Technology in AI Data Centers</w:t>
      </w:r>
    </w:p>
    <w:p>
      <w:pPr>
        <w:spacing w:after="160"/>
      </w:pPr>
      <w:r>
        <w:rPr>
          <w:rFonts w:ascii="Georgia" w:hAnsi="Georgia"/>
          <w:b w:val="0"/>
          <w:i w:val="0"/>
          <w:color w:val="142233"/>
          <w:sz w:val="21"/>
        </w:rPr>
        <w:t xml:space="preserve">On </w:t>
      </w:r>
      <w:r>
        <w:rPr>
          <w:rFonts w:ascii="Georgia" w:hAnsi="Georgia"/>
          <w:b/>
          <w:i w:val="0"/>
          <w:color w:val="142233"/>
          <w:sz w:val="21"/>
        </w:rPr>
        <w:t>25 August</w:t>
      </w:r>
      <w:r>
        <w:rPr>
          <w:rFonts w:ascii="Georgia" w:hAnsi="Georgia"/>
          <w:b w:val="0"/>
          <w:i w:val="0"/>
          <w:color w:val="142233"/>
          <w:sz w:val="21"/>
        </w:rPr>
        <w:t>, Attorney General Ken Paxton unveiled a four-point plan on AI data centers: calling for federal legislation to bar Chinese technology from data-center facilities; proposing criminal liability for AI chatbots that harm children; endorsing Governor Abbott’s existing pause on new interconnection approvals pending resource-use constraints; and stopping short of a moratorium on new projects. The announcement follows Abbott’s June directive requiring data centers to cover their own grid-infrastructure costs and his August audit order. The plan’s supply-chain premise — that Chinese-origin technology inside Texas AI infrastructure is itself a risk to be legislated against — lands in the same week federal authorities confirmed a Chinese state-sponsored group had breached telecommunications and defense-industrial targets nationally; Liberty CTI has identified no evidence tying the two directly, but the coincidence is analytically relevant to how Texas policymakers are likely to frame AI-infrastructure risk going forward.</w:t>
      </w:r>
    </w:p>
    <w:p>
      <w:pPr>
        <w:spacing w:before="200" w:after="120"/>
      </w:pPr>
      <w:r>
        <w:rPr>
          <w:rFonts w:ascii="Calibri" w:hAnsi="Calibri"/>
          <w:b/>
          <w:color w:val="142233"/>
          <w:sz w:val="23"/>
        </w:rPr>
        <w:t>ERCOT Opens First Round of Large-Load Information Requests Under December Audit Deadline</w:t>
      </w:r>
    </w:p>
    <w:p>
      <w:pPr>
        <w:spacing w:after="160"/>
      </w:pPr>
      <w:r>
        <w:rPr>
          <w:rFonts w:ascii="Georgia" w:hAnsi="Georgia"/>
          <w:b w:val="0"/>
          <w:i w:val="0"/>
          <w:color w:val="142233"/>
          <w:sz w:val="21"/>
        </w:rPr>
        <w:t xml:space="preserve">ERCOT began sending information requests to data-center operators in the Batch Zero process — roughly 300 data centers of 75 megawatts or larger — in the final days of August, with additional rounds expected through October and November, targeting completion of Governor Abbott’s audit directive by </w:t>
      </w:r>
      <w:r>
        <w:rPr>
          <w:rFonts w:ascii="Georgia" w:hAnsi="Georgia"/>
          <w:b/>
          <w:i w:val="0"/>
          <w:color w:val="142233"/>
          <w:sz w:val="21"/>
        </w:rPr>
        <w:t>10 December 2026</w:t>
      </w:r>
      <w:r>
        <w:rPr>
          <w:rFonts w:ascii="Georgia" w:hAnsi="Georgia"/>
          <w:b w:val="0"/>
          <w:i w:val="0"/>
          <w:color w:val="142233"/>
          <w:sz w:val="21"/>
        </w:rPr>
        <w:t>. Separate community-impact reviews apply to data centers and crypto facilities of 25 megawatts or larger. ERCOT acknowledged its original April 2027 Batch Zero study deadline will not be met and that a revised timeline is under development; 17 large loads representing roughly 6.6 gigawatts of peak demand have already completed stability assessments and remain on track for late-2026 deployment regardless of the audit’s outcome.</w:t>
      </w:r>
    </w:p>
    <w:p>
      <w:pPr>
        <w:spacing w:after="160"/>
      </w:pPr>
      <w:r>
        <w:rPr>
          <w:rFonts w:ascii="Georgia" w:hAnsi="Georgia"/>
          <w:b w:val="0"/>
          <w:i w:val="0"/>
          <w:color w:val="142233"/>
          <w:sz w:val="21"/>
        </w:rPr>
        <w:t>Section II</w:t>
      </w:r>
    </w:p>
    <w:p>
      <w:pPr>
        <w:spacing w:before="320" w:after="120"/>
        <w:pBdr>
          <w:bottom w:val="single" w:sz="6" w:space="4" w:color="A67C2E"/>
        </w:pBdr>
      </w:pPr>
      <w:r>
        <w:rPr>
          <w:rFonts w:ascii="Calibri" w:hAnsi="Calibri"/>
          <w:b/>
          <w:color w:val="7A5A1E"/>
          <w:sz w:val="27"/>
        </w:rPr>
        <w:t>Key Judgments</w:t>
      </w:r>
    </w:p>
    <w:p>
      <w:pPr>
        <w:spacing w:after="40" w:before="200"/>
      </w:pPr>
      <w:r>
        <w:rPr>
          <w:rFonts w:ascii="Calibri" w:hAnsi="Calibri"/>
          <w:b/>
          <w:color w:val="1F5C8C"/>
          <w:sz w:val="19"/>
        </w:rPr>
        <w:t xml:space="preserve">KJ-1  </w:t>
      </w:r>
      <w:r>
        <w:rPr>
          <w:rFonts w:ascii="Georgia" w:hAnsi="Georgia"/>
          <w:b w:val="0"/>
          <w:i w:val="0"/>
          <w:color w:val="142233"/>
          <w:sz w:val="21"/>
        </w:rPr>
        <w:br/>
        <w:t xml:space="preserve"> It is a </w:t>
      </w:r>
      <w:r>
        <w:rPr>
          <w:rFonts w:ascii="Georgia" w:hAnsi="Georgia"/>
          <w:b/>
          <w:i w:val="0"/>
          <w:color w:val="142233"/>
          <w:sz w:val="21"/>
        </w:rPr>
        <w:t>confirmed fact</w:t>
      </w:r>
      <w:r>
        <w:rPr>
          <w:rFonts w:ascii="Georgia" w:hAnsi="Georgia"/>
          <w:b w:val="0"/>
          <w:i w:val="0"/>
          <w:color w:val="142233"/>
          <w:sz w:val="21"/>
        </w:rPr>
        <w:t xml:space="preserve"> that DOJ, FBI, NSA, and the Cyber National Mission Force disrupted the QTFY hacking platform on 26 August 2026 following at least eight years of activity, and that federal court filings and the joint advisory confirm successful breaches of financial institutions, defense contractors, telecommunications providers, universities, and state governments, in addition to federal civilian agencies. </w:t>
      </w:r>
      <w:r>
        <w:rPr>
          <w:rFonts w:ascii="Consolas" w:hAnsi="Consolas"/>
          <w:b w:val="0"/>
          <w:i w:val="0"/>
          <w:color w:val="7A5A1E"/>
          <w:sz w:val="16"/>
        </w:rPr>
        <w:t>HIGH CONFIDENCE</w:t>
      </w:r>
      <w:r>
        <w:br/>
      </w:r>
      <w:r>
        <w:br/>
      </w:r>
      <w:r>
        <w:br/>
      </w:r>
    </w:p>
    <w:p>
      <w:pPr>
        <w:spacing w:after="40"/>
        <w:ind w:left="283"/>
      </w:pPr>
      <w:r>
        <w:rPr>
          <w:i/>
          <w:color w:val="5C5C5C"/>
          <w:sz w:val="18"/>
        </w:rPr>
        <w:t>Source basis / uncertainty: Source basis: Department of Justice press release, 26 August 2026; NSA/FBI/Cyber National Mission Force joint cybersecurity advisory, 26 August 2026. Primary uncertainty: no complete victim list has been released; private-sector victim categories are confirmed, but individual organizations are not named.</w:t>
      </w:r>
    </w:p>
    <w:p>
      <w:pPr>
        <w:spacing w:after="120"/>
        <w:ind w:left="283"/>
      </w:pPr>
      <w:r>
        <w:rPr>
          <w:color w:val="7A5A1E"/>
          <w:sz w:val="19"/>
        </w:rPr>
        <w:t>Decision implication: Decision Implication: Every Texas organization in a named sector should run the published indicators of compromise this week, not wait for a notification that may never come.</w:t>
      </w:r>
    </w:p>
    <w:p>
      <w:pPr>
        <w:spacing w:after="40" w:before="200"/>
      </w:pPr>
      <w:r>
        <w:rPr>
          <w:rFonts w:ascii="Calibri" w:hAnsi="Calibri"/>
          <w:b/>
          <w:color w:val="1F5C8C"/>
          <w:sz w:val="19"/>
        </w:rPr>
        <w:t xml:space="preserve">KJ-2  </w:t>
      </w:r>
      <w:r>
        <w:rPr>
          <w:rFonts w:ascii="Georgia" w:hAnsi="Georgia"/>
          <w:b w:val="0"/>
          <w:i w:val="0"/>
          <w:color w:val="142233"/>
          <w:sz w:val="21"/>
        </w:rPr>
        <w:br/>
        <w:t xml:space="preserve"> Liberty CTI assesses it is </w:t>
      </w:r>
      <w:r>
        <w:rPr>
          <w:rFonts w:ascii="Georgia" w:hAnsi="Georgia"/>
          <w:b/>
          <w:i w:val="0"/>
          <w:color w:val="142233"/>
          <w:sz w:val="21"/>
        </w:rPr>
        <w:t>roughly even chance</w:t>
      </w:r>
      <w:r>
        <w:rPr>
          <w:rFonts w:ascii="Georgia" w:hAnsi="Georgia"/>
          <w:b w:val="0"/>
          <w:i w:val="0"/>
          <w:color w:val="142233"/>
          <w:sz w:val="21"/>
        </w:rPr>
        <w:t xml:space="preserve"> that Texas-headquartered organizations are among QTFY’s unnamed private-sector victims, given the campaign’s eight-year duration, its confirmed reach into financial services, energy, telecommunications, and the defense industrial base nationally, and Texas’s concentration in exactly those sectors. </w:t>
      </w:r>
      <w:r>
        <w:rPr>
          <w:rFonts w:ascii="Consolas" w:hAnsi="Consolas"/>
          <w:b w:val="0"/>
          <w:i w:val="0"/>
          <w:color w:val="7A5A1E"/>
          <w:sz w:val="16"/>
        </w:rPr>
        <w:t>LOW-MODERATE CONFIDENCE</w:t>
      </w:r>
      <w:r>
        <w:br/>
      </w:r>
      <w:r>
        <w:br/>
      </w:r>
      <w:r>
        <w:br/>
      </w:r>
    </w:p>
    <w:p>
      <w:pPr>
        <w:spacing w:after="40"/>
        <w:ind w:left="283"/>
      </w:pPr>
      <w:r>
        <w:rPr>
          <w:i/>
          <w:color w:val="5C5C5C"/>
          <w:sz w:val="18"/>
        </w:rPr>
        <w:t>Source basis / uncertainty: Source basis: sector breadth disclosed in the 26 August joint advisory; Texas’s known concentration in defense-industrial, financial-services, and energy-sector activity as general background, not sourced to this week’s reporting. Primary uncertainty: this is an extrapolation from national sector-level disclosures with no Texas-specific anchor — the judgment could move sharply in either direction on the next indicator, and there is no evidentiary basis to lean toward exposure or toward exclusion.</w:t>
      </w:r>
    </w:p>
    <w:p>
      <w:pPr>
        <w:spacing w:after="120"/>
        <w:ind w:left="283"/>
      </w:pPr>
      <w:r>
        <w:rPr>
          <w:color w:val="7A5A1E"/>
          <w:sz w:val="19"/>
        </w:rPr>
        <w:t>Decision implication: Decision Implication: Do not read the absence of your organization’s name as evidence of exclusion, and do not read this judgment as a lean toward exposure. The operational action — run the indicators of compromise — does not change either way.</w:t>
      </w:r>
    </w:p>
    <w:p>
      <w:pPr>
        <w:spacing w:after="40" w:before="200"/>
      </w:pPr>
      <w:r>
        <w:rPr>
          <w:rFonts w:ascii="Calibri" w:hAnsi="Calibri"/>
          <w:b/>
          <w:color w:val="1F5C8C"/>
          <w:sz w:val="19"/>
        </w:rPr>
        <w:t xml:space="preserve">KJ-3  </w:t>
      </w:r>
      <w:r>
        <w:rPr>
          <w:rFonts w:ascii="Georgia" w:hAnsi="Georgia"/>
          <w:b w:val="0"/>
          <w:i w:val="0"/>
          <w:color w:val="142233"/>
          <w:sz w:val="21"/>
        </w:rPr>
        <w:br/>
        <w:t xml:space="preserve"> It is a </w:t>
      </w:r>
      <w:r>
        <w:rPr>
          <w:rFonts w:ascii="Georgia" w:hAnsi="Georgia"/>
          <w:b/>
          <w:i w:val="0"/>
          <w:color w:val="142233"/>
          <w:sz w:val="21"/>
        </w:rPr>
        <w:t>confirmed fact</w:t>
      </w:r>
      <w:r>
        <w:rPr>
          <w:rFonts w:ascii="Georgia" w:hAnsi="Georgia"/>
          <w:b w:val="0"/>
          <w:i w:val="0"/>
          <w:color w:val="142233"/>
          <w:sz w:val="21"/>
        </w:rPr>
        <w:t xml:space="preserve"> that Treasury’s 24 August unveiling of Operation Economic Outcast and its 28 August Section 311 action against Banque Misr represent the detailed sanctions escalation ATB-2026-24 identified as pending, and that Pakistani- and Qatari-mediated diplomatic talks opened this week for the first time in the conflict as Brent crude fell 5.3%. Liberty CTI assesses with </w:t>
      </w:r>
      <w:r>
        <w:rPr>
          <w:rFonts w:ascii="Georgia" w:hAnsi="Georgia"/>
          <w:b/>
          <w:i w:val="0"/>
          <w:color w:val="142233"/>
          <w:sz w:val="21"/>
        </w:rPr>
        <w:t>moderate confidence</w:t>
      </w:r>
      <w:r>
        <w:rPr>
          <w:rFonts w:ascii="Georgia" w:hAnsi="Georgia"/>
          <w:b w:val="0"/>
          <w:i w:val="0"/>
          <w:color w:val="142233"/>
          <w:sz w:val="21"/>
        </w:rPr>
        <w:t xml:space="preserve"> that this combination — harder sanctions paired with a genuine, if unconfirmed, diplomatic opening — modestly lowers near-term likelihood of Iran-attributed cyber escalation against Texas targets relative to ATB-2026-24’s rising-incentive judgment, though it does not eliminate that risk while sanctions pressure continues to build. </w:t>
      </w:r>
      <w:r>
        <w:rPr>
          <w:rFonts w:ascii="Consolas" w:hAnsi="Consolas"/>
          <w:b w:val="0"/>
          <w:i w:val="0"/>
          <w:color w:val="7A5A1E"/>
          <w:sz w:val="16"/>
        </w:rPr>
        <w:t>MODERATE CONFIDENCE</w:t>
      </w:r>
      <w:r>
        <w:br/>
      </w:r>
      <w:r>
        <w:br/>
      </w:r>
      <w:r>
        <w:br/>
      </w:r>
    </w:p>
    <w:p>
      <w:pPr>
        <w:spacing w:after="40"/>
        <w:ind w:left="283"/>
      </w:pPr>
      <w:r>
        <w:rPr>
          <w:i/>
          <w:color w:val="5C5C5C"/>
          <w:sz w:val="18"/>
        </w:rPr>
        <w:t>Source basis / uncertainty: Source basis: Treasury/Axios/NPR reporting on the 24 August Bessent announcement; ofac.treasury.gov/recent-actions, 24 and 28 August 2026; open-source conflict tracking for strait-transit and diplomatic reporting, 27–28 August 2026. Primary uncertainty: no government source has confirmed Iran’s underlying intentions; the diplomatic signals are Iranian and mediator statements, not a verified change in Tehran’s cyber posture.</w:t>
      </w:r>
    </w:p>
    <w:p>
      <w:pPr>
        <w:spacing w:after="120"/>
        <w:ind w:left="283"/>
      </w:pPr>
      <w:r>
        <w:rPr>
          <w:color w:val="7A5A1E"/>
          <w:sz w:val="19"/>
        </w:rPr>
        <w:t>Decision implication: Decision Implication: Continue OT/ICS patching and OFAC-screening discipline as before — this is a moderation of urgency, not a stand-down.</w:t>
      </w:r>
    </w:p>
    <w:p>
      <w:pPr>
        <w:spacing w:after="160"/>
      </w:pPr>
      <w:r>
        <w:rPr>
          <w:rFonts w:ascii="Georgia" w:hAnsi="Georgia"/>
          <w:b w:val="0"/>
          <w:i w:val="0"/>
          <w:color w:val="142233"/>
          <w:sz w:val="21"/>
        </w:rPr>
        <w:t>Section III</w:t>
      </w:r>
    </w:p>
    <w:p>
      <w:pPr>
        <w:spacing w:before="320" w:after="120"/>
        <w:pBdr>
          <w:bottom w:val="single" w:sz="6" w:space="4" w:color="A67C2E"/>
        </w:pBdr>
      </w:pPr>
      <w:r>
        <w:rPr>
          <w:rFonts w:ascii="Calibri" w:hAnsi="Calibri"/>
          <w:b/>
          <w:color w:val="7A5A1E"/>
          <w:sz w:val="27"/>
        </w:rPr>
        <w:t>Geopolitical Driver</w:t>
      </w:r>
    </w:p>
    <w:p>
      <w:pPr>
        <w:spacing w:after="160"/>
      </w:pPr>
      <w:r>
        <w:rPr>
          <w:rFonts w:ascii="Georgia" w:hAnsi="Georgia"/>
          <w:b w:val="0"/>
          <w:i w:val="0"/>
          <w:color w:val="142233"/>
          <w:sz w:val="21"/>
        </w:rPr>
        <w:t>Two nation-state threads dominate this week, and they point in different directions. China’s QTFY disruption is the clearer of the two: a confirmed, multi-year, multi-sector access-broker campaign that reached exactly the sectors Liberty CTI tracks for Texas, disrupted only after eight years of operation. Iran presents a more ambiguous picture — economic pressure is intensifying by the day (Operation Economic Outcast, the Banque Misr correspondent-banking action) even as diplomatic channels opened for the first time since the conflict began, with Pakistan and Qatar both engaged as mediators and Iran reportedly drafting reopening conditions for the strait. Russia and DPRK remain standing watch items. On DPRK specifically: a Lazarus Group kernel-level Windows exploit (CVE-2026-68820), deployed via fake job offers targeting defense and aerospace workers under the long-running “Operation Dream Job,” carried a federal patch-compliance deadline of 25 August 2026 under Binding Operational Directive 26-04 — a continuation of the DIB-targeting campaign Liberty CTI has tracked since ATB-2026-23, not a new development, but a concrete near-term compliance date DIB contractors should confirm they met. No new indicator ties either Russia or DPRK directly to a Texas target this week.</w:t>
      </w:r>
    </w:p>
    <w:p>
      <w:pPr>
        <w:spacing w:after="160"/>
      </w:pPr>
      <w:r>
        <w:rPr>
          <w:rFonts w:ascii="Georgia" w:hAnsi="Georgia"/>
          <w:b w:val="0"/>
          <w:i w:val="0"/>
          <w:color w:val="142233"/>
          <w:sz w:val="21"/>
        </w:rPr>
        <w:t>Section IV</w:t>
      </w:r>
    </w:p>
    <w:p>
      <w:pPr>
        <w:spacing w:before="320" w:after="120"/>
        <w:pBdr>
          <w:bottom w:val="single" w:sz="6" w:space="4" w:color="A67C2E"/>
        </w:pBdr>
      </w:pPr>
      <w:r>
        <w:rPr>
          <w:rFonts w:ascii="Calibri" w:hAnsi="Calibri"/>
          <w:b/>
          <w:color w:val="7A5A1E"/>
          <w:sz w:val="27"/>
        </w:rPr>
        <w:t>Why This Matters to Texas</w:t>
      </w:r>
    </w:p>
    <w:p>
      <w:pPr>
        <w:spacing w:after="160"/>
      </w:pPr>
      <w:r>
        <w:rPr>
          <w:rFonts w:ascii="Georgia" w:hAnsi="Georgia"/>
          <w:b w:val="0"/>
          <w:i w:val="0"/>
          <w:color w:val="142233"/>
          <w:sz w:val="21"/>
        </w:rPr>
        <w:t>No Texas organization has been named as a QTFY victim, and no Iran-attributed action struck a Texas target this week. Neither fact should read as reassurance. QTFY’s victim list is confirmed to include financial institutions, defense contractors, telecommunications providers, and universities nationally — sectors in which Texas holds an outsized share of the national base — and the government has not said which specific organizations, in which states, were breached. Separately, Texas’s own AI-governance response (the Paxton plan) and grid-capacity process (ERCOT’s RFIs) both advanced this week on their own institutional timelines, independent of any single incident. The throughline across all four developments is the same one Liberty CTI has flagged before: Texas exposure this week is a function of sector concentration and infrastructure dependency, not of any single confirmed local attack.</w:t>
      </w:r>
    </w:p>
    <w:p>
      <w:pPr>
        <w:spacing w:before="320" w:after="120"/>
        <w:pBdr>
          <w:bottom w:val="single" w:sz="6" w:space="4" w:color="A67C2E"/>
        </w:pBdr>
      </w:pPr>
      <w:r>
        <w:rPr>
          <w:rFonts w:ascii="Calibri" w:hAnsi="Calibri"/>
          <w:b/>
          <w:color w:val="7A5A1E"/>
          <w:sz w:val="27"/>
        </w:rPr>
        <w:t>Cross-Sector Cascade Assessment</w:t>
      </w:r>
    </w:p>
    <w:tbl>
      <w:tblPr>
        <w:tblW w:type="auto" w:w="0"/>
        <w:jc w:val="center"/>
        <w:tblLook w:firstColumn="1" w:firstRow="1" w:lastColumn="0" w:lastRow="0" w:noHBand="0" w:noVBand="1" w:val="04A0"/>
      </w:tblPr>
      <w:tblGrid>
        <w:gridCol w:w="1814"/>
        <w:gridCol w:w="7370"/>
      </w:tblGrid>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Energy ERCOT / OT / Grid Capacity</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The 26 August QTFY advisory names energy and power systems as a targeted sector, with one power company disclosed as an unsuccessful target nationally; ERCOT began Batch Zero large-load information requests toward its 10 December audit deadline; the Strait of Hormuz remains functionally closed but Brent crude fell 5.3% on diplomatic movement. </w:t>
            </w:r>
            <w:r>
              <w:rPr>
                <w:rFonts w:ascii="Georgia" w:hAnsi="Georgia"/>
                <w:b/>
                <w:i w:val="0"/>
                <w:color w:val="142233"/>
                <w:sz w:val="19"/>
              </w:rPr>
              <w:t>Why it matters locally:</w:t>
            </w:r>
            <w:r>
              <w:rPr>
                <w:rFonts w:ascii="Georgia" w:hAnsi="Georgia"/>
                <w:b w:val="0"/>
                <w:i w:val="0"/>
                <w:color w:val="142233"/>
                <w:sz w:val="19"/>
              </w:rPr>
              <w:t xml:space="preserve"> Texas energy and utility operators sit inside a confirmed nation-state targeting set for the first time this cycle with hard sector attribution, not an inferred one, while ERCOT’s audit timeline continues to shape 2027 capacity planning independent of any single incident. </w:t>
            </w:r>
            <w:r>
              <w:rPr>
                <w:rFonts w:ascii="Georgia" w:hAnsi="Georgia"/>
                <w:b/>
                <w:i w:val="0"/>
                <w:color w:val="142233"/>
                <w:sz w:val="19"/>
              </w:rPr>
              <w:t>Cascade risk:</w:t>
            </w:r>
            <w:r>
              <w:rPr>
                <w:rFonts w:ascii="Georgia" w:hAnsi="Georgia"/>
                <w:b w:val="0"/>
                <w:i w:val="0"/>
                <w:color w:val="142233"/>
                <w:sz w:val="19"/>
              </w:rPr>
              <w:t xml:space="preserve"> Any Texas energy or utility operator should run the QTFY indicators of compromise this week alongside any still-open Siemens S7 patching from prior issues; large-load operators should confirm their RFI response is tracking ERCOT’s schedule rather than assuming automatic inclusion in the 17 already-cleared loads.</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Financial Nation-State Exposure / OFAC Screening</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The QTFY advisory confirms successful breaches of financial institutions nationally, alongside the Federal Reserve; separately, Treasury’s Operation Economic Outcast and its first Section 311 correspondent-banking action against Banque Misr sharply raise the bar for OFAC and correspondent-banking screening currency. </w:t>
            </w:r>
            <w:r>
              <w:rPr>
                <w:rFonts w:ascii="Georgia" w:hAnsi="Georgia"/>
                <w:b/>
                <w:i w:val="0"/>
                <w:color w:val="142233"/>
                <w:sz w:val="19"/>
              </w:rPr>
              <w:t>Why it matters locally:</w:t>
            </w:r>
            <w:r>
              <w:rPr>
                <w:rFonts w:ascii="Georgia" w:hAnsi="Georgia"/>
                <w:b w:val="0"/>
                <w:i w:val="0"/>
                <w:color w:val="142233"/>
                <w:sz w:val="19"/>
              </w:rPr>
              <w:t xml:space="preserve"> Texas financial institutions face a two-track exposure this week — a confirmed nation-state access-broker campaign that has already breached peer institutions nationally, and an expanding, faster-moving sanctions regime that can sever a bank’s own dollar access if screening lags. </w:t>
            </w:r>
            <w:r>
              <w:rPr>
                <w:rFonts w:ascii="Georgia" w:hAnsi="Georgia"/>
                <w:b/>
                <w:i w:val="0"/>
                <w:color w:val="142233"/>
                <w:sz w:val="19"/>
              </w:rPr>
              <w:t>Cascade risk:</w:t>
            </w:r>
            <w:r>
              <w:rPr>
                <w:rFonts w:ascii="Georgia" w:hAnsi="Georgia"/>
                <w:b w:val="0"/>
                <w:i w:val="0"/>
                <w:color w:val="142233"/>
                <w:sz w:val="19"/>
              </w:rPr>
              <w:t xml:space="preserve"> Any Texas bank, credit union, or energy financier with Gulf-adjacent correspondent relationships should confirm screening is current against the 24 and 28 August designations this week; the Section 311 mechanism used against Banque Misr is designed to scale to additional institutions quickly.</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Healthcare / DIB / AI Supply-Chain Risk / State AI Governance</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QTFY confirmed breaches of defense contractors, telecommunications providers, and universities, with an unsuccessful attempt against a children’s hospital; separately, the DPRK’s Operation Dream Job campaign carried a 25 August federal patch deadline for defense/aerospace targets (CVE-2026-68820); and Texas’s Attorney General moved this week to restrict Chinese technology inside AI data centers. </w:t>
            </w:r>
            <w:r>
              <w:rPr>
                <w:rFonts w:ascii="Georgia" w:hAnsi="Georgia"/>
                <w:b/>
                <w:i w:val="0"/>
                <w:color w:val="142233"/>
                <w:sz w:val="19"/>
              </w:rPr>
              <w:t>Why it matters locally:</w:t>
            </w:r>
            <w:r>
              <w:rPr>
                <w:rFonts w:ascii="Georgia" w:hAnsi="Georgia"/>
                <w:b w:val="0"/>
                <w:i w:val="0"/>
                <w:color w:val="142233"/>
                <w:sz w:val="19"/>
              </w:rPr>
              <w:t xml:space="preserve"> the defense-industrial base and higher-education sectors named in the QTFY advisory are core to San Antonio and Texas’s broader DIB footprint, and the new state AI-governance push signals that supply-chain origin — not just technical vulnerability — is becoming a Texas regulatory concern. </w:t>
            </w:r>
            <w:r>
              <w:rPr>
                <w:rFonts w:ascii="Georgia" w:hAnsi="Georgia"/>
                <w:b/>
                <w:i w:val="0"/>
                <w:color w:val="142233"/>
                <w:sz w:val="19"/>
              </w:rPr>
              <w:t>Cascade risk:</w:t>
            </w:r>
            <w:r>
              <w:rPr>
                <w:rFonts w:ascii="Georgia" w:hAnsi="Georgia"/>
                <w:b w:val="0"/>
                <w:i w:val="0"/>
                <w:color w:val="142233"/>
                <w:sz w:val="19"/>
              </w:rPr>
              <w:t xml:space="preserve"> DIB contractors should confirm CVE-2026-68820 patch compliance and run the QTFY indicators of compromise in the same pass; AI-infrastructure operators should track the Paxton plan’s federal-legislation ask, since it would directly affect vendor and hardware sourcing decisions if enacted.</w:t>
              <w:br/>
              <w:t xml:space="preserve"> </w:t>
            </w:r>
          </w:p>
        </w:tc>
      </w:tr>
    </w:tbl>
    <w:p>
      <w:pPr>
        <w:spacing w:after="120"/>
      </w:pPr>
    </w:p>
    <w:p>
      <w:pPr>
        <w:spacing w:after="160"/>
      </w:pPr>
      <w:r>
        <w:rPr>
          <w:rFonts w:ascii="Georgia" w:hAnsi="Georgia"/>
          <w:b w:val="0"/>
          <w:i w:val="0"/>
          <w:color w:val="142233"/>
          <w:sz w:val="21"/>
        </w:rPr>
        <w:t>Section V</w:t>
      </w:r>
    </w:p>
    <w:p>
      <w:pPr>
        <w:spacing w:before="320" w:after="120"/>
        <w:pBdr>
          <w:bottom w:val="single" w:sz="6" w:space="4" w:color="A67C2E"/>
        </w:pBdr>
      </w:pPr>
      <w:r>
        <w:rPr>
          <w:rFonts w:ascii="Calibri" w:hAnsi="Calibri"/>
          <w:b/>
          <w:color w:val="7A5A1E"/>
          <w:sz w:val="27"/>
        </w:rPr>
        <w:t>Indicators &amp; Warnings — PIR Watch, 1 to 4 Weeks</w:t>
      </w:r>
    </w:p>
    <w:p>
      <w:pPr>
        <w:spacing w:before="160" w:after="40"/>
      </w:pPr>
      <w:r>
        <w:rPr>
          <w:b/>
          <w:color w:val="1F5C8C"/>
          <w:sz w:val="18"/>
        </w:rPr>
        <w:t xml:space="preserve">PIR 4 / I&amp;W 1  </w:t>
      </w:r>
      <w:r>
        <w:rPr>
          <w:b/>
          <w:color w:val="142233"/>
          <w:sz w:val="20"/>
        </w:rPr>
        <w:t>A named Texas victim in the QTFY campaign</w:t>
      </w:r>
      <w:r>
        <w:rPr>
          <w:i/>
          <w:color w:val="7A5A1E"/>
          <w:sz w:val="18"/>
        </w:rPr>
        <w:t xml:space="preserve">   [↑ Rising]</w:t>
      </w:r>
    </w:p>
    <w:p>
      <w:pPr>
        <w:spacing w:after="40"/>
        <w:ind w:left="283"/>
      </w:pPr>
      <w:r>
        <w:rPr>
          <w:color w:val="142233"/>
          <w:sz w:val="19"/>
        </w:rPr>
        <w:t>→ Watch for a DOJ court filing, breach-notification disclosure, or state attorney general filing naming a Texas-headquartered financial institution, energy company, telecommunications provider, or defense contractor as a confirmed QTFY victim.</w:t>
      </w:r>
    </w:p>
    <w:p>
      <w:pPr>
        <w:spacing w:after="40"/>
        <w:ind w:left="283"/>
      </w:pPr>
      <w:r>
        <w:rPr>
          <w:color w:val="142233"/>
          <w:sz w:val="19"/>
        </w:rPr>
        <w:t>→ Would convert this week’s national, sector-level exposure judgment into a confirmed Texas-specific finding.</w:t>
      </w:r>
    </w:p>
    <w:p>
      <w:pPr>
        <w:spacing w:after="40"/>
        <w:ind w:left="283"/>
      </w:pPr>
      <w:r>
        <w:rPr>
          <w:color w:val="142233"/>
          <w:sz w:val="19"/>
        </w:rPr>
        <w:t>→ Tied to: PIR 4, business-impact scenarios affecting operations and continuity.</w:t>
      </w:r>
    </w:p>
    <w:p>
      <w:pPr>
        <w:spacing w:before="160" w:after="40"/>
      </w:pPr>
      <w:r>
        <w:rPr>
          <w:b/>
          <w:color w:val="1F5C8C"/>
          <w:sz w:val="18"/>
        </w:rPr>
        <w:t xml:space="preserve">PIR 3 / I&amp;W 2  </w:t>
      </w:r>
      <w:r>
        <w:rPr>
          <w:b/>
          <w:color w:val="142233"/>
          <w:sz w:val="20"/>
        </w:rPr>
        <w:t>Additional Section 311 correspondent-banking actions</w:t>
      </w:r>
      <w:r>
        <w:rPr>
          <w:i/>
          <w:color w:val="7A5A1E"/>
          <w:sz w:val="18"/>
        </w:rPr>
        <w:t xml:space="preserve">   [↑ Rising]</w:t>
      </w:r>
    </w:p>
    <w:p>
      <w:pPr>
        <w:spacing w:after="40"/>
        <w:ind w:left="283"/>
      </w:pPr>
      <w:r>
        <w:rPr>
          <w:color w:val="142233"/>
          <w:sz w:val="19"/>
        </w:rPr>
        <w:t>→ Watch for Treasury applying the Section 311 mechanism used against Banque Misr to additional foreign financial institutions, which would broaden and accelerate correspondent-banking and OFAC-adjacent compliance obligations for any Texas bank with Gulf-region exposure.</w:t>
      </w:r>
    </w:p>
    <w:p>
      <w:pPr>
        <w:spacing w:after="40"/>
        <w:ind w:left="283"/>
      </w:pPr>
      <w:r>
        <w:rPr>
          <w:color w:val="142233"/>
          <w:sz w:val="19"/>
        </w:rPr>
        <w:t>→ Tied to: PIR 3, escalation indicators.</w:t>
      </w:r>
    </w:p>
    <w:p>
      <w:pPr>
        <w:spacing w:before="160" w:after="40"/>
      </w:pPr>
      <w:r>
        <w:rPr>
          <w:b/>
          <w:color w:val="1F5C8C"/>
          <w:sz w:val="18"/>
        </w:rPr>
        <w:t xml:space="preserve">PIR 1 / I&amp;W 3  </w:t>
      </w:r>
      <w:r>
        <w:rPr>
          <w:b/>
          <w:color w:val="142233"/>
          <w:sz w:val="20"/>
        </w:rPr>
        <w:t>Formal terms or timeline for reopening the Strait of Hormuz</w:t>
      </w:r>
      <w:r>
        <w:rPr>
          <w:i/>
          <w:color w:val="7A5A1E"/>
          <w:sz w:val="18"/>
        </w:rPr>
        <w:t xml:space="preserve">   [→ Unclear]</w:t>
      </w:r>
    </w:p>
    <w:p>
      <w:pPr>
        <w:spacing w:after="40"/>
        <w:ind w:left="283"/>
      </w:pPr>
      <w:r>
        <w:rPr>
          <w:color w:val="142233"/>
          <w:sz w:val="19"/>
        </w:rPr>
        <w:t>→ Watch for Iran to formally publish reopening conditions following the Pakistani- and Qatari-mediated talks, or alternatively for a resumption of kinetic activity that would end the current 29-night pause.</w:t>
      </w:r>
    </w:p>
    <w:p>
      <w:pPr>
        <w:spacing w:after="40"/>
        <w:ind w:left="283"/>
      </w:pPr>
      <w:r>
        <w:rPr>
          <w:color w:val="142233"/>
          <w:sz w:val="19"/>
        </w:rPr>
        <w:t>→ Either outcome would materially reprice energy costs and shipping-insurance premiums for Texas Gulf Coast operators within days.</w:t>
      </w:r>
    </w:p>
    <w:p>
      <w:pPr>
        <w:spacing w:after="40"/>
        <w:ind w:left="283"/>
      </w:pPr>
      <w:r>
        <w:rPr>
          <w:color w:val="142233"/>
          <w:sz w:val="19"/>
        </w:rPr>
        <w:t>→ Tied to: PIR 1, adversary intent and geopolitical trigger indicators.</w:t>
      </w:r>
    </w:p>
    <w:p>
      <w:pPr>
        <w:spacing w:before="160" w:after="40"/>
      </w:pPr>
      <w:r>
        <w:rPr>
          <w:b/>
          <w:color w:val="1F5C8C"/>
          <w:sz w:val="18"/>
        </w:rPr>
        <w:t xml:space="preserve">PIR 4 / I&amp;W 4  </w:t>
      </w:r>
      <w:r>
        <w:rPr>
          <w:b/>
          <w:color w:val="142233"/>
          <w:sz w:val="20"/>
        </w:rPr>
        <w:t>ERCOT Batch Zero RFI results and audit timeline</w:t>
      </w:r>
      <w:r>
        <w:rPr>
          <w:i/>
          <w:color w:val="7A5A1E"/>
          <w:sz w:val="18"/>
        </w:rPr>
        <w:t xml:space="preserve">   [→ Sustained]</w:t>
      </w:r>
    </w:p>
    <w:p>
      <w:pPr>
        <w:spacing w:after="40"/>
        <w:ind w:left="283"/>
      </w:pPr>
      <w:r>
        <w:rPr>
          <w:color w:val="142233"/>
          <w:sz w:val="19"/>
        </w:rPr>
        <w:t>→ Watch for the first round of ERCOT large-load information-request responses and whether reporting tracks toward the 10 December audit-completion target or slips further, given ERCOT’s own acknowledgment that the original 2027 study deadline will not hold.</w:t>
      </w:r>
    </w:p>
    <w:p>
      <w:pPr>
        <w:spacing w:after="40"/>
        <w:ind w:left="283"/>
      </w:pPr>
      <w:r>
        <w:rPr>
          <w:color w:val="142233"/>
          <w:sz w:val="19"/>
        </w:rPr>
        <w:t>→ Continuation of PIR 4 carried from ATB-2026-24, which watched for the RFIs to open; they opened this week, and the indicator now escalates to their results.</w:t>
      </w:r>
    </w:p>
    <w:p>
      <w:pPr>
        <w:spacing w:after="40"/>
        <w:ind w:left="283"/>
      </w:pPr>
      <w:r>
        <w:rPr>
          <w:color w:val="142233"/>
          <w:sz w:val="19"/>
        </w:rPr>
        <w:t>→ Tied to: PIR 4, business and operational continuity exposure.</w:t>
      </w:r>
    </w:p>
    <w:p>
      <w:pPr>
        <w:spacing w:before="160" w:after="40"/>
      </w:pPr>
      <w:r>
        <w:rPr>
          <w:b/>
          <w:color w:val="1F5C8C"/>
          <w:sz w:val="18"/>
        </w:rPr>
        <w:t xml:space="preserve">PIR 7 / I&amp;W 5  </w:t>
      </w:r>
      <w:r>
        <w:rPr>
          <w:b/>
          <w:color w:val="142233"/>
          <w:sz w:val="20"/>
        </w:rPr>
        <w:t>Movement on Paxton’s AI data-center plan</w:t>
      </w:r>
      <w:r>
        <w:rPr>
          <w:i/>
          <w:color w:val="7A5A1E"/>
          <w:sz w:val="18"/>
        </w:rPr>
        <w:t xml:space="preserve">   [→ Unclear]</w:t>
      </w:r>
    </w:p>
    <w:p>
      <w:pPr>
        <w:spacing w:after="40"/>
        <w:ind w:left="283"/>
      </w:pPr>
      <w:r>
        <w:rPr>
          <w:color w:val="142233"/>
          <w:sz w:val="19"/>
        </w:rPr>
        <w:t>→ Watch for whether Paxton’s call for federal legislation restricting Chinese technology in data centers gains a congressional sponsor, and whether Texas legislators introduce a state-level companion measure ahead of any 2027 session.</w:t>
      </w:r>
    </w:p>
    <w:p>
      <w:pPr>
        <w:spacing w:after="40"/>
        <w:ind w:left="283"/>
      </w:pPr>
      <w:r>
        <w:rPr>
          <w:color w:val="142233"/>
          <w:sz w:val="19"/>
        </w:rPr>
        <w:t>→ Would directly affect vendor and hardware sourcing decisions for any Texas AI-infrastructure operator.</w:t>
      </w:r>
    </w:p>
    <w:p>
      <w:pPr>
        <w:spacing w:after="40"/>
        <w:ind w:left="283"/>
      </w:pPr>
      <w:r>
        <w:rPr>
          <w:color w:val="142233"/>
          <w:sz w:val="19"/>
        </w:rPr>
        <w:t>→ Tied to: PIR 7, decision-readiness and regulatory-exposure indicators.</w:t>
      </w:r>
    </w:p>
    <w:p>
      <w:pPr>
        <w:spacing w:after="160"/>
      </w:pPr>
      <w:r>
        <w:rPr>
          <w:rFonts w:ascii="Georgia" w:hAnsi="Georgia"/>
          <w:b w:val="0"/>
          <w:i w:val="0"/>
          <w:color w:val="142233"/>
          <w:sz w:val="21"/>
        </w:rPr>
        <w:t>Section VI</w:t>
      </w:r>
    </w:p>
    <w:p>
      <w:pPr>
        <w:spacing w:before="320" w:after="120"/>
        <w:pBdr>
          <w:bottom w:val="single" w:sz="6" w:space="4" w:color="A67C2E"/>
        </w:pBdr>
      </w:pPr>
      <w:r>
        <w:rPr>
          <w:rFonts w:ascii="Calibri" w:hAnsi="Calibri"/>
          <w:b/>
          <w:color w:val="7A5A1E"/>
          <w:sz w:val="27"/>
        </w:rPr>
        <w:t>Governance Implication Block</w:t>
      </w:r>
    </w:p>
    <w:tbl>
      <w:tblPr>
        <w:tblW w:type="auto" w:w="0"/>
        <w:jc w:val="center"/>
        <w:tblLayout w:type="fixed"/>
        <w:tblLook w:firstColumn="1" w:firstRow="1" w:lastColumn="0" w:lastRow="0" w:noHBand="0" w:noVBand="1" w:val="04A0"/>
      </w:tblPr>
      <w:tblGrid>
        <w:gridCol w:w="2041"/>
        <w:gridCol w:w="7087"/>
      </w:tblGrid>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Decision at risk</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Whether the organization has independently verified — rather than assumed from the absence of a public victim list — that it was not compromised or scanned by QTFY’s QScan/QTRouter infrastructure, and whether OFAC and correspondent-banking screening are current against Treasury’s expanding Section 311 designations.</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Owner</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CISO/CIO for the QTFY indicator-of-compromise hunt and any carried-forward OT/ICS patching. CFO/Treasury/General Counsel for OFAC and Section 311 correspondent-banking exposure. Board risk committee for oversight of both.</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Consequence of delay</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An organization that waits for a public victim list before checking its own environment may already be compromised and simply undetected — QTFY operated for eight years before this week’s disruption. A financial institution with stale Section 311 screening risks losing its own correspondent access, not only its counterparty’s.</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Action this week</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Direct IT/security to run the FBI/NSA-published QTFY indicators of compromise against your environment now. Confirm with CFO/Treasury that OFAC and correspondent-banking screening are current against the 24 and 28 August Iran designations. If your organization is a defense-industrial contractor, confirm CVE-2026-68820 patch compliance against the 25 August federal deadline.</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Record to preserve</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Documentation of the QTFY indicator hunt, its scope, and its result, regardless of outcome. OFAC/Section 311 screening review date and findings. Patch-compliance record for CVE-2026-68820. Any board or risk-committee minutes reflecting this week’s tasking.</w:t>
            </w:r>
          </w:p>
        </w:tc>
      </w:tr>
    </w:tbl>
    <w:p>
      <w:pPr>
        <w:spacing w:after="120"/>
      </w:pPr>
    </w:p>
    <w:p>
      <w:pPr>
        <w:spacing w:after="160"/>
      </w:pPr>
      <w:r>
        <w:rPr>
          <w:rFonts w:ascii="Georgia" w:hAnsi="Georgia"/>
          <w:b w:val="0"/>
          <w:i w:val="0"/>
          <w:color w:val="142233"/>
          <w:sz w:val="21"/>
        </w:rPr>
        <w:t>Section VII</w:t>
      </w:r>
    </w:p>
    <w:p>
      <w:pPr>
        <w:spacing w:before="320" w:after="120"/>
        <w:pBdr>
          <w:bottom w:val="single" w:sz="6" w:space="4" w:color="A67C2E"/>
        </w:pBdr>
      </w:pPr>
      <w:r>
        <w:rPr>
          <w:rFonts w:ascii="Calibri" w:hAnsi="Calibri"/>
          <w:b/>
          <w:color w:val="7A5A1E"/>
          <w:sz w:val="27"/>
        </w:rPr>
        <w:t>Actions This Week</w:t>
      </w:r>
    </w:p>
    <w:p>
      <w:pPr>
        <w:spacing w:after="160"/>
      </w:pPr>
      <w:r>
        <w:rPr>
          <w:rFonts w:ascii="Georgia" w:hAnsi="Georgia"/>
          <w:b w:val="0"/>
          <w:i w:val="0"/>
          <w:color w:val="142233"/>
          <w:sz w:val="21"/>
        </w:rPr>
        <w:t>Section VIII</w:t>
      </w:r>
    </w:p>
    <w:p>
      <w:pPr>
        <w:spacing w:before="320" w:after="120"/>
        <w:pBdr>
          <w:bottom w:val="single" w:sz="6" w:space="4" w:color="A67C2E"/>
        </w:pBdr>
      </w:pPr>
      <w:r>
        <w:rPr>
          <w:rFonts w:ascii="Calibri" w:hAnsi="Calibri"/>
          <w:b/>
          <w:color w:val="7A5A1E"/>
          <w:sz w:val="27"/>
        </w:rPr>
        <w:t>Prior Judgment Tracker</w:t>
      </w:r>
    </w:p>
    <w:tbl>
      <w:tblPr>
        <w:tblW w:type="auto" w:w="0"/>
        <w:jc w:val="center"/>
        <w:tblLayout w:type="fixed"/>
        <w:tblLook w:firstColumn="1" w:firstRow="1" w:lastColumn="0" w:lastRow="0" w:noHBand="0" w:noVBand="1" w:val="04A0"/>
      </w:tblPr>
      <w:tblGrid>
        <w:gridCol w:w="2041"/>
        <w:gridCol w:w="7087"/>
      </w:tblGrid>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Prior judgment</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ATB-2026-24 assessed, at moderate confidence, that Washington’s shift to declared economic warfare against Iran raised Tehran’s incentive to activate pre-positioned cyber and industrial-control access as sanctions began to bite.</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Current status</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Moderated, not reversed. The anticipated detailed sanctions package landed as expected (Operation Economic Outcast, 24 August), but rather than an accompanying Iran-attributed cyber escalation, this week brought the first diplomatic opening of the conflict — Pakistani and Qatari mediation, and Iranian signals of draft reopening conditions. No Iran-attributed cyber action against a Texas target was identified this week.</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What changed</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This week’s dominant new development was not Iran-related at all: the confirmed, eight-year Chinese QTFY access-broker campaign, disrupted 26 August, is a new and separate judgment thread that did not exist in ATB-2026-24. The UTSA/Texas Cyber Command thread carried from ATB-2026-24 is largely closed for this issue: classes resumed on schedule 24 August with more than 42,000 students, and no further public update on the forensic investigation’s conclusions was identified this week.</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Confidence movement</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ATB-2026-24’s Iran cyber-incentive judgment moves from moderate confidence toward the lower end of that band, given this week’s diplomatic signals, without being retired. A new judgment is introduced this issue at high confidence (KJ-1) on the confirmed facts of the QTFY takedown, and at moderate confidence (KJ-2) on Texas-specific exposure.</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Next indicator</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A named Texas victim in the QTFY campaign, a formal Iranian reopening timeline for the Strait of Hormuz, or an additional Section 311 correspondent-banking action would each move posture in these threads going forward.</w:t>
            </w:r>
          </w:p>
        </w:tc>
      </w:tr>
    </w:tbl>
    <w:p>
      <w:pPr>
        <w:spacing w:after="120"/>
      </w:pPr>
    </w:p>
    <w:p>
      <w:pPr>
        <w:spacing w:after="160"/>
      </w:pPr>
      <w:r>
        <w:rPr>
          <w:rFonts w:ascii="Georgia" w:hAnsi="Georgia"/>
          <w:b w:val="0"/>
          <w:i w:val="0"/>
          <w:color w:val="142233"/>
          <w:sz w:val="21"/>
        </w:rPr>
        <w:t>Section IX — Sourcing</w:t>
      </w:r>
    </w:p>
    <w:p>
      <w:pPr>
        <w:spacing w:before="320" w:after="120"/>
        <w:pBdr>
          <w:bottom w:val="single" w:sz="6" w:space="4" w:color="A67C2E"/>
        </w:pBdr>
      </w:pPr>
      <w:r>
        <w:rPr>
          <w:rFonts w:ascii="Calibri" w:hAnsi="Calibri"/>
          <w:b/>
          <w:color w:val="7A5A1E"/>
          <w:sz w:val="27"/>
        </w:rPr>
        <w:t>Open Source Basis</w:t>
      </w:r>
    </w:p>
    <w:p>
      <w:pPr>
        <w:spacing w:before="200"/>
      </w:pPr>
      <w:r>
        <w:rPr>
          <w:rFonts w:ascii="Calibri" w:hAnsi="Calibri"/>
          <w:b/>
          <w:color w:val="1F5C8C"/>
          <w:sz w:val="18"/>
        </w:rPr>
        <w:t>PRIMARY SOURCES — ATB-2026-25 — COVERAGE WEEK 23–29 AUGUST 2026</w:t>
      </w:r>
    </w:p>
    <w:p>
      <w:pPr>
        <w:spacing w:before="120" w:after="20"/>
      </w:pPr>
      <w:r>
        <w:rPr>
          <w:rFonts w:ascii="Calibri" w:hAnsi="Calibri"/>
          <w:b/>
          <w:color w:val="7A5A1E"/>
          <w:sz w:val="15"/>
        </w:rPr>
        <w:t>GOVERNMENT / LAW ENFORCEMENT</w:t>
        <w:br/>
      </w:r>
      <w:r>
        <w:rPr>
          <w:b/>
          <w:color w:val="142233"/>
          <w:sz w:val="20"/>
        </w:rPr>
        <w:t>U.S. Department of Justice — Justice Department and FBI Seize Platforms Operated and Used by China State-Sponsored Hackers to Target U.S. Critical Infrastructure</w:t>
      </w:r>
    </w:p>
    <w:p>
      <w:pPr>
        <w:spacing w:after="20"/>
      </w:pPr>
      <w:hyperlink r:id="rId11">
        <w:r>
          <w:rPr>
            <w:color w:val="1F5C8C"/>
            <w:u w:val="single"/>
            <w:sz w:val="17"/>
            <w:rFonts w:ascii="Consolas"/>
          </w:rPr>
          <w:t>justice.gov/opa/pr, 26 August 2026</w:t>
        </w:r>
      </w:hyperlink>
    </w:p>
    <w:p>
      <w:pPr>
        <w:spacing w:after="40"/>
      </w:pPr>
      <w:r>
        <w:rPr>
          <w:i/>
          <w:color w:val="5C5C5C"/>
          <w:sz w:val="17"/>
        </w:rPr>
        <w:t>Basis for the Dominant Judgment, KJ-1, KJ-2, and Section I. Confirms QTFY entity, seized platforms, and named federal-agency victims; does not name private-sector victims.</w:t>
      </w:r>
    </w:p>
    <w:p>
      <w:pPr>
        <w:spacing w:before="120" w:after="20"/>
      </w:pPr>
      <w:r>
        <w:rPr>
          <w:rFonts w:ascii="Calibri" w:hAnsi="Calibri"/>
          <w:b/>
          <w:color w:val="7A5A1E"/>
          <w:sz w:val="15"/>
        </w:rPr>
        <w:t>GOVERNMENT / DEFENSE</w:t>
        <w:br/>
      </w:r>
      <w:r>
        <w:rPr>
          <w:b/>
          <w:color w:val="142233"/>
          <w:sz w:val="20"/>
        </w:rPr>
        <w:t>NSA, FBI, and Cyber National Mission Force — Joint Cybersecurity Advisory: China-Linked Hacking Group QTFY Targets Military and Critical Infrastructure Systems</w:t>
      </w:r>
    </w:p>
    <w:p>
      <w:pPr>
        <w:spacing w:after="20"/>
      </w:pPr>
      <w:hyperlink r:id="rId12">
        <w:r>
          <w:rPr>
            <w:color w:val="1F5C8C"/>
            <w:u w:val="single"/>
            <w:sz w:val="17"/>
            <w:rFonts w:ascii="Consolas"/>
          </w:rPr>
          <w:t>media.defense.gov, 26 August 2026</w:t>
        </w:r>
      </w:hyperlink>
    </w:p>
    <w:p>
      <w:pPr>
        <w:spacing w:after="40"/>
      </w:pPr>
      <w:r>
        <w:rPr>
          <w:i/>
          <w:color w:val="5C5C5C"/>
          <w:sz w:val="17"/>
        </w:rPr>
        <w:t>Primary basis for confirmed targeted-sector list (energy, water, finance, telecom, DIB, higher education, federal government) used throughout Sections I, IV, and the Cross-Sector Cascade Assessment.</w:t>
      </w:r>
    </w:p>
    <w:p>
      <w:pPr>
        <w:spacing w:before="120" w:after="20"/>
      </w:pPr>
      <w:r>
        <w:rPr>
          <w:rFonts w:ascii="Calibri" w:hAnsi="Calibri"/>
          <w:b/>
          <w:color w:val="7A5A1E"/>
          <w:sz w:val="15"/>
        </w:rPr>
        <w:t>GOVERNMENT / REGULATORY</w:t>
        <w:br/>
      </w:r>
      <w:r>
        <w:rPr>
          <w:b/>
          <w:color w:val="142233"/>
          <w:sz w:val="20"/>
        </w:rPr>
        <w:t>U.S. Department of the Treasury, OFAC — Recent Actions (Iran-related and Counter Terrorism Designations)</w:t>
      </w:r>
    </w:p>
    <w:p>
      <w:pPr>
        <w:spacing w:after="20"/>
      </w:pPr>
      <w:hyperlink r:id="rId13">
        <w:r>
          <w:rPr>
            <w:color w:val="1F5C8C"/>
            <w:u w:val="single"/>
            <w:sz w:val="17"/>
            <w:rFonts w:ascii="Consolas"/>
          </w:rPr>
          <w:t>ofac.treasury.gov/recent-actions, 24 and 28 August 2026</w:t>
        </w:r>
      </w:hyperlink>
    </w:p>
    <w:p>
      <w:pPr>
        <w:spacing w:after="40"/>
      </w:pPr>
      <w:r>
        <w:rPr>
          <w:i/>
          <w:color w:val="5C5C5C"/>
          <w:sz w:val="17"/>
        </w:rPr>
        <w:t>Basis for KJ-3, Section I, and the Finance cross-sector implication. Confirms designation dates and the Banque Misr Section 311 action.</w:t>
      </w:r>
    </w:p>
    <w:p>
      <w:pPr>
        <w:spacing w:before="120" w:after="20"/>
      </w:pPr>
      <w:r>
        <w:rPr>
          <w:rFonts w:ascii="Calibri" w:hAnsi="Calibri"/>
          <w:b/>
          <w:color w:val="7A5A1E"/>
          <w:sz w:val="15"/>
        </w:rPr>
        <w:t>ENERGY / REGULATORY</w:t>
        <w:br/>
      </w:r>
      <w:r>
        <w:rPr>
          <w:b/>
          <w:color w:val="142233"/>
          <w:sz w:val="20"/>
        </w:rPr>
        <w:t>Utility Dive — ERCOT aims to complete Texas governor’s data center audit by December</w:t>
      </w:r>
    </w:p>
    <w:p>
      <w:pPr>
        <w:spacing w:after="20"/>
      </w:pPr>
      <w:hyperlink r:id="rId14">
        <w:r>
          <w:rPr>
            <w:color w:val="1F5C8C"/>
            <w:u w:val="single"/>
            <w:sz w:val="17"/>
            <w:rFonts w:ascii="Consolas"/>
          </w:rPr>
          <w:t>utilitydive.com, updated late August 2026</w:t>
        </w:r>
      </w:hyperlink>
    </w:p>
    <w:p>
      <w:pPr>
        <w:spacing w:after="40"/>
      </w:pPr>
      <w:r>
        <w:rPr>
          <w:i/>
          <w:color w:val="5C5C5C"/>
          <w:sz w:val="17"/>
        </w:rPr>
        <w:t>Basis for the ERCOT RFI timeline in Section I and the Energy cross-sector implication.</w:t>
      </w:r>
    </w:p>
    <w:p>
      <w:pPr>
        <w:spacing w:before="120" w:after="20"/>
      </w:pPr>
      <w:r>
        <w:rPr>
          <w:rFonts w:ascii="Calibri" w:hAnsi="Calibri"/>
          <w:b/>
          <w:color w:val="7A5A1E"/>
          <w:sz w:val="15"/>
        </w:rPr>
        <w:t>NEWS / WIRE</w:t>
        <w:br/>
      </w:r>
      <w:r>
        <w:rPr>
          <w:b/>
          <w:color w:val="142233"/>
          <w:sz w:val="20"/>
        </w:rPr>
        <w:t>Axios — Treasury Secretary Scott Bessent announces “D-day” sanctions against Iran</w:t>
      </w:r>
    </w:p>
    <w:p>
      <w:pPr>
        <w:spacing w:after="20"/>
      </w:pPr>
      <w:hyperlink r:id="rId15">
        <w:r>
          <w:rPr>
            <w:color w:val="1F5C8C"/>
            <w:u w:val="single"/>
            <w:sz w:val="17"/>
            <w:rFonts w:ascii="Consolas"/>
          </w:rPr>
          <w:t>axios.com, 24 August 2026</w:t>
        </w:r>
      </w:hyperlink>
    </w:p>
    <w:p>
      <w:pPr>
        <w:spacing w:after="40"/>
      </w:pPr>
      <w:r>
        <w:rPr>
          <w:i/>
          <w:color w:val="5C5C5C"/>
          <w:sz w:val="17"/>
        </w:rPr>
        <w:t>Cited for Operation Economic Outcast announcement details and direct quotations.</w:t>
      </w:r>
    </w:p>
    <w:p>
      <w:pPr>
        <w:spacing w:before="120" w:after="20"/>
      </w:pPr>
      <w:r>
        <w:rPr>
          <w:rFonts w:ascii="Calibri" w:hAnsi="Calibri"/>
          <w:b/>
          <w:color w:val="7A5A1E"/>
          <w:sz w:val="15"/>
        </w:rPr>
        <w:t>INDUSTRY / SECURITY RESEARCH</w:t>
        <w:br/>
      </w:r>
      <w:r>
        <w:rPr>
          <w:b/>
          <w:color w:val="142233"/>
          <w:sz w:val="20"/>
        </w:rPr>
        <w:t>SecurityWeek — US Disrupts Chinese Hacking Platform Used in Military and Critical Infrastructure Attacks</w:t>
      </w:r>
    </w:p>
    <w:p>
      <w:pPr>
        <w:spacing w:after="20"/>
      </w:pPr>
      <w:hyperlink r:id="rId16">
        <w:r>
          <w:rPr>
            <w:color w:val="1F5C8C"/>
            <w:u w:val="single"/>
            <w:sz w:val="17"/>
            <w:rFonts w:ascii="Consolas"/>
          </w:rPr>
          <w:t>securityweek.com, 26–27 August 2026</w:t>
        </w:r>
      </w:hyperlink>
    </w:p>
    <w:p>
      <w:pPr>
        <w:spacing w:after="40"/>
      </w:pPr>
      <w:r>
        <w:rPr>
          <w:i/>
          <w:color w:val="5C5C5C"/>
          <w:sz w:val="17"/>
        </w:rPr>
        <w:t>Cited for the confirmed-successful-versus-unsuccessful victim breakdown referenced in the Dominant Judgment and KJ-1.</w:t>
      </w:r>
    </w:p>
    <w:p>
      <w:pPr>
        <w:spacing w:before="120" w:after="20"/>
      </w:pPr>
      <w:r>
        <w:rPr>
          <w:rFonts w:ascii="Calibri" w:hAnsi="Calibri"/>
          <w:b/>
          <w:color w:val="7A5A1E"/>
          <w:sz w:val="15"/>
        </w:rPr>
        <w:t>FINANCIAL / REGULATORY ANALYSIS</w:t>
        <w:br/>
      </w:r>
      <w:r>
        <w:rPr>
          <w:b/>
          <w:color w:val="142233"/>
          <w:sz w:val="20"/>
        </w:rPr>
        <w:t>TFTC — Treasury Cuts Egyptian State Bank From Dollar System Over Iran Ties</w:t>
      </w:r>
    </w:p>
    <w:p>
      <w:pPr>
        <w:spacing w:after="20"/>
      </w:pPr>
      <w:hyperlink r:id="rId17">
        <w:r>
          <w:rPr>
            <w:color w:val="1F5C8C"/>
            <w:u w:val="single"/>
            <w:sz w:val="17"/>
            <w:rFonts w:ascii="Consolas"/>
          </w:rPr>
          <w:t>tftc.io, 28 August 2026</w:t>
        </w:r>
      </w:hyperlink>
    </w:p>
    <w:p>
      <w:pPr>
        <w:spacing w:after="40"/>
      </w:pPr>
      <w:r>
        <w:rPr>
          <w:i/>
          <w:color w:val="5C5C5C"/>
          <w:sz w:val="17"/>
        </w:rPr>
        <w:t>Cited for Section 311 mechanism explanation and the Banque Misr transaction figures.</w:t>
      </w:r>
    </w:p>
    <w:p>
      <w:pPr>
        <w:spacing w:before="120" w:after="20"/>
      </w:pPr>
      <w:r>
        <w:rPr>
          <w:rFonts w:ascii="Calibri" w:hAnsi="Calibri"/>
          <w:b/>
          <w:color w:val="7A5A1E"/>
          <w:sz w:val="15"/>
        </w:rPr>
        <w:t>CONFLICT TRACKING</w:t>
        <w:br/>
      </w:r>
      <w:r>
        <w:rPr>
          <w:b/>
          <w:color w:val="142233"/>
          <w:sz w:val="20"/>
        </w:rPr>
        <w:t>GlobalSecurity.org — Iran War 2026, Day 182 Update</w:t>
      </w:r>
    </w:p>
    <w:p>
      <w:pPr>
        <w:spacing w:after="20"/>
      </w:pPr>
      <w:hyperlink r:id="rId18">
        <w:r>
          <w:rPr>
            <w:color w:val="1F5C8C"/>
            <w:u w:val="single"/>
            <w:sz w:val="17"/>
            <w:rFonts w:ascii="Consolas"/>
          </w:rPr>
          <w:t>globalsecurity.org, 28 August 2026</w:t>
        </w:r>
      </w:hyperlink>
    </w:p>
    <w:p>
      <w:pPr>
        <w:spacing w:after="40"/>
      </w:pPr>
      <w:r>
        <w:rPr>
          <w:i/>
          <w:color w:val="5C5C5C"/>
          <w:sz w:val="17"/>
        </w:rPr>
        <w:t>Cited for consolidated strait-transit figures, diplomatic-meeting reporting, and Brent crude movement; underlying data not independently verified by Liberty CTI.</w:t>
      </w:r>
    </w:p>
    <w:p>
      <w:pPr>
        <w:spacing w:before="120" w:after="20"/>
      </w:pPr>
      <w:r>
        <w:rPr>
          <w:rFonts w:ascii="Calibri" w:hAnsi="Calibri"/>
          <w:b/>
          <w:color w:val="7A5A1E"/>
          <w:sz w:val="15"/>
        </w:rPr>
        <w:t>NEWS / LOCAL</w:t>
        <w:br/>
      </w:r>
      <w:r>
        <w:rPr>
          <w:b/>
          <w:color w:val="142233"/>
          <w:sz w:val="20"/>
        </w:rPr>
        <w:t>KSAT — UTSA welcomes more than 42,000 students after cyberattack delays semester start</w:t>
      </w:r>
    </w:p>
    <w:p>
      <w:pPr>
        <w:spacing w:after="20"/>
      </w:pPr>
      <w:hyperlink r:id="rId19">
        <w:r>
          <w:rPr>
            <w:color w:val="1F5C8C"/>
            <w:u w:val="single"/>
            <w:sz w:val="17"/>
            <w:rFonts w:ascii="Consolas"/>
          </w:rPr>
          <w:t>ksat.com, 24 August 2026</w:t>
        </w:r>
      </w:hyperlink>
    </w:p>
    <w:p>
      <w:pPr>
        <w:spacing w:after="40"/>
      </w:pPr>
      <w:r>
        <w:rPr>
          <w:i/>
          <w:color w:val="5C5C5C"/>
          <w:sz w:val="17"/>
        </w:rPr>
        <w:t>Cited for confirmation that UTSA classes resumed on schedule; no further forensic update was identified this week.</w:t>
      </w:r>
    </w:p>
    <w:p>
      <w:pPr>
        <w:spacing w:before="120" w:after="20"/>
      </w:pPr>
      <w:r>
        <w:rPr>
          <w:rFonts w:ascii="Calibri" w:hAnsi="Calibri"/>
          <w:b/>
          <w:color w:val="7A5A1E"/>
          <w:sz w:val="15"/>
        </w:rPr>
        <w:t>NEWS / POLITICS</w:t>
        <w:br/>
      </w:r>
      <w:r>
        <w:rPr>
          <w:b/>
          <w:color w:val="142233"/>
          <w:sz w:val="20"/>
        </w:rPr>
        <w:t>Breitbart — Ken Paxton Unveils Plan to Prevent “Negative Impact” of AI Data Centers on Texas</w:t>
      </w:r>
    </w:p>
    <w:p>
      <w:pPr>
        <w:spacing w:after="20"/>
      </w:pPr>
      <w:hyperlink r:id="rId20">
        <w:r>
          <w:rPr>
            <w:color w:val="1F5C8C"/>
            <w:u w:val="single"/>
            <w:sz w:val="17"/>
            <w:rFonts w:ascii="Consolas"/>
          </w:rPr>
          <w:t>breitbart.com, 25 August 2026</w:t>
        </w:r>
      </w:hyperlink>
    </w:p>
    <w:p>
      <w:pPr>
        <w:spacing w:after="40"/>
      </w:pPr>
      <w:r>
        <w:rPr>
          <w:i/>
          <w:color w:val="5C5C5C"/>
          <w:sz w:val="17"/>
        </w:rPr>
        <w:t>Cited for the four-point AI data-center plan referenced in Section I and the Healthcare/DIB/AI implication.</w:t>
      </w:r>
    </w:p>
    <w:p>
      <w:pPr>
        <w:spacing w:before="120" w:after="20"/>
      </w:pPr>
      <w:r>
        <w:rPr>
          <w:rFonts w:ascii="Calibri" w:hAnsi="Calibri"/>
          <w:b/>
          <w:color w:val="7A5A1E"/>
          <w:sz w:val="15"/>
        </w:rPr>
        <w:t>INDUSTRY / SECURITY RESEARCH</w:t>
        <w:br/>
      </w:r>
      <w:r>
        <w:rPr>
          <w:b/>
          <w:color w:val="142233"/>
          <w:sz w:val="20"/>
        </w:rPr>
        <w:t>Decryption Digest — CISA August 25 Deadline: Lazarus Zero-Day and Weekly Roundup</w:t>
      </w:r>
    </w:p>
    <w:p>
      <w:pPr>
        <w:spacing w:after="20"/>
      </w:pPr>
      <w:hyperlink r:id="rId21">
        <w:r>
          <w:rPr>
            <w:color w:val="1F5C8C"/>
            <w:u w:val="single"/>
            <w:sz w:val="17"/>
            <w:rFonts w:ascii="Consolas"/>
          </w:rPr>
          <w:t>decryptiondigest.com, week of 24–28 August 2026</w:t>
        </w:r>
      </w:hyperlink>
    </w:p>
    <w:p>
      <w:pPr>
        <w:spacing w:after="40"/>
      </w:pPr>
      <w:r>
        <w:rPr>
          <w:i/>
          <w:color w:val="5C5C5C"/>
          <w:sz w:val="17"/>
        </w:rPr>
        <w:t>Cited for CVE-2026-68820 (Lazarus/DPRK Operation Dream Job) and the Binding Operational Directive 26-04 patch-compliance deadline referenced in Section III and the Healthcare/DIB/AI implication.</w:t>
      </w:r>
    </w:p>
    <w:p>
      <w:pPr>
        <w:pBdr>
          <w:bottom w:val="single" w:sz="4" w:space="4" w:color="CCCCCC"/>
        </w:pBdr>
      </w:pPr>
    </w:p>
    <w:p>
      <w:pPr>
        <w:spacing w:after="160"/>
      </w:pPr>
      <w:r>
        <w:rPr>
          <w:rFonts w:ascii="Georgia" w:hAnsi="Georgia"/>
          <w:b w:val="0"/>
          <w:i w:val="0"/>
          <w:color w:val="142233"/>
          <w:sz w:val="21"/>
        </w:rPr>
        <w:t xml:space="preserve">For tailored executive briefings or advisory retainer inquiries: </w:t>
      </w:r>
      <w:r>
        <w:rPr>
          <w:rFonts w:ascii="Georgia" w:hAnsi="Georgia"/>
          <w:b/>
          <w:i w:val="0"/>
          <w:color w:val="142233"/>
          <w:sz w:val="21"/>
        </w:rPr>
        <w:t>intel@libertycti.com</w:t>
      </w:r>
      <w:r>
        <w:rPr>
          <w:rFonts w:ascii="Georgia" w:hAnsi="Georgia"/>
          <w:b w:val="0"/>
          <w:i w:val="0"/>
          <w:color w:val="142233"/>
          <w:sz w:val="21"/>
        </w:rPr>
        <w:t xml:space="preserve"> · </w:t>
      </w:r>
      <w:r>
        <w:rPr>
          <w:rFonts w:ascii="Georgia" w:hAnsi="Georgia"/>
          <w:b/>
          <w:i w:val="0"/>
          <w:color w:val="142233"/>
          <w:sz w:val="21"/>
        </w:rPr>
        <w:t>libertycti.com</w:t>
      </w:r>
    </w:p>
    <w:p>
      <w:pPr>
        <w:spacing w:after="160"/>
        <w:jc w:val="center"/>
      </w:pPr>
      <w:r>
        <w:rPr>
          <w:rFonts w:ascii="Georgia" w:hAnsi="Georgia"/>
          <w:b w:val="0"/>
          <w:i w:val="0"/>
          <w:color w:val="5C5C5C"/>
          <w:sz w:val="16"/>
        </w:rPr>
        <w:t>© 2026 Liberty CTI LLC. All rights reserved. The Alamo Threat Brief and its original analysis may not be reproduced or redistributed without permission.</w:t>
      </w:r>
    </w:p>
    <w:p>
      <w:pPr>
        <w:spacing w:after="160"/>
        <w:jc w:val="center"/>
      </w:pPr>
      <w:r>
        <w:rPr>
          <w:rFonts w:ascii="Georgia" w:hAnsi="Georgia"/>
          <w:b w:val="0"/>
          <w:i w:val="0"/>
          <w:color w:val="5C5C5C"/>
          <w:sz w:val="16"/>
        </w:rPr>
        <w:t xml:space="preserve">Liberty CTI assessments reflect analytical judgments based on information available at the time of publication. Forecasts and warning judgments involve uncertainty and may change as new information becomes available. The Alamo Threat Brief provides intelligence decision support and does not constitute legal, financial, investment, or technical cybersecurity advice. See </w:t>
      </w:r>
      <w:r>
        <w:rPr>
          <w:rFonts w:ascii="Georgia" w:hAnsi="Georgia"/>
          <w:b w:val="0"/>
          <w:i w:val="0"/>
          <w:color w:val="1F5C8C"/>
          <w:sz w:val="16"/>
          <w:u w:val="single"/>
        </w:rPr>
        <w:t>Terms of Use</w:t>
      </w:r>
      <w:r>
        <w:rPr>
          <w:rFonts w:ascii="Georgia" w:hAnsi="Georgia"/>
          <w:b w:val="0"/>
          <w:i w:val="0"/>
          <w:color w:val="5C5C5C"/>
          <w:sz w:val="16"/>
        </w:rPr>
        <w:t>.</w:t>
      </w:r>
    </w:p>
    <w:p>
      <w:pPr>
        <w:spacing w:after="160"/>
        <w:jc w:val="center"/>
      </w:pPr>
      <w:r>
        <w:rPr>
          <w:rFonts w:ascii="Georgia" w:hAnsi="Georgia"/>
          <w:b w:val="0"/>
          <w:i w:val="0"/>
          <w:color w:val="5C5C5C"/>
          <w:sz w:val="16"/>
        </w:rPr>
        <w:t>Third-party reporting cited in this brief remains the property of its respective owners; citation does not constitute endorsement. Liberty CTI’s original analytical judgments remain Liberty CTI intellectual property.</w:t>
      </w:r>
    </w:p>
    <w:p>
      <w:pPr>
        <w:spacing w:before="360"/>
        <w:jc w:val="center"/>
      </w:pPr>
      <w:r>
        <w:rPr>
          <w:color w:val="5C5C5C"/>
          <w:sz w:val="15"/>
        </w:rPr>
        <w:t>© 2026 Liberty CTI LLC. All rights reserved. The Alamo Threat Brief and its original analysis may not be reproduced or redistributed without permission. Alamo Threat Brief™ is a trademark of Liberty CTI LLC. This document is an archival companion to the published web issue and preserves the assessment as originally issued.</w:t>
      </w:r>
    </w:p>
    <w:sectPr w:rsidR="00FC693F" w:rsidRPr="0006063C" w:rsidSect="00034616">
      <w:headerReference w:type="default" r:id="rId9"/>
      <w:footerReference w:type="default" r:id="rId10"/>
      <w:pgSz w:w="12240" w:h="15840"/>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C5C5C"/>
        <w:sz w:val="15"/>
      </w:rPr>
      <w:t xml:space="preserve">OPEN SOURCE INTELLIGENCE   —   Page </w:t>
    </w:r>
    <w:r>
      <w:rPr>
        <w:color w:val="5C5C5C"/>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Calibri" w:hAnsi="Calibri"/>
        <w:color w:val="5C5C5C"/>
        <w:sz w:val="16"/>
      </w:rPr>
      <w:t>LIBERTY CTI  |  THE ALAMO THREAT BRIEF  |  ATB-2026-25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4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justice.gov/opa/pr/justice-department-and-fbi-seize-platforms-operated-and-used-china-state-sponsored-hackers" TargetMode="External"/><Relationship Id="rId12" Type="http://schemas.openxmlformats.org/officeDocument/2006/relationships/hyperlink" Target="https://media.defense.gov/2026/Aug/26/2003986916/-1/-1/0/JCSA_CHINA_QTFY_MALICIOUS_SYSTEMS.PDF" TargetMode="External"/><Relationship Id="rId13" Type="http://schemas.openxmlformats.org/officeDocument/2006/relationships/hyperlink" Target="https://ofac.treasury.gov/recent-actions" TargetMode="External"/><Relationship Id="rId14" Type="http://schemas.openxmlformats.org/officeDocument/2006/relationships/hyperlink" Target="https://www.utilitydive.com/news/ercot-texas-puc-data-center-audit/828472/" TargetMode="External"/><Relationship Id="rId15" Type="http://schemas.openxmlformats.org/officeDocument/2006/relationships/hyperlink" Target="https://www.axios.com/2026/08/24/bessent-dday-iran-secondary-sanctions" TargetMode="External"/><Relationship Id="rId16" Type="http://schemas.openxmlformats.org/officeDocument/2006/relationships/hyperlink" Target="https://www.securityweek.com/us-disrupts-chinese-hacking-platform-used-in-military-and-critical-infrastructure-attacks/" TargetMode="External"/><Relationship Id="rId17" Type="http://schemas.openxmlformats.org/officeDocument/2006/relationships/hyperlink" Target="https://www.tftc.io/banque-misr-uae-fincen-section-311-iran-sanctions-operation-economic-outcast" TargetMode="External"/><Relationship Id="rId18" Type="http://schemas.openxmlformats.org/officeDocument/2006/relationships/hyperlink" Target="https://www.globalsecurity.org/military/ops/iran-war-oprep.htm" TargetMode="External"/><Relationship Id="rId19" Type="http://schemas.openxmlformats.org/officeDocument/2006/relationships/hyperlink" Target="https://www.ksat.com/news/local/2026/08/24/utsa-welcomes-more-than-42000-students-after-cyberattack-delays-semester-start/" TargetMode="External"/><Relationship Id="rId20" Type="http://schemas.openxmlformats.org/officeDocument/2006/relationships/hyperlink" Target="https://www.breitbart.com/tech/2026/08/25/ken-paxton-unveils-plan-to-prevent-negative-impact-of-ai-data-centers-on-texas/" TargetMode="External"/><Relationship Id="rId21" Type="http://schemas.openxmlformats.org/officeDocument/2006/relationships/hyperlink" Target="https://www.decryptiondigest.com/blog/cisa-deadline-august-25-lazarus-anmed-clop-weekly-roundu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