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ATB-2026-17</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28 JUNE–4 JULY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2026-07-04</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DIVERGING TRACKS, ONE EXPOSURE</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Has diplomatic progress on the Iran track influenced our OT isolation or vendor-access posture in any way? If the answer is yes, that decision needs to be reversed and documented.</w:t>
      </w:r>
    </w:p>
    <w:p>
      <w:pPr>
        <w:spacing w:before="160" w:after="40"/>
      </w:pPr>
      <w:r>
        <w:rPr>
          <w:b/>
          <w:color w:val="7A5A1E"/>
          <w:sz w:val="20"/>
        </w:rPr>
        <w:t>Board Implications This Week — Direct</w:t>
      </w:r>
    </w:p>
    <w:p>
      <w:pPr>
        <w:spacing w:after="40"/>
      </w:pPr>
      <w:r>
        <w:rPr>
          <w:rFonts w:ascii="Georgia" w:hAnsi="Georgia"/>
          <w:b w:val="0"/>
          <w:i w:val="0"/>
          <w:color w:val="142233"/>
          <w:sz w:val="19"/>
        </w:rPr>
        <w:t>Confirm that vendor-disconnection and OT isolation authority delegated after the June 25–26 Hormuz exchange remains active and has not been quietly relaxed following this week’s ceasefire headlines.</w:t>
      </w:r>
    </w:p>
    <w:p>
      <w:pPr>
        <w:spacing w:before="160" w:after="40"/>
      </w:pPr>
      <w:r>
        <w:rPr>
          <w:b/>
          <w:color w:val="7A5A1E"/>
          <w:sz w:val="20"/>
        </w:rPr>
        <w:t>Board Implications This Week — Document</w:t>
      </w:r>
    </w:p>
    <w:p>
      <w:pPr>
        <w:spacing w:after="40"/>
      </w:pPr>
      <w:r>
        <w:rPr>
          <w:rFonts w:ascii="Georgia" w:hAnsi="Georgia"/>
          <w:b w:val="0"/>
          <w:i w:val="0"/>
          <w:color w:val="142233"/>
          <w:sz w:val="19"/>
        </w:rPr>
        <w:t>Record any decision to maintain or adjust isolation posture this week, with the rationale. If posture changes later prove premature, this record is what shows leadership acted on evidence, not headlines.</w:t>
      </w:r>
    </w:p>
    <w:p>
      <w:pPr>
        <w:spacing w:before="160" w:after="40"/>
      </w:pPr>
      <w:r>
        <w:rPr>
          <w:b/>
          <w:color w:val="7A5A1E"/>
          <w:sz w:val="20"/>
        </w:rPr>
        <w:t>Board Implications This Week — Watch</w:t>
      </w:r>
    </w:p>
    <w:p>
      <w:pPr>
        <w:spacing w:after="40"/>
      </w:pPr>
      <w:r>
        <w:rPr>
          <w:rFonts w:ascii="Georgia" w:hAnsi="Georgia"/>
          <w:b w:val="0"/>
          <w:i w:val="0"/>
          <w:color w:val="142233"/>
          <w:sz w:val="19"/>
        </w:rPr>
        <w:t>Task threat intelligence or legal counsel to flag the first U.S. primary-source advisory (CISA/FBI/NSA) corroborating the Israeli-reported rise in Iranian cyber activity. That is the confidence-upgrade trigger, not this week’s single-source reporting.</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U.S.-Iran Diplomacy Advances While Cyber Activity Reportedly Intensifies</w:t>
      </w:r>
    </w:p>
    <w:p>
      <w:pPr>
        <w:spacing w:after="160"/>
      </w:pPr>
      <w:r>
        <w:rPr>
          <w:rFonts w:ascii="Georgia" w:hAnsi="Georgia"/>
          <w:b w:val="0"/>
          <w:i w:val="0"/>
          <w:color w:val="142233"/>
          <w:sz w:val="21"/>
        </w:rPr>
        <w:t xml:space="preserve">On </w:t>
      </w:r>
      <w:r>
        <w:rPr>
          <w:rFonts w:ascii="Georgia" w:hAnsi="Georgia"/>
          <w:b/>
          <w:i w:val="0"/>
          <w:color w:val="142233"/>
          <w:sz w:val="21"/>
        </w:rPr>
        <w:t>30 June–2 July 2026</w:t>
      </w:r>
      <w:r>
        <w:rPr>
          <w:rFonts w:ascii="Georgia" w:hAnsi="Georgia"/>
          <w:b w:val="0"/>
          <w:i w:val="0"/>
          <w:color w:val="142233"/>
          <w:sz w:val="21"/>
        </w:rPr>
        <w:t>, U.S. and Iranian negotiators met in Doha through Qatari and Pakistani mediators, advancing implementation of the $6 billion frozen-asset release and standing up a Joint Hormuz Committee to manage strait governance going forward. This is genuine diplomatic movement beyond last week’s kinetic exchange. At the same time, Israel’s cyber chief told German outlet WELT that Iranian cyber operations have intensified sharply since the war began, including increased coordination among Iranian-aligned groups and targeting of critical infrastructure and smaller businesses. These two developments are happening on separate tracks, not a single one, and Texas executives should not assume the first cancels out the second.</w:t>
      </w:r>
    </w:p>
    <w:p>
      <w:pPr>
        <w:spacing w:before="200" w:after="120"/>
      </w:pPr>
      <w:r>
        <w:rPr>
          <w:rFonts w:ascii="Calibri" w:hAnsi="Calibri"/>
          <w:b/>
          <w:color w:val="142233"/>
          <w:sz w:val="23"/>
        </w:rPr>
        <w:t>Hormuz Threat Level Raised to “Substantial” Despite Talks Progress</w:t>
      </w:r>
    </w:p>
    <w:p>
      <w:pPr>
        <w:spacing w:after="160"/>
      </w:pPr>
      <w:r>
        <w:rPr>
          <w:rFonts w:ascii="Georgia" w:hAnsi="Georgia"/>
          <w:b w:val="0"/>
          <w:i w:val="0"/>
          <w:color w:val="142233"/>
          <w:sz w:val="21"/>
        </w:rPr>
        <w:t xml:space="preserve">The Joint Maritime Information Center formally raised the Strait of Hormuz maritime security threat level to </w:t>
      </w:r>
      <w:r>
        <w:rPr>
          <w:rFonts w:ascii="Georgia" w:hAnsi="Georgia"/>
          <w:b/>
          <w:i w:val="0"/>
          <w:color w:val="142233"/>
          <w:sz w:val="21"/>
        </w:rPr>
        <w:t>“substantial”</w:t>
      </w:r>
      <w:r>
        <w:rPr>
          <w:rFonts w:ascii="Georgia" w:hAnsi="Georgia"/>
          <w:b w:val="0"/>
          <w:i w:val="0"/>
          <w:color w:val="142233"/>
          <w:sz w:val="21"/>
        </w:rPr>
        <w:t xml:space="preserve"> this week, even as commercial traffic remained comparatively steady and diplomatic talks advanced. Transit volume remains well below pre-war levels. The juxtaposition — rising formal threat classification alongside diplomatic progress — is itself the indicator worth tracking, not a contradiction to resolve.</w:t>
      </w:r>
    </w:p>
    <w:p>
      <w:pPr>
        <w:spacing w:before="200" w:after="120"/>
      </w:pPr>
      <w:r>
        <w:rPr>
          <w:rFonts w:ascii="Calibri" w:hAnsi="Calibri"/>
          <w:b/>
          <w:color w:val="142233"/>
          <w:sz w:val="23"/>
        </w:rPr>
        <w:t>Ukraine Strikes St. Petersburg and Vysotsk Port, Continuing an Established Campaign</w:t>
      </w:r>
    </w:p>
    <w:p>
      <w:pPr>
        <w:spacing w:after="160"/>
      </w:pPr>
      <w:r>
        <w:rPr>
          <w:rFonts w:ascii="Georgia" w:hAnsi="Georgia"/>
          <w:b w:val="0"/>
          <w:i w:val="0"/>
          <w:color w:val="142233"/>
          <w:sz w:val="21"/>
        </w:rPr>
        <w:t xml:space="preserve">Ukraine struck the St. Petersburg oil terminal and Vysotsk port infrastructure on </w:t>
      </w:r>
      <w:r>
        <w:rPr>
          <w:rFonts w:ascii="Georgia" w:hAnsi="Georgia"/>
          <w:b/>
          <w:i w:val="0"/>
          <w:color w:val="142233"/>
          <w:sz w:val="21"/>
        </w:rPr>
        <w:t>4 July 2026</w:t>
      </w:r>
      <w:r>
        <w:rPr>
          <w:rFonts w:ascii="Georgia" w:hAnsi="Georgia"/>
          <w:b w:val="0"/>
          <w:i w:val="0"/>
          <w:color w:val="142233"/>
          <w:sz w:val="21"/>
        </w:rPr>
        <w:t>, part of an “almost daily” campaign against Russian refining and export infrastructure that has been running for months and was already the subject of ATB-2026-16’s KJ-2. Russian fuel rationing continues across multiple regions. This is a continuation, not a new development in kind — noted here for currency, not as a fresh judgment.</w:t>
      </w:r>
    </w:p>
    <w:p>
      <w:pPr>
        <w:spacing w:before="200" w:after="120"/>
      </w:pPr>
      <w:r>
        <w:rPr>
          <w:rFonts w:ascii="Calibri" w:hAnsi="Calibri"/>
          <w:b/>
          <w:color w:val="142233"/>
          <w:sz w:val="23"/>
        </w:rPr>
        <w:t>WSJ: Corporate Infrastructure Now Explicit Military Target Category</w:t>
      </w:r>
    </w:p>
    <w:p>
      <w:pPr>
        <w:spacing w:after="160"/>
      </w:pPr>
      <w:r>
        <w:rPr>
          <w:rFonts w:ascii="Georgia" w:hAnsi="Georgia"/>
          <w:b w:val="0"/>
          <w:i w:val="0"/>
          <w:color w:val="142233"/>
          <w:sz w:val="21"/>
        </w:rPr>
        <w:t xml:space="preserve">The Wall Street Journal reported on </w:t>
      </w:r>
      <w:r>
        <w:rPr>
          <w:rFonts w:ascii="Georgia" w:hAnsi="Georgia"/>
          <w:b/>
          <w:i w:val="0"/>
          <w:color w:val="142233"/>
          <w:sz w:val="21"/>
        </w:rPr>
        <w:t>4 July 2026</w:t>
      </w:r>
      <w:r>
        <w:rPr>
          <w:rFonts w:ascii="Georgia" w:hAnsi="Georgia"/>
          <w:b w:val="0"/>
          <w:i w:val="0"/>
          <w:color w:val="142233"/>
          <w:sz w:val="21"/>
        </w:rPr>
        <w:t xml:space="preserve"> that modern warfare is increasingly targeting corporate-owned assets — data centers, refineries, utilities, ports, petrochemical facilities, and civilian airports — with disputes already emerging between companies and governments over who bears the cost of hardening them. This is new reporting this week, unconnected to either the Iran or Russia threads, and is the clearest evidence yet that Texas concentration in these exact sectors carries strategic value independent of any single active conflict.</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Iran’s diplomatic and cyber tracks are diverging rather than moving together, and that Texas energy, water, and finance operators should treat diplomatic progress as analytically separate from cyber risk.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NPR/CBS/CNN reporting on Doha talks and Joint Hormuz Committee formation, 30 June–2 July 2026; WELT interview with Israel’s cyber chief, 30 June 2026; Joint Maritime Information Center Hormuz threat-level designation. Primary uncertainty: the cyber-intensification claim is single-sourced to a foreign official during active conflict and lacks independent U.S. government corroboration.</w:t>
      </w:r>
    </w:p>
    <w:p>
      <w:pPr>
        <w:spacing w:after="120"/>
        <w:ind w:left="283"/>
      </w:pPr>
      <w:r>
        <w:rPr>
          <w:color w:val="7A5A1E"/>
          <w:sz w:val="19"/>
        </w:rPr>
        <w:t>Decision implication: Decision Implication: Do not let diplomatic news cycles trigger a relaxation of OT isolation or vendor-access controls put in place after the June 25–26 Hormuz exchange.</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maintains its assessment from ATB-2026-16 that Russia’s fuel crisis is </w:t>
      </w:r>
      <w:r>
        <w:rPr>
          <w:rFonts w:ascii="Georgia" w:hAnsi="Georgia"/>
          <w:b/>
          <w:i w:val="0"/>
          <w:color w:val="142233"/>
          <w:sz w:val="21"/>
        </w:rPr>
        <w:t>likely</w:t>
      </w:r>
      <w:r>
        <w:rPr>
          <w:rFonts w:ascii="Georgia" w:hAnsi="Georgia"/>
          <w:b w:val="0"/>
          <w:i w:val="0"/>
          <w:color w:val="142233"/>
          <w:sz w:val="21"/>
        </w:rPr>
        <w:t xml:space="preserve"> (55–80%) to raise cyber-enabled collection and retaliation-signaling incentive against Western energy and logistics targets.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AP, Reuters, and Washington Post reporting on the 4 July St. Petersburg/Vysotsk strike and continuing Russian fuel rationing. Primary uncertainty: no new cyber-specific evidence emerged this week; the judgment is carried forward unchanged rather than re-derived.</w:t>
      </w:r>
    </w:p>
    <w:p>
      <w:pPr>
        <w:spacing w:after="120"/>
        <w:ind w:left="283"/>
      </w:pPr>
      <w:r>
        <w:rPr>
          <w:color w:val="7A5A1E"/>
          <w:sz w:val="19"/>
        </w:rPr>
        <w:t>Decision implication: Decision Implication: No new action required beyond what ATB-2026-16 already specified. Continue monitoring for a cyber-specific indicator, not just additional kinetic strikes.</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privately owned infrastructure — data centers, refineries, ports, and utilities — will face growing formal pressure to adopt military-grade hardening standards, creating new cost and governance questions for Texas operators within the next 6–12 months.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Wall Street Journal reporting, 4 July 2026, on corporate-government disputes over infrastructure-hardening costs. Primary uncertainty: this is trend synthesis from a single outlet; no U.S. regulatory action has yet been proposed.</w:t>
      </w:r>
    </w:p>
    <w:p>
      <w:pPr>
        <w:spacing w:after="120"/>
        <w:ind w:left="283"/>
      </w:pPr>
      <w:r>
        <w:rPr>
          <w:color w:val="7A5A1E"/>
          <w:sz w:val="19"/>
        </w:rPr>
        <w:t>Decision implication: Decision Implication: Texas data center, energy, and port operators should begin scoping what a military-grade hardening requirement would cost before it becomes a mandate rather than a trend article.</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Two active conflicts are running on independent timelines that both intersect Texas exposure. Iran is simultaneously negotiating sanctions and asset relief while its cyber apparatus reportedly continues operating at an elevated tempo — a pattern consistent with preserving diplomatic flexibility while not standing down cyber capability. Russia’s battlefield and fuel-logistics pressure continues to build retaliation incentive against the Western energy and logistics networks supporting Ukraine, independent of any negotiation track. Neither driver is new this week; what is new is the diplomatic progress on the Iran side and the WSJ framing of corporate infrastructure as a recognized target category in both.</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Texas carries direct exposure through LNG, refining, petrochemicals, maritime ports, water utilities, and finance — the same sector list both the Iran and Russia threads run through, and the same list the WSJ reporting names as newly recognized military-value target categories. The board-level risk this week is narrower than “is there conflict risk” — it is whether leadership lets diplomatic progress on one front quietly erode vigilance that should remain independent of it.</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LNG / Refining / Ports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The confirmed Iranian PLC/HMI campaign (CISA AA26-097A, carried forward) now has fresh, if single-sourced, evidence of intensification. </w:t>
            </w:r>
            <w:r>
              <w:rPr>
                <w:rFonts w:ascii="Georgia" w:hAnsi="Georgia"/>
                <w:b/>
                <w:i w:val="0"/>
                <w:color w:val="142233"/>
                <w:sz w:val="19"/>
              </w:rPr>
              <w:t>Why it matters locally:</w:t>
            </w:r>
            <w:r>
              <w:rPr>
                <w:rFonts w:ascii="Georgia" w:hAnsi="Georgia"/>
                <w:b w:val="0"/>
                <w:i w:val="0"/>
                <w:color w:val="142233"/>
                <w:sz w:val="19"/>
              </w:rPr>
              <w:t xml:space="preserve"> Texas LNG, refining, and petrochemical operators are named-category targets in both the Iran advisory and the new WSJ infrastructure-targeting reporting. </w:t>
            </w:r>
            <w:r>
              <w:rPr>
                <w:rFonts w:ascii="Georgia" w:hAnsi="Georgia"/>
                <w:b/>
                <w:i w:val="0"/>
                <w:color w:val="142233"/>
                <w:sz w:val="19"/>
              </w:rPr>
              <w:t>Cascade risk:</w:t>
            </w:r>
            <w:r>
              <w:rPr>
                <w:rFonts w:ascii="Georgia" w:hAnsi="Georgia"/>
                <w:b w:val="0"/>
                <w:i w:val="0"/>
                <w:color w:val="142233"/>
                <w:sz w:val="19"/>
              </w:rPr>
              <w:t xml:space="preserve"> OT compromise at a single refining or port node cascades to logistics, finance, and regional fuel supply within hours.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Payments / Recovery / Sanctions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The Joint Hormuz Committee and $6B asset-release process are new and untested mechanisms with no fixed resolution timeline. </w:t>
            </w:r>
            <w:r>
              <w:rPr>
                <w:rFonts w:ascii="Georgia" w:hAnsi="Georgia"/>
                <w:b/>
                <w:i w:val="0"/>
                <w:color w:val="142233"/>
                <w:sz w:val="19"/>
              </w:rPr>
              <w:t>Why it matters locally:</w:t>
            </w:r>
            <w:r>
              <w:rPr>
                <w:rFonts w:ascii="Georgia" w:hAnsi="Georgia"/>
                <w:b w:val="0"/>
                <w:i w:val="0"/>
                <w:color w:val="142233"/>
                <w:sz w:val="19"/>
              </w:rPr>
              <w:t xml:space="preserve"> Financial institutions supporting Texas energy, port, and logistics clients in the region should assume this diplomatic uncertainty extends for weeks, not days. </w:t>
            </w:r>
            <w:r>
              <w:rPr>
                <w:rFonts w:ascii="Georgia" w:hAnsi="Georgia"/>
                <w:b/>
                <w:i w:val="0"/>
                <w:color w:val="142233"/>
                <w:sz w:val="19"/>
              </w:rPr>
              <w:t>Cascade risk:</w:t>
            </w:r>
            <w:r>
              <w:rPr>
                <w:rFonts w:ascii="Georgia" w:hAnsi="Georgia"/>
                <w:b w:val="0"/>
                <w:i w:val="0"/>
                <w:color w:val="142233"/>
                <w:sz w:val="19"/>
              </w:rPr>
              <w:t xml:space="preserve"> Financial-sector degradation during a concurrent energy or port disruption extends restoration timelines rather than shortening them.</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 AI Infrastructure Hardening / Supply Chain</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Healthcare/DIB:</w:t>
            </w:r>
            <w:r>
              <w:rPr>
                <w:rFonts w:ascii="Georgia" w:hAnsi="Georgia"/>
                <w:b w:val="0"/>
                <w:i w:val="0"/>
                <w:color w:val="142233"/>
                <w:sz w:val="19"/>
              </w:rPr>
              <w:t xml:space="preserve"> No new current-week reporting; continuity exposure from prior weeks stands as carried-forward baseline. </w:t>
            </w:r>
            <w:r>
              <w:rPr>
                <w:rFonts w:ascii="Georgia" w:hAnsi="Georgia"/>
                <w:b/>
                <w:i w:val="0"/>
                <w:color w:val="142233"/>
                <w:sz w:val="19"/>
              </w:rPr>
              <w:t>AI/Data Centers:</w:t>
            </w:r>
            <w:r>
              <w:rPr>
                <w:rFonts w:ascii="Georgia" w:hAnsi="Georgia"/>
                <w:b w:val="0"/>
                <w:i w:val="0"/>
                <w:color w:val="142233"/>
                <w:sz w:val="19"/>
              </w:rPr>
              <w:t xml:space="preserve"> The WSJ reporting explicitly names data centers as a category now facing military-hardening discussion — a cost and governance conversation likely to reach Texas cloud and AI infrastructure operators before most boards expect it. </w:t>
            </w:r>
            <w:r>
              <w:rPr>
                <w:rFonts w:ascii="Georgia" w:hAnsi="Georgia"/>
                <w:b/>
                <w:i w:val="0"/>
                <w:color w:val="142233"/>
                <w:sz w:val="19"/>
              </w:rPr>
              <w:t>Cascade risk:</w:t>
            </w:r>
            <w:r>
              <w:rPr>
                <w:rFonts w:ascii="Georgia" w:hAnsi="Georgia"/>
                <w:b w:val="0"/>
                <w:i w:val="0"/>
                <w:color w:val="142233"/>
                <w:sz w:val="19"/>
              </w:rPr>
              <w:t xml:space="preserve"> A formal hardening standard, once proposed, will move faster through data-center and DIB contracts than through general commercial real estate.</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2 / I&amp;W 1  </w:t>
      </w:r>
      <w:r>
        <w:rPr>
          <w:b/>
          <w:color w:val="142233"/>
          <w:sz w:val="20"/>
        </w:rPr>
        <w:t>U.S. primary-source corroboration of Iranian cyber intensification</w:t>
      </w:r>
      <w:r>
        <w:rPr>
          <w:i/>
          <w:color w:val="7A5A1E"/>
          <w:sz w:val="18"/>
        </w:rPr>
        <w:t xml:space="preserve">   [↑ Rising]</w:t>
      </w:r>
    </w:p>
    <w:p>
      <w:pPr>
        <w:spacing w:after="40"/>
        <w:ind w:left="283"/>
      </w:pPr>
      <w:r>
        <w:rPr>
          <w:color w:val="142233"/>
          <w:sz w:val="19"/>
        </w:rPr>
        <w:t>→ Watch for a CISA, FBI, or NSA advisory, or a named-victim disclosure, corroborating the Israeli-reported rise in Iranian cyber activity.</w:t>
      </w:r>
    </w:p>
    <w:p>
      <w:pPr>
        <w:spacing w:after="40"/>
        <w:ind w:left="283"/>
      </w:pPr>
      <w:r>
        <w:rPr>
          <w:color w:val="142233"/>
          <w:sz w:val="19"/>
        </w:rPr>
        <w:t>→ Would justify raising KJ-1 from MODERATE to HIGH confidence.</w:t>
      </w:r>
    </w:p>
    <w:p>
      <w:pPr>
        <w:spacing w:after="40"/>
        <w:ind w:left="283"/>
      </w:pPr>
      <w:r>
        <w:rPr>
          <w:color w:val="142233"/>
          <w:sz w:val="19"/>
        </w:rPr>
        <w:t>→ Tied to: PIR 2, cross-sector cyber and operational risk.</w:t>
      </w:r>
    </w:p>
    <w:p>
      <w:pPr>
        <w:spacing w:before="160" w:after="40"/>
      </w:pPr>
      <w:r>
        <w:rPr>
          <w:b/>
          <w:color w:val="1F5C8C"/>
          <w:sz w:val="18"/>
        </w:rPr>
        <w:t xml:space="preserve">PIR 1 / I&amp;W 2  </w:t>
      </w:r>
      <w:r>
        <w:rPr>
          <w:b/>
          <w:color w:val="142233"/>
          <w:sz w:val="20"/>
        </w:rPr>
        <w:t>Confirmed compromise of a named Texas energy, water, or port operator</w:t>
      </w:r>
      <w:r>
        <w:rPr>
          <w:i/>
          <w:color w:val="7A5A1E"/>
          <w:sz w:val="18"/>
        </w:rPr>
        <w:t xml:space="preserve">   [→ Sustained]</w:t>
      </w:r>
    </w:p>
    <w:p>
      <w:pPr>
        <w:spacing w:after="40"/>
        <w:ind w:left="283"/>
      </w:pPr>
      <w:r>
        <w:rPr>
          <w:color w:val="142233"/>
          <w:sz w:val="19"/>
        </w:rPr>
        <w:t>→ Watch for breach disclosures, SEC 8-Ks, or Texas Attorney General filings naming Iranian attribution against Texas-region infrastructure.</w:t>
      </w:r>
    </w:p>
    <w:p>
      <w:pPr>
        <w:spacing w:after="40"/>
        <w:ind w:left="283"/>
      </w:pPr>
      <w:r>
        <w:rPr>
          <w:color w:val="142233"/>
          <w:sz w:val="19"/>
        </w:rPr>
        <w:t>→ Would confirm the acceleration judgment is manifesting locally rather than remaining a foreign-reporting inference.</w:t>
      </w:r>
    </w:p>
    <w:p>
      <w:pPr>
        <w:spacing w:after="40"/>
        <w:ind w:left="283"/>
      </w:pPr>
      <w:r>
        <w:rPr>
          <w:color w:val="142233"/>
          <w:sz w:val="19"/>
        </w:rPr>
        <w:t>→ Tied to: PIR 1, nation-state targeting of Texas critical infrastructure.</w:t>
      </w:r>
    </w:p>
    <w:p>
      <w:pPr>
        <w:spacing w:before="160" w:after="40"/>
      </w:pPr>
      <w:r>
        <w:rPr>
          <w:b/>
          <w:color w:val="1F5C8C"/>
          <w:sz w:val="18"/>
        </w:rPr>
        <w:t xml:space="preserve">PIR 3 / I&amp;W 3  </w:t>
      </w:r>
      <w:r>
        <w:rPr>
          <w:b/>
          <w:color w:val="142233"/>
          <w:sz w:val="20"/>
        </w:rPr>
        <w:t>Collapse of the Doha talks track or a new Hormuz incident</w:t>
      </w:r>
      <w:r>
        <w:rPr>
          <w:i/>
          <w:color w:val="7A5A1E"/>
          <w:sz w:val="18"/>
        </w:rPr>
        <w:t xml:space="preserve">   [→ Sustained]</w:t>
      </w:r>
    </w:p>
    <w:p>
      <w:pPr>
        <w:spacing w:after="40"/>
        <w:ind w:left="283"/>
      </w:pPr>
      <w:r>
        <w:rPr>
          <w:color w:val="142233"/>
          <w:sz w:val="19"/>
        </w:rPr>
        <w:t>→ Watch for a formal breakdown of U.S.-Iran negotiations, a new shipping incident, or a further escalation of the Hormuz threat classification.</w:t>
      </w:r>
    </w:p>
    <w:p>
      <w:pPr>
        <w:spacing w:after="40"/>
        <w:ind w:left="283"/>
      </w:pPr>
      <w:r>
        <w:rPr>
          <w:color w:val="142233"/>
          <w:sz w:val="19"/>
        </w:rPr>
        <w:t>→ Would shift Liberty CTI’s posture from divergence monitoring toward direct crisis preparation guidance for Gulf-exposed sectors.</w:t>
      </w:r>
    </w:p>
    <w:p>
      <w:pPr>
        <w:spacing w:after="40"/>
        <w:ind w:left="283"/>
      </w:pPr>
      <w:r>
        <w:rPr>
          <w:color w:val="142233"/>
          <w:sz w:val="19"/>
        </w:rPr>
        <w:t>→ Tied to: PIR 3 and PIR 7, escalation indicators and geopolitical-cyber acceleration.</w:t>
      </w:r>
    </w:p>
    <w:p>
      <w:pPr>
        <w:spacing w:before="160" w:after="40"/>
      </w:pPr>
      <w:r>
        <w:rPr>
          <w:b/>
          <w:color w:val="1F5C8C"/>
          <w:sz w:val="18"/>
        </w:rPr>
        <w:t xml:space="preserve">PIR 6 / I&amp;W 4  </w:t>
      </w:r>
      <w:r>
        <w:rPr>
          <w:b/>
          <w:color w:val="142233"/>
          <w:sz w:val="20"/>
        </w:rPr>
        <w:t>U.S. regulatory movement on infrastructure-hardening standards</w:t>
      </w:r>
      <w:r>
        <w:rPr>
          <w:i/>
          <w:color w:val="7A5A1E"/>
          <w:sz w:val="18"/>
        </w:rPr>
        <w:t xml:space="preserve">   [↑ Rising]</w:t>
      </w:r>
    </w:p>
    <w:p>
      <w:pPr>
        <w:spacing w:after="40"/>
        <w:ind w:left="283"/>
      </w:pPr>
      <w:r>
        <w:rPr>
          <w:color w:val="142233"/>
          <w:sz w:val="19"/>
        </w:rPr>
        <w:t>→ Watch for federal agency guidance, legislation, or insurance-industry action responding to the corporate-infrastructure-as-military-target trend named in WSJ reporting.</w:t>
      </w:r>
    </w:p>
    <w:p>
      <w:pPr>
        <w:spacing w:after="40"/>
        <w:ind w:left="283"/>
      </w:pPr>
      <w:r>
        <w:rPr>
          <w:color w:val="142233"/>
          <w:sz w:val="19"/>
        </w:rPr>
        <w:t>→ Would convert this week’s trend reporting into a concrete compliance obligation for Texas data center, energy, and port operators.</w:t>
      </w:r>
    </w:p>
    <w:p>
      <w:pPr>
        <w:spacing w:after="40"/>
        <w:ind w:left="283"/>
      </w:pPr>
      <w:r>
        <w:rPr>
          <w:color w:val="142233"/>
          <w:sz w:val="19"/>
        </w:rPr>
        <w:t>→ Tied to: PIR 6, executive decision-relevant warning.</w:t>
      </w:r>
    </w:p>
    <w:p>
      <w:pPr>
        <w:spacing w:before="160" w:after="40"/>
      </w:pPr>
      <w:r>
        <w:rPr>
          <w:b/>
          <w:color w:val="1F5C8C"/>
          <w:sz w:val="18"/>
        </w:rPr>
        <w:t xml:space="preserve">PIR 5 / I&amp;W 5  </w:t>
      </w:r>
      <w:r>
        <w:rPr>
          <w:b/>
          <w:color w:val="142233"/>
          <w:sz w:val="20"/>
        </w:rPr>
        <w:t>Additional Ukrainian strikes causing a confirmed Russian fuel shock</w:t>
      </w:r>
      <w:r>
        <w:rPr>
          <w:i/>
          <w:color w:val="7A5A1E"/>
          <w:sz w:val="18"/>
        </w:rPr>
        <w:t xml:space="preserve">   [→ Sustained]</w:t>
      </w:r>
    </w:p>
    <w:p>
      <w:pPr>
        <w:spacing w:after="40"/>
        <w:ind w:left="283"/>
      </w:pPr>
      <w:r>
        <w:rPr>
          <w:color w:val="142233"/>
          <w:sz w:val="19"/>
        </w:rPr>
        <w:t>→ Watch for fuel rationing expanding beyond currently affected Russian regions, or a confirmed nationwide shortage event.</w:t>
      </w:r>
    </w:p>
    <w:p>
      <w:pPr>
        <w:spacing w:after="40"/>
        <w:ind w:left="283"/>
      </w:pPr>
      <w:r>
        <w:rPr>
          <w:color w:val="142233"/>
          <w:sz w:val="19"/>
        </w:rPr>
        <w:t>→ Would raise confidence that Russia's retaliation incentive is intensifying beyond the standing MODERATE-confidence baseline in KJ-2.</w:t>
      </w:r>
    </w:p>
    <w:p>
      <w:pPr>
        <w:spacing w:after="40"/>
        <w:ind w:left="283"/>
      </w:pPr>
      <w:r>
        <w:rPr>
          <w:color w:val="142233"/>
          <w:sz w:val="19"/>
        </w:rPr>
        <w:t>→ Tied to: PIR 5, strategic vulnerability exposure across critical infrastructure.</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diplomatic progress on the Iran track is allowed to quietly lower OT isolation posture or vendor-access scrutiny put in place after the June 25–26 Hormuz exchange.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CEO / COO / CISO / General Counsel.</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diplomatic-good-news cycle creates false reassurance while the cyber track moves independently — the gap is discovered only after an incident, at which point the relaxed posture becomes the central exhibit in any regulatory or litigation review.</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Confirm OT isolation and vendor-disconnection authority remains active regardless of diplomatic headlines. Do not let a ceasefire signal trigger a posture downgrade without an explicit, documented decision to do so.</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VPN and remote-access logs, OT exposure inventories, vendor access records, and any decision to maintain or relax isolation posture this week, with the rationale documented.</w:t>
            </w:r>
          </w:p>
        </w:tc>
      </w:tr>
    </w:tbl>
    <w:p>
      <w:pPr>
        <w:spacing w:after="120"/>
      </w:pP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 (KJ-1, ATB-2026-16)</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Iranian PLC/HMI campaign against U.S. water, energy, and government targets likely accelerating following the June 25–26 Hormuz strikes.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Partially corroborated. Israeli official reporting supports intensification; source is single, foreign, and non-U.S.-government. Confidence held at MODERATE, unchanged.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 (KJ-2, ATB-2026-16)</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Russia’s fuel crisis likely raising cyber-enabled collection and retaliation-signaling incentive against Western energy and logistics targets.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Trend continues (4 July St. Petersburg/Vysotsk strike); no new cyber-specific evidence this week. Confidence held at MODERATE, unchanged.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This week’s new development was diplomatic, not kinetic or cyber: advancing Doha talks and the WSJ corporate-infrastructure-targeting trend. Neither prior judgment was superseded; both were tested and held.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U.S. primary-source advisory corroborating Iranian cyber intensification, a confirmed Texas-named victim, collapse of the Doha talks, or new federal action on infrastructure-hardening standards would each move this assessment.</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ATB-2026-17 — COVERAGE WEEK 28 JUNE–4 JULY 2026 AND CONTINUING BASELINE</w:t>
      </w:r>
    </w:p>
    <w:p>
      <w:pPr>
        <w:spacing w:before="120" w:after="20"/>
      </w:pPr>
      <w:r>
        <w:rPr>
          <w:rFonts w:ascii="Calibri" w:hAnsi="Calibri"/>
          <w:b/>
          <w:color w:val="7A5A1E"/>
          <w:sz w:val="15"/>
        </w:rPr>
        <w:t>GOVERNMENT / REGULATORY</w:t>
        <w:br/>
      </w:r>
      <w:r>
        <w:rPr>
          <w:b/>
          <w:color w:val="142233"/>
          <w:sz w:val="20"/>
        </w:rPr>
        <w:t>CISA/EPA/FBI/NSA — Joint Advisory: Iranian-Affiliated Cyber Attacks on U.S. Critical Infrastructure (AA26-097A)</w:t>
      </w:r>
    </w:p>
    <w:p>
      <w:pPr>
        <w:spacing w:after="20"/>
      </w:pPr>
      <w:hyperlink r:id="rId11">
        <w:r>
          <w:rPr>
            <w:color w:val="1F5C8C"/>
            <w:u w:val="single"/>
            <w:sz w:val="17"/>
            <w:rFonts w:ascii="Consolas"/>
          </w:rPr>
          <w:t>cisa.gov/news-events/cybersecurity-advisories</w:t>
        </w:r>
      </w:hyperlink>
    </w:p>
    <w:p>
      <w:pPr>
        <w:spacing w:after="40"/>
      </w:pPr>
      <w:r>
        <w:rPr>
          <w:i/>
          <w:color w:val="5C5C5C"/>
          <w:sz w:val="17"/>
        </w:rPr>
        <w:t>Published 7 April 2026. Carried-forward primary basis for the Iranian PLC/HMI campaign referenced in KJ-1.</w:t>
      </w:r>
    </w:p>
    <w:p>
      <w:pPr>
        <w:spacing w:before="120" w:after="20"/>
      </w:pPr>
      <w:r>
        <w:rPr>
          <w:rFonts w:ascii="Calibri" w:hAnsi="Calibri"/>
          <w:b/>
          <w:color w:val="7A5A1E"/>
          <w:sz w:val="15"/>
        </w:rPr>
        <w:t>WIRE / MAJOR MEDIA</w:t>
        <w:br/>
      </w:r>
      <w:r>
        <w:rPr>
          <w:b/>
          <w:color w:val="142233"/>
          <w:sz w:val="20"/>
        </w:rPr>
        <w:t>NPR — U.S. and Iran hold separate meetings in Qatar and agree to continue discussions</w:t>
      </w:r>
    </w:p>
    <w:p>
      <w:pPr>
        <w:spacing w:after="20"/>
      </w:pPr>
      <w:hyperlink r:id="rId12">
        <w:r>
          <w:rPr>
            <w:color w:val="1F5C8C"/>
            <w:u w:val="single"/>
            <w:sz w:val="17"/>
            <w:rFonts w:ascii="Consolas"/>
          </w:rPr>
          <w:t>npr.org/2026/07/02/nx-s1-5878887/us-iran-meetings-qatar</w:t>
        </w:r>
      </w:hyperlink>
    </w:p>
    <w:p>
      <w:pPr>
        <w:spacing w:after="40"/>
      </w:pPr>
      <w:r>
        <w:rPr>
          <w:i/>
          <w:color w:val="5C5C5C"/>
          <w:sz w:val="17"/>
        </w:rPr>
        <w:t>2 July 2026. Cited for Doha talks progress and Joint Hormuz Committee formation.</w:t>
      </w:r>
    </w:p>
    <w:p>
      <w:pPr>
        <w:spacing w:before="120" w:after="20"/>
      </w:pPr>
      <w:r>
        <w:rPr>
          <w:rFonts w:ascii="Calibri" w:hAnsi="Calibri"/>
          <w:b/>
          <w:color w:val="7A5A1E"/>
          <w:sz w:val="15"/>
        </w:rPr>
        <w:t>MAJOR MEDIA (FOREIGN, PRIMARY INTERVIEW)</w:t>
        <w:br/>
      </w:r>
      <w:r>
        <w:rPr>
          <w:b/>
          <w:color w:val="142233"/>
          <w:sz w:val="20"/>
        </w:rPr>
        <w:t>WELT — Interview with Israel’s cyber chief</w:t>
      </w:r>
    </w:p>
    <w:p>
      <w:pPr>
        <w:spacing w:after="20"/>
      </w:pPr>
      <w:hyperlink r:id="rId13">
        <w:r>
          <w:rPr>
            <w:color w:val="1F5C8C"/>
            <w:u w:val="single"/>
            <w:sz w:val="17"/>
            <w:rFonts w:ascii="Consolas"/>
          </w:rPr>
          <w:t>welt.de</w:t>
        </w:r>
      </w:hyperlink>
    </w:p>
    <w:p>
      <w:pPr>
        <w:spacing w:after="40"/>
      </w:pPr>
      <w:r>
        <w:rPr>
          <w:i/>
          <w:color w:val="5C5C5C"/>
          <w:sz w:val="17"/>
        </w:rPr>
        <w:t>30 June 2026. Single-sourced official claim; treated as MODERATE reliability per standing sourcing standards. Cited for Iranian cyber-intensification claim only.</w:t>
      </w:r>
    </w:p>
    <w:p>
      <w:pPr>
        <w:spacing w:before="120" w:after="20"/>
      </w:pPr>
      <w:r>
        <w:rPr>
          <w:rFonts w:ascii="Calibri" w:hAnsi="Calibri"/>
          <w:b/>
          <w:color w:val="7A5A1E"/>
          <w:sz w:val="15"/>
        </w:rPr>
        <w:t>WIRE / MAJOR MEDIA</w:t>
        <w:br/>
      </w:r>
      <w:r>
        <w:rPr>
          <w:b/>
          <w:color w:val="142233"/>
          <w:sz w:val="20"/>
        </w:rPr>
        <w:t>Associated Press — Ukrainian drones hit St Petersburg oil terminal in latest long-range attack on Russia</w:t>
      </w:r>
    </w:p>
    <w:p>
      <w:pPr>
        <w:spacing w:after="20"/>
      </w:pPr>
      <w:hyperlink r:id="rId14">
        <w:r>
          <w:rPr>
            <w:color w:val="1F5C8C"/>
            <w:u w:val="single"/>
            <w:sz w:val="17"/>
            <w:rFonts w:ascii="Consolas"/>
          </w:rPr>
          <w:t>apnews.com/article/c95b97c0ab5ca8d06050f09e54ea69a9</w:t>
        </w:r>
      </w:hyperlink>
    </w:p>
    <w:p>
      <w:pPr>
        <w:spacing w:after="40"/>
      </w:pPr>
      <w:r>
        <w:rPr>
          <w:i/>
          <w:color w:val="5C5C5C"/>
          <w:sz w:val="17"/>
        </w:rPr>
        <w:t>4 July 2026. Cited for the St. Petersburg/Vysotsk strike and continuing Russian fuel-rationing context.</w:t>
      </w:r>
    </w:p>
    <w:p>
      <w:pPr>
        <w:spacing w:before="120" w:after="20"/>
      </w:pPr>
      <w:r>
        <w:rPr>
          <w:rFonts w:ascii="Calibri" w:hAnsi="Calibri"/>
          <w:b/>
          <w:color w:val="7A5A1E"/>
          <w:sz w:val="15"/>
        </w:rPr>
        <w:t>BUSINESS / NATIONAL SECURITY PRESS</w:t>
        <w:br/>
      </w:r>
      <w:r>
        <w:rPr>
          <w:b/>
          <w:color w:val="142233"/>
          <w:sz w:val="20"/>
        </w:rPr>
        <w:t>Wall Street Journal — Wars Are Blurring Lines Between Corporate and National Security</w:t>
      </w:r>
    </w:p>
    <w:p>
      <w:pPr>
        <w:spacing w:after="20"/>
      </w:pPr>
      <w:hyperlink r:id="rId15">
        <w:r>
          <w:rPr>
            <w:color w:val="1F5C8C"/>
            <w:u w:val="single"/>
            <w:sz w:val="17"/>
            <w:rFonts w:ascii="Consolas"/>
          </w:rPr>
          <w:t>wsj.com/politics/national-security/wars-are-blurring-lines-between-corporate-and-national-security-75d8daca</w:t>
        </w:r>
      </w:hyperlink>
    </w:p>
    <w:p>
      <w:pPr>
        <w:spacing w:after="40"/>
      </w:pPr>
      <w:r>
        <w:rPr>
          <w:i/>
          <w:color w:val="5C5C5C"/>
          <w:sz w:val="17"/>
        </w:rPr>
        <w:t>4 July 2026. Cited for the corporate-infrastructure-as-military-target trend basis of KJ-3. Broad trend synthesis, not Texas-specific.</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cisa.gov/news-events/cybersecurity-advisories" TargetMode="External"/><Relationship Id="rId12" Type="http://schemas.openxmlformats.org/officeDocument/2006/relationships/hyperlink" Target="https://www.npr.org/2026/07/02/nx-s1-5878887/us-iran-meetings-qatar" TargetMode="External"/><Relationship Id="rId13" Type="http://schemas.openxmlformats.org/officeDocument/2006/relationships/hyperlink" Target="https://www.welt.de/" TargetMode="External"/><Relationship Id="rId14" Type="http://schemas.openxmlformats.org/officeDocument/2006/relationships/hyperlink" Target="https://apnews.com/article/c95b97c0ab5ca8d06050f09e54ea69a9" TargetMode="External"/><Relationship Id="rId15" Type="http://schemas.openxmlformats.org/officeDocument/2006/relationships/hyperlink" Target="https://www.wsj.com/politics/national-security/wars-are-blurring-lines-between-corporate-and-national-security-75d8da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