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9–15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2026-08-15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HORMUZ IS NOW A TEXAS RISK DRIVER</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What specific Hormuz trigger — a price move, an insurance repricing, a further attack pattern — changes our procurement, hedging, shipping, or customer-communication posture?</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validation of how long essential services can run with core systems degraded, using JPS Health Network’s eight-plus-day timeline as a real-world benchmark rather than a hypothetical.</w:t>
      </w:r>
    </w:p>
    <w:p>
      <w:pPr>
        <w:spacing w:before="160" w:after="40"/>
      </w:pPr>
      <w:r>
        <w:rPr>
          <w:b/>
          <w:color w:val="7A5A1E"/>
          <w:sz w:val="20"/>
        </w:rPr>
        <w:t>Board Implications This Week — Document</w:t>
      </w:r>
    </w:p>
    <w:p>
      <w:pPr>
        <w:spacing w:after="40"/>
      </w:pPr>
      <w:r>
        <w:rPr>
          <w:rFonts w:ascii="Georgia" w:hAnsi="Georgia"/>
          <w:b w:val="0"/>
          <w:i w:val="0"/>
          <w:color w:val="142233"/>
          <w:sz w:val="19"/>
        </w:rPr>
        <w:t>Confirm in writing that the DOJ/DHS approval path for federal cyber-operation cooperation requests exists before one arrives, not after.</w:t>
      </w:r>
    </w:p>
    <w:p>
      <w:pPr>
        <w:spacing w:before="160" w:after="40"/>
      </w:pPr>
      <w:r>
        <w:rPr>
          <w:b/>
          <w:color w:val="7A5A1E"/>
          <w:sz w:val="20"/>
        </w:rPr>
        <w:t>Board Implications This Week — Rehearse</w:t>
      </w:r>
    </w:p>
    <w:p>
      <w:pPr>
        <w:spacing w:after="40"/>
      </w:pPr>
      <w:r>
        <w:rPr>
          <w:rFonts w:ascii="Georgia" w:hAnsi="Georgia"/>
          <w:b w:val="0"/>
          <w:i w:val="0"/>
          <w:color w:val="142233"/>
          <w:sz w:val="19"/>
        </w:rPr>
        <w:t>Brief DIB, aerospace, and software personnel on recruitment-channel targeting risk — the access path now runs through legitimate employees’ external job-seeking activity, not just HR intake.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Repeated Tanker Attacks Confirm Hormuz Is a Sustained Condition</w:t>
      </w:r>
    </w:p>
    <w:p>
      <w:pPr>
        <w:spacing w:after="160"/>
      </w:pPr>
      <w:r>
        <w:rPr>
          <w:rFonts w:ascii="Georgia" w:hAnsi="Georgia"/>
          <w:b w:val="0"/>
          <w:i w:val="0"/>
          <w:color w:val="142233"/>
          <w:sz w:val="21"/>
        </w:rPr>
        <w:t xml:space="preserve">Iran struck </w:t>
      </w:r>
      <w:r>
        <w:rPr>
          <w:rFonts w:ascii="Georgia" w:hAnsi="Georgia"/>
          <w:b/>
          <w:i w:val="0"/>
          <w:color w:val="142233"/>
          <w:sz w:val="21"/>
        </w:rPr>
        <w:t>at least three vessels in the Strait of Hormuz this week</w:t>
      </w:r>
      <w:r>
        <w:rPr>
          <w:rFonts w:ascii="Georgia" w:hAnsi="Georgia"/>
          <w:b w:val="0"/>
          <w:i w:val="0"/>
          <w:color w:val="142233"/>
          <w:sz w:val="21"/>
        </w:rPr>
        <w:t>, including two ADNOC-operated (UAE state-owned) tankers hit by drones on 13–14 August, with a further incident reported 15 August. UKMTO advisories confirm commercial shipping traffic remains well below normal under the active U.S. naval blockade of Iran. No casualties were reported. The decision problem is not whether any single Texas asset was struck — none was — it is whether leadership has a pre-defined threshold for when this volatility changes hedging, sourcing, or shipping posture.</w:t>
      </w:r>
    </w:p>
    <w:p>
      <w:pPr>
        <w:spacing w:before="200" w:after="120"/>
      </w:pPr>
      <w:r>
        <w:rPr>
          <w:rFonts w:ascii="Calibri" w:hAnsi="Calibri"/>
          <w:b/>
          <w:color w:val="142233"/>
          <w:sz w:val="23"/>
        </w:rPr>
        <w:t>JPS Health Network Enters Its Second Week of Network Downtime</w:t>
      </w:r>
    </w:p>
    <w:p>
      <w:pPr>
        <w:spacing w:after="160"/>
      </w:pPr>
      <w:r>
        <w:rPr>
          <w:rFonts w:ascii="Georgia" w:hAnsi="Georgia"/>
          <w:b w:val="0"/>
          <w:i w:val="0"/>
          <w:color w:val="142233"/>
          <w:sz w:val="21"/>
        </w:rPr>
        <w:t xml:space="preserve">Fort Worth’s </w:t>
      </w:r>
      <w:r>
        <w:rPr>
          <w:rFonts w:ascii="Georgia" w:hAnsi="Georgia"/>
          <w:b/>
          <w:i w:val="0"/>
          <w:color w:val="142233"/>
          <w:sz w:val="21"/>
        </w:rPr>
        <w:t>JPS Health Network</w:t>
      </w:r>
      <w:r>
        <w:rPr>
          <w:rFonts w:ascii="Georgia" w:hAnsi="Georgia"/>
          <w:b w:val="0"/>
          <w:i w:val="0"/>
          <w:color w:val="142233"/>
          <w:sz w:val="21"/>
        </w:rPr>
        <w:t xml:space="preserve"> — a 582-bed hospital and 25-plus community clinics serving Tarrant County — has operated under manual downtime procedures since detecting suspicious activity in its technology environment on 3 August. As of this week, the outage has persisted beyond a week, with patients filing paper intake forms and facing medication-refill delays. JPS has not confirmed a cybersecurity cause; Liberty CTI does not attribute the outage to malicious activity absent that confirmation. The executive lesson stands regardless of cause: prolonged digital degradation creates patient-care and legal decisions well before attribution is resolved.</w:t>
      </w:r>
    </w:p>
    <w:p>
      <w:pPr>
        <w:spacing w:before="200" w:after="120"/>
      </w:pPr>
      <w:r>
        <w:rPr>
          <w:rFonts w:ascii="Calibri" w:hAnsi="Calibri"/>
          <w:b/>
          <w:color w:val="142233"/>
          <w:sz w:val="23"/>
        </w:rPr>
        <w:t>DPRK Recruitment Campaign Reaches Federally Confirmed Status</w:t>
      </w:r>
    </w:p>
    <w:p>
      <w:pPr>
        <w:spacing w:after="160"/>
      </w:pPr>
      <w:r>
        <w:rPr>
          <w:rFonts w:ascii="Georgia" w:hAnsi="Georgia"/>
          <w:b w:val="0"/>
          <w:i w:val="0"/>
          <w:color w:val="142233"/>
          <w:sz w:val="21"/>
        </w:rPr>
        <w:t xml:space="preserve">North Korea’s Lazarus Group has escalated its recruitment-based targeting of defense and aerospace personnel to </w:t>
      </w:r>
      <w:r>
        <w:rPr>
          <w:rFonts w:ascii="Georgia" w:hAnsi="Georgia"/>
          <w:b/>
          <w:i w:val="0"/>
          <w:color w:val="142233"/>
          <w:sz w:val="21"/>
        </w:rPr>
        <w:t>federally confirmed active exploitation</w:t>
      </w:r>
      <w:r>
        <w:rPr>
          <w:rFonts w:ascii="Georgia" w:hAnsi="Georgia"/>
          <w:b w:val="0"/>
          <w:i w:val="0"/>
          <w:color w:val="142233"/>
          <w:sz w:val="21"/>
        </w:rPr>
        <w:t xml:space="preserve"> — this week’s development moves the campaign from single-vendor reporting to confirmation by Microsoft and inclusion in the federal Known Exploited Vulnerabilities catalog, with a federal patch deadline set for 25 August. Confirmed targeting spans defense, aerospace, and related technical personnel. Texas’s aerospace and cloud/AI talent concentration keeps this a live exposure for the state’s DIB and software-engineering base.</w:t>
      </w:r>
    </w:p>
    <w:p>
      <w:pPr>
        <w:spacing w:before="200" w:after="120"/>
      </w:pPr>
      <w:r>
        <w:rPr>
          <w:rFonts w:ascii="Calibri" w:hAnsi="Calibri"/>
          <w:b/>
          <w:color w:val="142233"/>
          <w:sz w:val="23"/>
        </w:rPr>
        <w:t>White House Authorizes Private-Sector Participation in Federal Cyber Operations</w:t>
      </w:r>
    </w:p>
    <w:p>
      <w:pPr>
        <w:spacing w:after="160"/>
      </w:pPr>
      <w:r>
        <w:rPr>
          <w:rFonts w:ascii="Georgia" w:hAnsi="Georgia"/>
          <w:b w:val="0"/>
          <w:i w:val="0"/>
          <w:color w:val="142233"/>
          <w:sz w:val="21"/>
        </w:rPr>
        <w:t xml:space="preserve">On </w:t>
      </w:r>
      <w:r>
        <w:rPr>
          <w:rFonts w:ascii="Georgia" w:hAnsi="Georgia"/>
          <w:b/>
          <w:i w:val="0"/>
          <w:color w:val="142233"/>
          <w:sz w:val="21"/>
        </w:rPr>
        <w:t>12 August</w:t>
      </w:r>
      <w:r>
        <w:rPr>
          <w:rFonts w:ascii="Georgia" w:hAnsi="Georgia"/>
          <w:b w:val="0"/>
          <w:i w:val="0"/>
          <w:color w:val="142233"/>
          <w:sz w:val="21"/>
        </w:rPr>
        <w:t>, the White House signed a National Security Presidential Memorandum directing the Homeland Security Task Force’s National Coordination Center — run by two Executive Directors from DOJ and DHS — to establish a program allowing vetted private companies to participate in specifically authorized federal cyber operations against transnational criminal organizations. Participating companies enter contractual agreements directly with DOJ or DHS. This is a governance and legal-authority change, not a new adversary threat; it directly affects any organization that could plausibly receive a federal cooperation request.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that attacks on UAE-operated tankers in the Strait of Hormuz materially increase near-term energy-price, shipping, insurance, and supply-chain volatility. Texas is partially insulated as a major oil, gas, refining, petrochemical, and LNG producer, but Texas firms remain exposed to global pricing, tanker availability, marine insurance, imported feedstocks, and customer-market disruption.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UKMTO/JMIC maritime advisories; multi-source wire reporting on the 13–15 August tanker incidents; U.S. naval blockade status. Primary uncertainty: this is a durability judgment, not an attribution judgment — UAE attribution to Iran is a stated government position, not independently confirmed by Liberty CTI.</w:t>
      </w:r>
    </w:p>
    <w:p>
      <w:pPr>
        <w:spacing w:after="120"/>
        <w:ind w:left="283"/>
      </w:pPr>
      <w:r>
        <w:rPr>
          <w:color w:val="7A5A1E"/>
          <w:sz w:val="19"/>
        </w:rPr>
        <w:t>Decision implication: Decision Implication: Energy, refining, petrochemical, and logistics leadership should define the specific Hormuz trigger — price, insurance, or attack-pattern — that changes procurement and hedging posture, rather than waiting for a Texas-direct incident.</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that the JPS Health Network outage is an executive-relevant Texas critical-infrastructure disruption. JPS publicly confirms a network outage and directs patients to alternative communication channels. Cyber causation remains unconfirmed in primary-source reporting; Liberty CTI therefore does not attribute the outage to malicious activity.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JPS public statements and regional press reporting (Fort Worth Report, NBC 5 DFW, WFAA) corroborated across multiple outlets since 3 August. Primary uncertainty: cause is unconfirmed; JPS has stated only that it detected suspicious activity and initiated downtime procedures.</w:t>
      </w:r>
    </w:p>
    <w:p>
      <w:pPr>
        <w:spacing w:after="120"/>
        <w:ind w:left="283"/>
      </w:pPr>
      <w:r>
        <w:rPr>
          <w:color w:val="7A5A1E"/>
          <w:sz w:val="19"/>
        </w:rPr>
        <w:t>Decision implication: Decision Implication: Texas hospital and health-system boards should validate how long essential services can function with EHR, identity, scheduling, and pharmacy systems degraded — JPS's timeline is now a real-world benchmark, not a hypothetical.</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that North Korea is </w:t>
      </w:r>
      <w:r>
        <w:rPr>
          <w:rFonts w:ascii="Georgia" w:hAnsi="Georgia"/>
          <w:b/>
          <w:i w:val="0"/>
          <w:color w:val="142233"/>
          <w:sz w:val="21"/>
        </w:rPr>
        <w:t>very likely</w:t>
      </w:r>
      <w:r>
        <w:rPr>
          <w:rFonts w:ascii="Georgia" w:hAnsi="Georgia"/>
          <w:b w:val="0"/>
          <w:i w:val="0"/>
          <w:color w:val="142233"/>
          <w:sz w:val="21"/>
        </w:rPr>
        <w:t xml:space="preserve"> increasing the sophistication of access operations against defense, aerospace, and software targets, now corroborated by federal confirmation rather than single-vendor reporting alone.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primary vendor threat research on the current Operation Dream Job wave; Microsoft's own confirmation of active exploitation; CISA's addition of the underlying flaw to its Known Exploited Vulnerabilities catalog with a 25 August federal remediation deadline. Primary uncertainty: full victim scope and any Texas-specific targeting remain unconfirmed in open reporting.</w:t>
      </w:r>
    </w:p>
    <w:p>
      <w:pPr>
        <w:spacing w:after="120"/>
        <w:ind w:left="283"/>
      </w:pPr>
      <w:r>
        <w:rPr>
          <w:color w:val="7A5A1E"/>
          <w:sz w:val="19"/>
        </w:rPr>
        <w:t>Decision implication: Decision Implication: DIB, aerospace, and software-engineering leadership should brief technical personnel on recruitment-channel targeting risk and confirm patch-management cadence is current as standing practice, not a one-time check.</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that the new White House transnational-crime cyber framework will likely increase government-private sector operational interaction during major cyber investigations and disruption campaigns.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White House National Security Presidential Memorandum and accompanying fact sheet, 12 August 2026. Primary uncertainty: how broadly the program will be implemented, and whether adversarial states will distinguish participating firms from U.S. government operators.</w:t>
      </w:r>
    </w:p>
    <w:p>
      <w:pPr>
        <w:spacing w:after="120"/>
        <w:ind w:left="283"/>
      </w:pPr>
      <w:r>
        <w:rPr>
          <w:color w:val="7A5A1E"/>
          <w:sz w:val="19"/>
        </w:rPr>
        <w:t>Decision implication: Decision Implication: CEOs and General Counsel should confirm, in writing, who can approve cooperation with a DOJ/DHS-run federal cyber-operation request before one arrives — no technical team should have standing authority to agree independently.</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is the active U.S.-Iran war, ongoing since 28 February 2026, which has moved from a distant conflict to a direct driver of global energy-market volatility through repeated Hormuz tanker attacks. Layered onto that is DPRK sanctions-evasion and revenue-generation activity via recruitment-based intrusion, and a structural U.S. policy shift toward deeper government-private sector integration in cyber operations. Russia remains a standing watch item: Liberty CTI's baseline holds that Russia has demonstrated both the access (GRU-linked router and telecom compromise, April 2026) and the destructive intent (the Poland energy-sector wiper campaign, December 2025) this pattern would require, and Russia may open its 2026–27 winter energy-strike campaign against Ukraine early, around Ukraine's 24 August Independence Day. No new indicator this week ties that baseline directly to Texas.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energy asset has been struck, and no Texas healthcare system beyond JPS has reported comparable disruption. That is not the same as Texas being unexposed. Hormuz volatility reaches every Texas refiner, petrochemical operator, and logistics firm through pricing and insurance regardless of where the attacks occur. JPS demonstrates that a prolonged outage can degrade a major Texas public-health system for over a week before any cause is confirmed — a timeline every Texas hospital board should treat as plausible for its own operations, not exceptional.</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Hormuz / Refining / LNG</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Hormuz is now the primary external cascade driver for Texas energy. Repeated tanker attacks move crude and LNG prices, marine insurance, and freight rates in ways that affect refinery economics and customer demand even without any direct Texas incident. </w:t>
            </w:r>
            <w:r>
              <w:rPr>
                <w:rFonts w:ascii="Georgia" w:hAnsi="Georgia"/>
                <w:b/>
                <w:i w:val="0"/>
                <w:color w:val="142233"/>
                <w:sz w:val="19"/>
              </w:rPr>
              <w:t>Why it matters locally:</w:t>
            </w:r>
            <w:r>
              <w:rPr>
                <w:rFonts w:ascii="Georgia" w:hAnsi="Georgia"/>
                <w:b w:val="0"/>
                <w:i w:val="0"/>
                <w:color w:val="142233"/>
                <w:sz w:val="19"/>
              </w:rPr>
              <w:t xml:space="preserve"> Texas producers may see upside from higher prices; refiners, petrochemical firms, and logistics operators face higher costs and volatility regardless. </w:t>
            </w:r>
            <w:r>
              <w:rPr>
                <w:rFonts w:ascii="Georgia" w:hAnsi="Georgia"/>
                <w:b/>
                <w:i w:val="0"/>
                <w:color w:val="142233"/>
                <w:sz w:val="19"/>
              </w:rPr>
              <w:t>Cascade risk:</w:t>
            </w:r>
            <w:r>
              <w:rPr>
                <w:rFonts w:ascii="Georgia" w:hAnsi="Georgia"/>
                <w:b w:val="0"/>
                <w:i w:val="0"/>
                <w:color w:val="142233"/>
                <w:sz w:val="19"/>
              </w:rPr>
              <w:t xml:space="preserve"> Price and insurance volatility reaches trade financing, customer contracts, and capital planning within days.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Trade Financing / Counterparty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Exposure is largely second-order — trade financing, marine insurance, and counterparty risk tied to energy-market volatility will move faster than any cyber telemetry would. </w:t>
            </w:r>
            <w:r>
              <w:rPr>
                <w:rFonts w:ascii="Georgia" w:hAnsi="Georgia"/>
                <w:b/>
                <w:i w:val="0"/>
                <w:color w:val="142233"/>
                <w:sz w:val="19"/>
              </w:rPr>
              <w:t>Why it matters locally:</w:t>
            </w:r>
            <w:r>
              <w:rPr>
                <w:rFonts w:ascii="Georgia" w:hAnsi="Georgia"/>
                <w:b w:val="0"/>
                <w:i w:val="0"/>
                <w:color w:val="142233"/>
                <w:sz w:val="19"/>
              </w:rPr>
              <w:t xml:space="preserve"> The new federal transnational-crime cyber framework creates a direct governance question for banks and payment processors specifically, since they are among the institutions most likely to receive a cooperation request. </w:t>
            </w:r>
            <w:r>
              <w:rPr>
                <w:rFonts w:ascii="Georgia" w:hAnsi="Georgia"/>
                <w:b/>
                <w:i w:val="0"/>
                <w:color w:val="142233"/>
                <w:sz w:val="19"/>
              </w:rPr>
              <w:t>Cascade risk:</w:t>
            </w:r>
            <w:r>
              <w:rPr>
                <w:rFonts w:ascii="Georgia" w:hAnsi="Georgia"/>
                <w:b w:val="0"/>
                <w:i w:val="0"/>
                <w:color w:val="142233"/>
                <w:sz w:val="19"/>
              </w:rPr>
              <w:t xml:space="preserve"> Few institutions currently have a documented approval chain for either exposure.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Continuity / Recruitment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JPS Health Network is the strongest Texas-specific case this week — over a week of manual downtime procedures demonstrating that prolonged digital degradation creates patient-care and legal decisions well before attribution is confirmed. </w:t>
            </w:r>
            <w:r>
              <w:rPr>
                <w:rFonts w:ascii="Georgia" w:hAnsi="Georgia"/>
                <w:b/>
                <w:i w:val="0"/>
                <w:color w:val="142233"/>
                <w:sz w:val="19"/>
              </w:rPr>
              <w:t>DIB:</w:t>
            </w:r>
            <w:r>
              <w:rPr>
                <w:rFonts w:ascii="Georgia" w:hAnsi="Georgia"/>
                <w:b w:val="0"/>
                <w:i w:val="0"/>
                <w:color w:val="142233"/>
                <w:sz w:val="19"/>
              </w:rPr>
              <w:t xml:space="preserve"> North Korea's recruitment-based targeting of defense and aerospace personnel is now federally confirmed, not just vendor-flagged — sustained pressure on Texas's aerospace, DIB, and software-engineering talent base.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IP-loss and contract-performance pressure.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Additional tanker attacks or a shift in Iran's targeting pattern</w:t>
      </w:r>
      <w:r>
        <w:rPr>
          <w:i/>
          <w:color w:val="7A5A1E"/>
          <w:sz w:val="18"/>
        </w:rPr>
        <w:t xml:space="preserve">   [↑ Rising]</w:t>
      </w:r>
    </w:p>
    <w:p>
      <w:pPr>
        <w:spacing w:after="40"/>
        <w:ind w:left="283"/>
      </w:pPr>
      <w:r>
        <w:rPr>
          <w:color w:val="142233"/>
          <w:sz w:val="19"/>
        </w:rPr>
        <w:t>→ Watch for further Strait of Hormuz incidents, or a shift toward U.S.-flagged or Texas-linked cargo specifically.</w:t>
      </w:r>
    </w:p>
    <w:p>
      <w:pPr>
        <w:spacing w:after="40"/>
        <w:ind w:left="283"/>
      </w:pPr>
      <w:r>
        <w:rPr>
          <w:color w:val="142233"/>
          <w:sz w:val="19"/>
        </w:rPr>
        <w:t>→ Would confirm the Dominant Judgment's durability assessment and raise urgency on the hedging-trigger decision.</w:t>
      </w:r>
    </w:p>
    <w:p>
      <w:pPr>
        <w:spacing w:after="40"/>
        <w:ind w:left="283"/>
      </w:pPr>
      <w:r>
        <w:rPr>
          <w:color w:val="142233"/>
          <w:sz w:val="19"/>
        </w:rPr>
        <w:t>→ Tied to: PIR 3, escalation indicators.</w:t>
      </w:r>
    </w:p>
    <w:p>
      <w:pPr>
        <w:spacing w:before="160" w:after="40"/>
      </w:pPr>
      <w:r>
        <w:rPr>
          <w:b/>
          <w:color w:val="1F5C8C"/>
          <w:sz w:val="18"/>
        </w:rPr>
        <w:t xml:space="preserve">PIR 6 / I&amp;W 2  </w:t>
      </w:r>
      <w:r>
        <w:rPr>
          <w:b/>
          <w:color w:val="142233"/>
          <w:sz w:val="20"/>
        </w:rPr>
        <w:t>Movement in stalled U.S.-Iran ceasefire talks</w:t>
      </w:r>
      <w:r>
        <w:rPr>
          <w:i/>
          <w:color w:val="7A5A1E"/>
          <w:sz w:val="18"/>
        </w:rPr>
        <w:t xml:space="preserve">   [→ Sustained]</w:t>
      </w:r>
    </w:p>
    <w:p>
      <w:pPr>
        <w:spacing w:after="40"/>
        <w:ind w:left="283"/>
      </w:pPr>
      <w:r>
        <w:rPr>
          <w:color w:val="142233"/>
          <w:sz w:val="19"/>
        </w:rPr>
        <w:t>→ Watch for any credible de-escalation signal in ceasefire negotiations.</w:t>
      </w:r>
    </w:p>
    <w:p>
      <w:pPr>
        <w:spacing w:after="40"/>
        <w:ind w:left="283"/>
      </w:pPr>
      <w:r>
        <w:rPr>
          <w:color w:val="142233"/>
          <w:sz w:val="19"/>
        </w:rPr>
        <w:t>→ Would be the clearest signal the Dominant Judgment should soften from High to Moderate confidence.</w:t>
      </w:r>
    </w:p>
    <w:p>
      <w:pPr>
        <w:spacing w:after="40"/>
        <w:ind w:left="283"/>
      </w:pPr>
      <w:r>
        <w:rPr>
          <w:color w:val="142233"/>
          <w:sz w:val="19"/>
        </w:rPr>
        <w:t>→ Tied to: PIR 6, executive decision-relevant warning.</w:t>
      </w:r>
    </w:p>
    <w:p>
      <w:pPr>
        <w:spacing w:before="160" w:after="40"/>
      </w:pPr>
      <w:r>
        <w:rPr>
          <w:b/>
          <w:color w:val="1F5C8C"/>
          <w:sz w:val="18"/>
        </w:rPr>
        <w:t xml:space="preserve">PIR 5 / I&amp;W 3  </w:t>
      </w:r>
      <w:r>
        <w:rPr>
          <w:b/>
          <w:color w:val="142233"/>
          <w:sz w:val="20"/>
        </w:rPr>
        <w:t>JPS attribution outcome, or a second Texas healthcare outage</w:t>
      </w:r>
      <w:r>
        <w:rPr>
          <w:i/>
          <w:color w:val="7A5A1E"/>
          <w:sz w:val="18"/>
        </w:rPr>
        <w:t xml:space="preserve">   [→ Sustained]</w:t>
      </w:r>
    </w:p>
    <w:p>
      <w:pPr>
        <w:spacing w:after="40"/>
        <w:ind w:left="283"/>
      </w:pPr>
      <w:r>
        <w:rPr>
          <w:color w:val="142233"/>
          <w:sz w:val="19"/>
        </w:rPr>
        <w:t>→ Watch for JPS, law enforcement, or a regulator confirming or ruling out a cybersecurity cause, or another Texas health system reporting a comparable prolonged outage.</w:t>
      </w:r>
    </w:p>
    <w:p>
      <w:pPr>
        <w:spacing w:after="40"/>
        <w:ind w:left="283"/>
      </w:pPr>
      <w:r>
        <w:rPr>
          <w:color w:val="142233"/>
          <w:sz w:val="19"/>
        </w:rPr>
        <w:t>→ Would confirm whether this is an isolated case or an emerging Texas healthcare-sector pattern.</w:t>
      </w:r>
    </w:p>
    <w:p>
      <w:pPr>
        <w:spacing w:after="40"/>
        <w:ind w:left="283"/>
      </w:pPr>
      <w:r>
        <w:rPr>
          <w:color w:val="142233"/>
          <w:sz w:val="19"/>
        </w:rPr>
        <w:t>→ Tied to: PIR 5, strategic vulnerability exposure across critical infrastructure.</w:t>
      </w:r>
    </w:p>
    <w:p>
      <w:pPr>
        <w:spacing w:before="160" w:after="40"/>
      </w:pPr>
      <w:r>
        <w:rPr>
          <w:b/>
          <w:color w:val="1F5C8C"/>
          <w:sz w:val="18"/>
        </w:rPr>
        <w:t xml:space="preserve">PIR 1 / I&amp;W 4  </w:t>
      </w:r>
      <w:r>
        <w:rPr>
          <w:b/>
          <w:color w:val="142233"/>
          <w:sz w:val="20"/>
        </w:rPr>
        <w:t>U.S. government attribution or additional confirmed DPRK victims</w:t>
      </w:r>
      <w:r>
        <w:rPr>
          <w:i/>
          <w:color w:val="7A5A1E"/>
          <w:sz w:val="18"/>
        </w:rPr>
        <w:t xml:space="preserve">   [↑ Rising]</w:t>
      </w:r>
    </w:p>
    <w:p>
      <w:pPr>
        <w:spacing w:after="40"/>
        <w:ind w:left="283"/>
      </w:pPr>
      <w:r>
        <w:rPr>
          <w:color w:val="142233"/>
          <w:sz w:val="19"/>
        </w:rPr>
        <w:t>→ Watch for formal U.S. government (not just vendor) attribution on the DPRK recruitment campaign, or additional confirmed defense-sector victims.</w:t>
      </w:r>
    </w:p>
    <w:p>
      <w:pPr>
        <w:spacing w:after="40"/>
        <w:ind w:left="283"/>
      </w:pPr>
      <w:r>
        <w:rPr>
          <w:color w:val="142233"/>
          <w:sz w:val="19"/>
        </w:rPr>
        <w:t>→ Would move this from a federally-confirmed exploitation event to a formally attributed nation-state campaign.</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7 / I&amp;W 5  </w:t>
      </w:r>
      <w:r>
        <w:rPr>
          <w:b/>
          <w:color w:val="142233"/>
          <w:sz w:val="20"/>
        </w:rPr>
        <w:t>Russian strikes on Ukrainian energy infrastructure around 24 August</w:t>
      </w:r>
      <w:r>
        <w:rPr>
          <w:i/>
          <w:color w:val="7A5A1E"/>
          <w:sz w:val="18"/>
        </w:rPr>
        <w:t xml:space="preserve">   [→ Sustained]</w:t>
      </w:r>
    </w:p>
    <w:p>
      <w:pPr>
        <w:spacing w:after="40"/>
        <w:ind w:left="283"/>
      </w:pPr>
      <w:r>
        <w:rPr>
          <w:color w:val="142233"/>
          <w:sz w:val="19"/>
        </w:rPr>
        <w:t>→ Watch for Russian strikes timed to Ukraine's 24 August Independence Day, a possible early opening of the 2026–27 winter strike campaign.</w:t>
      </w:r>
    </w:p>
    <w:p>
      <w:pPr>
        <w:spacing w:after="40"/>
        <w:ind w:left="283"/>
      </w:pPr>
      <w:r>
        <w:rPr>
          <w:color w:val="142233"/>
          <w:sz w:val="19"/>
        </w:rPr>
        <w:t>→ Would raise, not lower, the probability and urgency of Russian cyber retaliation against Western energy and logistics targets — consistent with, not itself confirming, Liberty CTI's standing baseline.</w:t>
      </w:r>
    </w:p>
    <w:p>
      <w:pPr>
        <w:spacing w:after="40"/>
        <w:ind w:left="283"/>
      </w:pPr>
      <w:r>
        <w:rPr>
          <w:color w:val="142233"/>
          <w:sz w:val="19"/>
        </w:rPr>
        <w:t>→ Tied to: PIR 7, geopolitical-cyber acceleration.</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leadership has a pre-defined trigger for when Hormuz-driven volatility changes procurement, hedging, shipping, or customer-communication posture — and, separately, whether critical operations can be validated to run on manual procedures for the length JPS has now demonstrated is realistic.</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COO, CFO, CISO, General Counsel, continuity leadership. For federal cyber-operation cooperation specifically: the program runs through DOJ and DHS via the National Coordination Center — know that before a request arrives, not after.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Being forced to make hedging, sourcing, or continuity decisions live under market pressure instead of against a pre-agreed threshold; discovering during an actual outage that manual-procedure duration assumptions were wrong; unauthorized or legally unprotected cooperation with a federal operational request.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Define the specific Hormuz trigger — price move, insurance repricing, further attack pattern — that changes your posture. For any high-dependency operation, validate how long essential services can run with core systems degraded, using JPS's timeline as a real-world benchmark. Confirm the DOJ/DHS approval path for federal cyber-operation cooperation requests exists in writing. Brief DIB/aerospace/software personnel on recruitment-channel targeting risk.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Hedging and procurement decisions tied to Hormuz triggers; continuity-validation results; any government cooperation request plus counsel review and scope authorization; recruiter-contact records for DIB personnel.</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ATB-2026-22 assessed the water-sector OT campaign's occurrence at High confidence — confirmed operational effects across Michigan and New Jersey — with Iranian affiliation carried as the leading hypothesis at Moderate confidence, explicitly unconfirmed.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Unchanged this issue. No Texas-named victim and no formal U.S. government attribution emerged this week. The active U.S.-Iran war raises the consequence if attribution firms up, but does not itself move confidence on the water-campaign judgment.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dominant movement was not the water-sector campaign. It was the Strait of Hormuz escalating to repeated, confirmed tanker attacks, and JPS Health Network's continuity crisis becoming the strongest current Texas-specific case.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New Dominant Judgment established this issue (Hormuz durability) at High confidence. DPRK judgment moved from Moderate to High confidence following federal (not just vendor) corroboration.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in the water-sector campaign, formal U.S. attribution, a Hormuz de-escalation signal, or JPS attribution confirmation would each move posture in this thread going forward.</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ATB-2026-23 — COVERAGE WEEK 9–15 AUG 2026 AND CONTINUING BASELINE</w:t>
      </w:r>
    </w:p>
    <w:p>
      <w:pPr>
        <w:spacing w:before="120" w:after="20"/>
      </w:pPr>
      <w:r>
        <w:rPr>
          <w:rFonts w:ascii="Calibri" w:hAnsi="Calibri"/>
          <w:b/>
          <w:color w:val="7A5A1E"/>
          <w:sz w:val="15"/>
        </w:rPr>
        <w:t>GOVERNMENT / MARITIME AUTHORITY</w:t>
        <w:br/>
      </w:r>
      <w:r>
        <w:rPr>
          <w:b/>
          <w:color w:val="142233"/>
          <w:sz w:val="20"/>
        </w:rPr>
        <w:t>UKMTO / JMIC — Advisory Note, Strait of Hormuz</w:t>
      </w:r>
    </w:p>
    <w:p>
      <w:pPr>
        <w:spacing w:after="20"/>
      </w:pPr>
      <w:hyperlink r:id="rId11">
        <w:r>
          <w:rPr>
            <w:color w:val="1F5C8C"/>
            <w:u w:val="single"/>
            <w:sz w:val="17"/>
            <w:rFonts w:ascii="Consolas"/>
          </w:rPr>
          <w:t>ukmto.org — JMIC Advisory Note, Update 082</w:t>
        </w:r>
      </w:hyperlink>
    </w:p>
    <w:p>
      <w:pPr>
        <w:spacing w:after="40"/>
      </w:pPr>
      <w:r>
        <w:rPr>
          <w:i/>
          <w:color w:val="5C5C5C"/>
          <w:sz w:val="17"/>
        </w:rPr>
        <w:t>Published within coverage week. Basis for occurrence confirmation on sustained Hormuz shipping disruption and blockade enforcement status.</w:t>
      </w:r>
    </w:p>
    <w:p>
      <w:pPr>
        <w:spacing w:before="120" w:after="20"/>
      </w:pPr>
      <w:r>
        <w:rPr>
          <w:rFonts w:ascii="Calibri" w:hAnsi="Calibri"/>
          <w:b/>
          <w:color w:val="7A5A1E"/>
          <w:sz w:val="15"/>
        </w:rPr>
        <w:t>PRESS / WIRE</w:t>
        <w:br/>
      </w:r>
      <w:r>
        <w:rPr>
          <w:b/>
          <w:color w:val="142233"/>
          <w:sz w:val="20"/>
        </w:rPr>
        <w:t>Associated Press — ADNOC Tanker Attacks, 14–15 August 2026</w:t>
      </w:r>
    </w:p>
    <w:p>
      <w:pPr>
        <w:spacing w:after="20"/>
      </w:pPr>
      <w:hyperlink r:id="rId12">
        <w:r>
          <w:rPr>
            <w:color w:val="1F5C8C"/>
            <w:u w:val="single"/>
            <w:sz w:val="17"/>
            <w:rFonts w:ascii="Consolas"/>
          </w:rPr>
          <w:t>apnews.com — UAE tankers attacked in Strait of Hormuz</w:t>
        </w:r>
      </w:hyperlink>
    </w:p>
    <w:p>
      <w:pPr>
        <w:spacing w:after="40"/>
      </w:pPr>
      <w:r>
        <w:rPr>
          <w:i/>
          <w:color w:val="5C5C5C"/>
          <w:sz w:val="17"/>
        </w:rPr>
        <w:t>Tier 2 wire reporting; corroborated by follow-on 15 August reporting. UAE attribution to Iran presented as an official claim, not independent Liberty CTI attribution.</w:t>
      </w:r>
    </w:p>
    <w:p>
      <w:pPr>
        <w:spacing w:before="120" w:after="20"/>
      </w:pPr>
      <w:r>
        <w:rPr>
          <w:rFonts w:ascii="Calibri" w:hAnsi="Calibri"/>
          <w:b/>
          <w:color w:val="7A5A1E"/>
          <w:sz w:val="15"/>
        </w:rPr>
        <w:t>ORGANIZATION DISCLOSURE</w:t>
        <w:br/>
      </w:r>
      <w:r>
        <w:rPr>
          <w:b/>
          <w:color w:val="142233"/>
          <w:sz w:val="20"/>
        </w:rPr>
        <w:t>JPS Health Network — Public Statements on Network Outage</w:t>
      </w:r>
    </w:p>
    <w:p>
      <w:pPr>
        <w:spacing w:after="20"/>
      </w:pPr>
      <w:hyperlink r:id="rId13">
        <w:r>
          <w:rPr>
            <w:color w:val="1F5C8C"/>
            <w:u w:val="single"/>
            <w:sz w:val="17"/>
            <w:rFonts w:ascii="Consolas"/>
          </w:rPr>
          <w:t>jpshealthnet.org</w:t>
        </w:r>
      </w:hyperlink>
    </w:p>
    <w:p>
      <w:pPr>
        <w:spacing w:after="40"/>
      </w:pPr>
      <w:r>
        <w:rPr>
          <w:i/>
          <w:color w:val="5C5C5C"/>
          <w:sz w:val="17"/>
        </w:rPr>
        <w:t>Tier 1 primary organization disclosure, corroborated by Fort Worth Report, NBC 5 DFW, and WFAA regional reporting since 3 August. Confirms outage and downtime procedures; does not confirm cyber cause.</w:t>
      </w:r>
    </w:p>
    <w:p>
      <w:pPr>
        <w:spacing w:before="120" w:after="20"/>
      </w:pPr>
      <w:r>
        <w:rPr>
          <w:rFonts w:ascii="Calibri" w:hAnsi="Calibri"/>
          <w:b/>
          <w:color w:val="7A5A1E"/>
          <w:sz w:val="15"/>
        </w:rPr>
        <w:t>GOVERNMENT / REGULATORY</w:t>
        <w:br/>
      </w:r>
      <w:r>
        <w:rPr>
          <w:b/>
          <w:color w:val="142233"/>
          <w:sz w:val="20"/>
        </w:rPr>
        <w:t>CISA — Known Exploited Vulnerabilities Catalog</w:t>
      </w:r>
    </w:p>
    <w:p>
      <w:pPr>
        <w:spacing w:after="20"/>
      </w:pPr>
      <w:hyperlink r:id="rId14">
        <w:r>
          <w:rPr>
            <w:color w:val="1F5C8C"/>
            <w:u w:val="single"/>
            <w:sz w:val="17"/>
            <w:rFonts w:ascii="Consolas"/>
          </w:rPr>
          <w:t>cisa.gov/known-exploited-vulnerabilities-catalog</w:t>
        </w:r>
      </w:hyperlink>
    </w:p>
    <w:p>
      <w:pPr>
        <w:spacing w:after="40"/>
      </w:pPr>
      <w:r>
        <w:rPr>
          <w:i/>
          <w:color w:val="5C5C5C"/>
          <w:sz w:val="17"/>
        </w:rPr>
        <w:t>Addition confirmed 11 August 2026 with a 25 August federal remediation deadline. Basis for elevating the DPRK recruitment-campaign judgment from vendor-only to federally confirmed.</w:t>
      </w:r>
    </w:p>
    <w:p>
      <w:pPr>
        <w:spacing w:before="120" w:after="20"/>
      </w:pPr>
      <w:r>
        <w:rPr>
          <w:rFonts w:ascii="Calibri" w:hAnsi="Calibri"/>
          <w:b/>
          <w:color w:val="7A5A1E"/>
          <w:sz w:val="15"/>
        </w:rPr>
        <w:t>GOVERNMENT / EXECUTIVE ACTION</w:t>
        <w:br/>
      </w:r>
      <w:r>
        <w:rPr>
          <w:b/>
          <w:color w:val="142233"/>
          <w:sz w:val="20"/>
        </w:rPr>
        <w:t>The White House — Fact Sheet: Expanding Capabilities to Combat Transnational Cyber-Enabled Crime</w:t>
      </w:r>
    </w:p>
    <w:p>
      <w:pPr>
        <w:spacing w:after="20"/>
      </w:pPr>
      <w:hyperlink r:id="rId15">
        <w:r>
          <w:rPr>
            <w:color w:val="1F5C8C"/>
            <w:u w:val="single"/>
            <w:sz w:val="17"/>
            <w:rFonts w:ascii="Consolas"/>
          </w:rPr>
          <w:t>whitehouse.gov — NSPM fact sheet, 12 August 2026</w:t>
        </w:r>
      </w:hyperlink>
    </w:p>
    <w:p>
      <w:pPr>
        <w:spacing w:after="40"/>
      </w:pPr>
      <w:r>
        <w:rPr>
          <w:i/>
          <w:color w:val="5C5C5C"/>
          <w:sz w:val="17"/>
        </w:rPr>
        <w:t>Primary source. Controlling document for scope and authority of the new DOJ/DHS-run private-sector cyber-operations framework.</w:t>
      </w:r>
    </w:p>
    <w:p>
      <w:pPr>
        <w:spacing w:before="120" w:after="20"/>
      </w:pPr>
      <w:r>
        <w:rPr>
          <w:rFonts w:ascii="Calibri" w:hAnsi="Calibri"/>
          <w:b/>
          <w:color w:val="7A5A1E"/>
          <w:sz w:val="15"/>
        </w:rPr>
        <w:t>PRIMARY VENDOR RESEARCH</w:t>
        <w:br/>
      </w:r>
      <w:r>
        <w:rPr>
          <w:b/>
          <w:color w:val="142233"/>
          <w:sz w:val="20"/>
        </w:rPr>
        <w:t>Check Point Research — Operation Dream Job Campaign Update</w:t>
      </w:r>
    </w:p>
    <w:p>
      <w:pPr>
        <w:spacing w:after="20"/>
      </w:pPr>
      <w:hyperlink r:id="rId16">
        <w:r>
          <w:rPr>
            <w:color w:val="1F5C8C"/>
            <w:u w:val="single"/>
            <w:sz w:val="17"/>
            <w:rFonts w:ascii="Consolas"/>
          </w:rPr>
          <w:t>research.checkpoint.com — Shattering the Dream</w:t>
        </w:r>
      </w:hyperlink>
    </w:p>
    <w:p>
      <w:pPr>
        <w:spacing w:after="40"/>
      </w:pPr>
      <w:r>
        <w:rPr>
          <w:i/>
          <w:color w:val="5C5C5C"/>
          <w:sz w:val="17"/>
        </w:rPr>
        <w:t>Published within coverage week. Cited for campaign TTP and targeting detail only; technical exploit detail reserved for a Technical Annex, not this executive brief.</w:t>
      </w:r>
    </w:p>
    <w:p>
      <w:pPr>
        <w:spacing w:before="120" w:after="20"/>
      </w:pPr>
      <w:r>
        <w:rPr>
          <w:rFonts w:ascii="Calibri" w:hAnsi="Calibri"/>
          <w:b/>
          <w:color w:val="7A5A1E"/>
          <w:sz w:val="15"/>
        </w:rPr>
        <w:t>ANALYSIS / OSINT</w:t>
        <w:br/>
      </w:r>
      <w:r>
        <w:rPr>
          <w:b/>
          <w:color w:val="142233"/>
          <w:sz w:val="20"/>
        </w:rPr>
        <w:t>Critical Threats (ISW) — Russian Offensive Campaign Assessment, 8 August 2026</w:t>
      </w:r>
    </w:p>
    <w:p>
      <w:pPr>
        <w:spacing w:after="20"/>
      </w:pPr>
      <w:hyperlink r:id="rId17">
        <w:r>
          <w:rPr>
            <w:color w:val="1F5C8C"/>
            <w:u w:val="single"/>
            <w:sz w:val="17"/>
            <w:rFonts w:ascii="Consolas"/>
          </w:rPr>
          <w:t>criticalthreats.org — 8 August assessment</w:t>
        </w:r>
      </w:hyperlink>
    </w:p>
    <w:p>
      <w:pPr>
        <w:spacing w:after="40"/>
      </w:pPr>
      <w:r>
        <w:rPr>
          <w:i/>
          <w:color w:val="5C5C5C"/>
          <w:sz w:val="17"/>
        </w:rPr>
        <w:t>Cited for the 24 August Ukraine Independence Day timing indicator only; not used to move PIR 7 independently, per Liberty CTI's standing Russia baseline.</w:t>
      </w:r>
    </w:p>
    <w:p>
      <w:pPr>
        <w:spacing w:before="120" w:after="20"/>
      </w:pPr>
      <w:r>
        <w:rPr>
          <w:rFonts w:ascii="Calibri" w:hAnsi="Calibri"/>
          <w:b/>
          <w:color w:val="7A5A1E"/>
          <w:sz w:val="15"/>
        </w:rPr>
        <w:t>PRESS / REGIONAL</w:t>
        <w:br/>
      </w:r>
      <w:r>
        <w:rPr>
          <w:b/>
          <w:color w:val="142233"/>
          <w:sz w:val="20"/>
        </w:rPr>
        <w:t>Fort Worth Report — JPS Fifth-Day Outage Coverage</w:t>
      </w:r>
    </w:p>
    <w:p>
      <w:pPr>
        <w:spacing w:after="20"/>
      </w:pPr>
      <w:hyperlink r:id="rId18">
        <w:r>
          <w:rPr>
            <w:color w:val="1F5C8C"/>
            <w:u w:val="single"/>
            <w:sz w:val="17"/>
            <w:rFonts w:ascii="Consolas"/>
          </w:rPr>
          <w:t>fortworthreport.org, 7 August 2026</w:t>
        </w:r>
      </w:hyperlink>
    </w:p>
    <w:p>
      <w:pPr>
        <w:spacing w:after="40"/>
      </w:pPr>
      <w:r>
        <w:rPr>
          <w:i/>
          <w:color w:val="5C5C5C"/>
          <w:sz w:val="17"/>
        </w:rPr>
        <w:t>Corroborating regional reporting on JPS outage timeline and "suspicious activity" disclosure. Cited for continuity-impact detail only.</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ukmto.org/-/media/ukmto/products/update-082-jmic-advisory-note-09-august.pdf?rev=3f264c5bd28247a0a6ce7f4fad49cfce" TargetMode="External"/><Relationship Id="rId12" Type="http://schemas.openxmlformats.org/officeDocument/2006/relationships/hyperlink" Target="https://apnews.com/article/e8565c608ac5283ec8103c85df924b13" TargetMode="External"/><Relationship Id="rId13" Type="http://schemas.openxmlformats.org/officeDocument/2006/relationships/hyperlink" Target="https://www.jpshealthnet.org/" TargetMode="External"/><Relationship Id="rId14" Type="http://schemas.openxmlformats.org/officeDocument/2006/relationships/hyperlink" Target="https://www.cisa.gov/known-exploited-vulnerabilities-catalog" TargetMode="External"/><Relationship Id="rId15" Type="http://schemas.openxmlformats.org/officeDocument/2006/relationships/hyperlink" Target="https://www.whitehouse.gov/fact-sheets/2026/08/fact-sheet-president-donald-j-trump-expands-capabilities-to-combat-transnational-cyber-enabled-crime/" TargetMode="External"/><Relationship Id="rId16" Type="http://schemas.openxmlformats.org/officeDocument/2006/relationships/hyperlink" Target="https://research.checkpoint.com/2026/shattering-the-dream-when-a-job-offer-becomes-a-zero-day-attack/" TargetMode="External"/><Relationship Id="rId17" Type="http://schemas.openxmlformats.org/officeDocument/2006/relationships/hyperlink" Target="https://www.criticalthreats.org/analysis/russian-offensive-campaign-assessment-august-8-2026" TargetMode="External"/><Relationship Id="rId18" Type="http://schemas.openxmlformats.org/officeDocument/2006/relationships/hyperlink" Target="https://fortworthreport.org/2026/08/07/jps-experiences-fifth-day-of-network-outage-after-hospital-detects-suspicious-activ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