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ATB-2026-28</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14–20 SEP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2026-09-20</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CONFIRMED BREACH HITS TEXAS ENERGY, NOT JUST A CLAIM</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Board Implications This Week — Ask</w:t>
      </w:r>
    </w:p>
    <w:p>
      <w:pPr>
        <w:spacing w:after="40"/>
      </w:pPr>
      <w:r>
        <w:rPr>
          <w:rFonts w:ascii="Georgia" w:hAnsi="Georgia"/>
          <w:b w:val="0"/>
          <w:i w:val="0"/>
          <w:color w:val="142233"/>
          <w:sz w:val="19"/>
        </w:rPr>
        <w:t>Do we know which of our customer-facing systems and third-party vendors hold driver's license numbers, Social Security fragments, or other identity data — and are they governed with the same rigor as our operational technology?</w:t>
      </w:r>
    </w:p>
    <w:p>
      <w:pPr>
        <w:spacing w:before="160" w:after="40"/>
      </w:pPr>
      <w:r>
        <w:rPr>
          <w:b/>
          <w:color w:val="7A5A1E"/>
          <w:sz w:val="20"/>
        </w:rPr>
        <w:t>Board Implications This Week — Direct</w:t>
      </w:r>
    </w:p>
    <w:p>
      <w:pPr>
        <w:spacing w:after="40"/>
      </w:pPr>
      <w:r>
        <w:rPr>
          <w:rFonts w:ascii="Georgia" w:hAnsi="Georgia"/>
          <w:b w:val="0"/>
          <w:i w:val="0"/>
          <w:color w:val="142233"/>
          <w:sz w:val="19"/>
        </w:rPr>
        <w:t>Confirm immediately whether the organization runs Cisco Identity Services Engine or Secure Email Gateway and whether the September emergency patches are installed; separately, order a review of what customer PII sits behind external-facing billing and account-management portals, and by whom it is safeguarded.</w:t>
      </w:r>
    </w:p>
    <w:p>
      <w:pPr>
        <w:spacing w:before="160" w:after="40"/>
      </w:pPr>
      <w:r>
        <w:rPr>
          <w:b/>
          <w:color w:val="7A5A1E"/>
          <w:sz w:val="20"/>
        </w:rPr>
        <w:t>Board Implications This Week — Document</w:t>
      </w:r>
    </w:p>
    <w:p>
      <w:pPr>
        <w:spacing w:after="40"/>
      </w:pPr>
      <w:r>
        <w:rPr>
          <w:rFonts w:ascii="Georgia" w:hAnsi="Georgia"/>
          <w:b w:val="0"/>
          <w:i w:val="0"/>
          <w:color w:val="142233"/>
          <w:sz w:val="19"/>
        </w:rPr>
        <w:t>Record that CenterPoint's exposure came through ordinary IT, not the grid — and that this is now the pattern Liberty CTI has tracked across multiple Texas breaches this cycle: the path of least resistance into critical infrastructure runs through customer systems and vendors, not control systems.</w:t>
      </w:r>
    </w:p>
    <w:p>
      <w:pPr>
        <w:spacing w:before="160" w:after="40"/>
      </w:pPr>
      <w:r>
        <w:rPr>
          <w:b/>
          <w:color w:val="7A5A1E"/>
          <w:sz w:val="20"/>
        </w:rPr>
        <w:t>Board Implications This Week — Rehearse</w:t>
      </w:r>
    </w:p>
    <w:p>
      <w:pPr>
        <w:spacing w:after="40"/>
      </w:pPr>
      <w:r>
        <w:rPr>
          <w:rFonts w:ascii="Georgia" w:hAnsi="Georgia"/>
          <w:b w:val="0"/>
          <w:i w:val="0"/>
          <w:color w:val="142233"/>
          <w:sz w:val="19"/>
        </w:rPr>
        <w:t>If your organization's customer data appeared on a criminal forum tomorrow, as CenterPoint's did on 12 September, how many days would pass before a materiality determination, an SEC 8-K, and a public statement — and would litigation outpace your own disclosure, as it did here?</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It is a </w:t>
      </w:r>
      <w:r>
        <w:rPr>
          <w:rFonts w:ascii="Georgia" w:hAnsi="Georgia"/>
          <w:b/>
          <w:i w:val="0"/>
          <w:color w:val="142233"/>
          <w:sz w:val="21"/>
        </w:rPr>
        <w:t>confirmed fact</w:t>
      </w:r>
      <w:r>
        <w:rPr>
          <w:rFonts w:ascii="Georgia" w:hAnsi="Georgia"/>
          <w:b w:val="0"/>
          <w:i w:val="0"/>
          <w:color w:val="142233"/>
          <w:sz w:val="21"/>
        </w:rPr>
        <w:t xml:space="preserve"> that CenterPoint Energy disclosed, via SEC Form 8-K filed on or about 14 September 2026, that an unauthorized third party obtained customer personal information — including driver's license numbers and partial Social Security numbers — through an external-facing system, following a forum post claiming 7.49 million records on 12 September; electric and gas delivery were not affected.</w:t>
        <w:br/>
        <w:t xml:space="preserve"> </w:t>
      </w:r>
      <w:r>
        <w:br/>
      </w:r>
      <w:r>
        <w:br/>
      </w:r>
    </w:p>
    <w:p>
      <w:pPr>
        <w:spacing w:after="40"/>
        <w:ind w:left="283"/>
      </w:pPr>
      <w:r>
        <w:rPr>
          <w:i/>
          <w:color w:val="5C5C5C"/>
          <w:sz w:val="18"/>
        </w:rPr>
        <w:t>Source basis / uncertainty: Source basis: CenterPoint's SEC filing as reported by Help Net Security, CyberInsider, SecurityWeek, and TechNadu, 14–16 September 2026. Primary uncertainty: root cause (which external-facing system, and whether a third-party vendor was involved) has not been published; no group or state-linked actor has been attributed.</w:t>
      </w:r>
    </w:p>
    <w:p>
      <w:pPr>
        <w:spacing w:after="120"/>
        <w:ind w:left="283"/>
      </w:pPr>
      <w:r>
        <w:rPr>
          <w:color w:val="7A5A1E"/>
          <w:sz w:val="19"/>
        </w:rPr>
        <w:t>Decision implication: Decision Implication: Inventory every customer-facing billing, account-management, and vendor-integrated portal that stores driver's license numbers or SSN fragments, and confirm who owns its security — before a forum post forces the question.</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It is a </w:t>
      </w:r>
      <w:r>
        <w:rPr>
          <w:rFonts w:ascii="Georgia" w:hAnsi="Georgia"/>
          <w:b/>
          <w:i w:val="0"/>
          <w:color w:val="142233"/>
          <w:sz w:val="21"/>
        </w:rPr>
        <w:t>confirmed fact</w:t>
      </w:r>
      <w:r>
        <w:rPr>
          <w:rFonts w:ascii="Georgia" w:hAnsi="Georgia"/>
          <w:b w:val="0"/>
          <w:i w:val="0"/>
          <w:color w:val="142233"/>
          <w:sz w:val="21"/>
        </w:rPr>
        <w:t xml:space="preserve"> that at least five proposed federal class-action lawsuits were filed against CenterPoint Energy between 10 and 13 September 2026, ahead of or concurrent with the company's formal breach disclosure, alleging the utility failed to maintain basic data security standards.</w:t>
        <w:br/>
        <w:t xml:space="preserve"> </w:t>
      </w:r>
      <w:r>
        <w:br/>
      </w:r>
      <w:r>
        <w:br/>
      </w:r>
    </w:p>
    <w:p>
      <w:pPr>
        <w:spacing w:after="40"/>
        <w:ind w:left="283"/>
      </w:pPr>
      <w:r>
        <w:rPr>
          <w:i/>
          <w:color w:val="5C5C5C"/>
          <w:sz w:val="18"/>
        </w:rPr>
        <w:t>Source basis / uncertainty: Source basis: Hoodline, referencing filings by Shamis &amp; Gentile and Lippe &amp; Associates, among others, 10–13 September 2026. Primary uncertainty: case consolidation status and any regulatory inquiry (Public Utility Commission of Texas or Texas Attorney General) had not been publicly confirmed as of this issue.</w:t>
      </w:r>
    </w:p>
    <w:p>
      <w:pPr>
        <w:spacing w:after="120"/>
        <w:ind w:left="283"/>
      </w:pPr>
      <w:r>
        <w:rPr>
          <w:color w:val="7A5A1E"/>
          <w:sz w:val="19"/>
        </w:rPr>
        <w:t>Decision implication: Decision Implication: Litigation is now outpacing formal disclosure timelines in Texas breach cases; pressure-test your own materiality-determination process against a compressed, forum-post-to-lawsuit timeline rather than a traditional weeks-long investigation window.</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It is a </w:t>
      </w:r>
      <w:r>
        <w:rPr>
          <w:rFonts w:ascii="Georgia" w:hAnsi="Georgia"/>
          <w:b/>
          <w:i w:val="0"/>
          <w:color w:val="142233"/>
          <w:sz w:val="21"/>
        </w:rPr>
        <w:t>confirmed fact</w:t>
      </w:r>
      <w:r>
        <w:rPr>
          <w:rFonts w:ascii="Georgia" w:hAnsi="Georgia"/>
          <w:b w:val="0"/>
          <w:i w:val="0"/>
          <w:color w:val="142233"/>
          <w:sz w:val="21"/>
        </w:rPr>
        <w:t xml:space="preserve"> that the FBI and U.S. Coast Guard boarded two foreign-flagged, U.S.-bound energy tankers — the Liberian-flagged VLCC </w:t>
      </w:r>
      <w:r>
        <w:rPr>
          <w:rFonts w:ascii="Georgia" w:hAnsi="Georgia"/>
          <w:b/>
          <w:i w:val="0"/>
          <w:color w:val="142233"/>
          <w:sz w:val="21"/>
        </w:rPr>
        <w:t>VL Prosperity</w:t>
      </w:r>
      <w:r>
        <w:rPr>
          <w:rFonts w:ascii="Georgia" w:hAnsi="Georgia"/>
          <w:b w:val="0"/>
          <w:i w:val="0"/>
          <w:color w:val="142233"/>
          <w:sz w:val="21"/>
        </w:rPr>
        <w:t xml:space="preserve"> (IMO 9683697), Galveston-bound out of Egypt's Sidi Kerir terminal, and a second, unidentified LNG carrier — on </w:t>
      </w:r>
      <w:r>
        <w:rPr>
          <w:rFonts w:ascii="Georgia" w:hAnsi="Georgia"/>
          <w:b/>
          <w:i w:val="0"/>
          <w:color w:val="142233"/>
          <w:sz w:val="21"/>
        </w:rPr>
        <w:t>August 21</w:t>
      </w:r>
      <w:r>
        <w:rPr>
          <w:rFonts w:ascii="Georgia" w:hAnsi="Georgia"/>
          <w:b w:val="0"/>
          <w:i w:val="0"/>
          <w:color w:val="142233"/>
          <w:sz w:val="21"/>
        </w:rPr>
        <w:t xml:space="preserve"> and </w:t>
      </w:r>
      <w:r>
        <w:rPr>
          <w:rFonts w:ascii="Georgia" w:hAnsi="Georgia"/>
          <w:b/>
          <w:i w:val="0"/>
          <w:color w:val="142233"/>
          <w:sz w:val="21"/>
        </w:rPr>
        <w:t>August 24</w:t>
      </w:r>
      <w:r>
        <w:rPr>
          <w:rFonts w:ascii="Georgia" w:hAnsi="Georgia"/>
          <w:b w:val="0"/>
          <w:i w:val="0"/>
          <w:color w:val="142233"/>
          <w:sz w:val="21"/>
        </w:rPr>
        <w:t xml:space="preserve"> respectively, after indications both vessels' networks had been compromised by a foreign cyber actor; both boardings were disclosed publicly this coverage week, roughly a month after they occurred. The Coast Guard reports no operational disruption, vessel instability, crew danger, or environmental impact. Iranian state-linked outlets (Tasnim, associated with Iran's Revolutionary Guard, and Mehr News) claim the attackers manipulated engine speed and disabled fuel systems during an earlier incident near Gibraltar on August 7 — a claim that conflicts with the Coast Guard's own statement and originates from an interested foreign party, not independent verification; no U.S. attribution to any actor has been made. </w:t>
      </w:r>
      <w:r>
        <w:rPr>
          <w:rFonts w:ascii="Consolas" w:hAnsi="Consolas"/>
          <w:b w:val="0"/>
          <w:i w:val="0"/>
          <w:color w:val="7A5A1E"/>
          <w:sz w:val="16"/>
        </w:rPr>
        <w:t>LOW-MODERATE CONFIDENCE</w:t>
      </w:r>
      <w:r>
        <w:br/>
      </w:r>
      <w:r>
        <w:br/>
      </w:r>
      <w:r>
        <w:br/>
      </w:r>
    </w:p>
    <w:p>
      <w:pPr>
        <w:spacing w:after="40"/>
        <w:ind w:left="283"/>
      </w:pPr>
      <w:r>
        <w:rPr>
          <w:i/>
          <w:color w:val="5C5C5C"/>
          <w:sz w:val="18"/>
        </w:rPr>
        <w:t>Source basis / uncertainty: Source basis: joint FBI/Coast Guard statement as reported by TechCrunch, The Record, and AP, 16–18 September 2026; vessel identification and Galveston destination independently corroborated by Maritime Executive, Cybernews, and ShipUniverse, 17–18 September 2026. Primary uncertainty: no U.S. attribution has been made to any actor; Iranian state-media technical claims (engine-speed manipulation, fuel-system disablement) remain unverified by U.S. authorities.</w:t>
      </w:r>
    </w:p>
    <w:p>
      <w:pPr>
        <w:spacing w:after="120"/>
        <w:ind w:left="283"/>
      </w:pPr>
      <w:r>
        <w:rPr>
          <w:color w:val="7A5A1E"/>
          <w:sz w:val="19"/>
        </w:rPr>
        <w:t>Decision implication: Decision Implication: VL Prosperity remains at anchor off Galveston as of this issue. Name the decision authority for accepting, rerouting, delaying, or isolating a vessel, cargo, or third-party maritime dependency under an unresolved cyber investigation — this is a live case, not a tabletop scenario.</w:t>
      </w:r>
    </w:p>
    <w:p>
      <w:pPr>
        <w:spacing w:after="40" w:before="200"/>
      </w:pPr>
      <w:r>
        <w:rPr>
          <w:rFonts w:ascii="Calibri" w:hAnsi="Calibri"/>
          <w:b/>
          <w:color w:val="1F5C8C"/>
          <w:sz w:val="19"/>
        </w:rPr>
        <w:t xml:space="preserve">KJ-4  </w:t>
      </w:r>
      <w:r>
        <w:rPr>
          <w:rFonts w:ascii="Georgia" w:hAnsi="Georgia"/>
          <w:b w:val="0"/>
          <w:i w:val="0"/>
          <w:color w:val="142233"/>
          <w:sz w:val="21"/>
        </w:rPr>
        <w:br/>
        <w:t xml:space="preserve"> It is a </w:t>
      </w:r>
      <w:r>
        <w:rPr>
          <w:rFonts w:ascii="Georgia" w:hAnsi="Georgia"/>
          <w:b/>
          <w:i w:val="0"/>
          <w:color w:val="142233"/>
          <w:sz w:val="21"/>
        </w:rPr>
        <w:t>confirmed fact</w:t>
      </w:r>
      <w:r>
        <w:rPr>
          <w:rFonts w:ascii="Georgia" w:hAnsi="Georgia"/>
          <w:b w:val="0"/>
          <w:i w:val="0"/>
          <w:color w:val="142233"/>
          <w:sz w:val="21"/>
        </w:rPr>
        <w:t xml:space="preserve"> that Cisco disclosed two consecutive maximum-severity (CVSS 10.0 and 9.8), actively exploited zero-day vulnerabilities within 48 hours: CVE-2026-76461 in Secure Email Gateway (15 September) and CVE-2026-76460, an authentication-bypass flaw granting root-level command execution, in Identity Services Engine and ISE-PIC (17 September); CISA added the ISE flaw to its Known Exploited Vulnerabilities catalog on 16 September. A coordinated 18 September disclosure added 77 further CVEs across ISE (41) and Secure Firewall (28) products.</w:t>
        <w:br/>
        <w:t xml:space="preserve"> </w:t>
      </w:r>
      <w:r>
        <w:br/>
      </w:r>
      <w:r>
        <w:br/>
      </w:r>
    </w:p>
    <w:p>
      <w:pPr>
        <w:spacing w:after="40"/>
        <w:ind w:left="283"/>
      </w:pPr>
      <w:r>
        <w:rPr>
          <w:i/>
          <w:color w:val="5C5C5C"/>
          <w:sz w:val="18"/>
        </w:rPr>
        <w:t>Source basis / uncertainty: Source basis: The Hacker News, CyberScoop, Help Net Security, and Cisco's own security advisory, 15–18 September 2026. Primary uncertainty: no group or state-linked actor has been publicly attributed to the ISE or Secure Email Gateway exploitation as of this issue, distinguishing it from the Sandworm/Qilin attribution Cisco Talos gave the prior week's Firewall Management Center exploitation.</w:t>
      </w:r>
    </w:p>
    <w:p>
      <w:pPr>
        <w:spacing w:after="120"/>
        <w:ind w:left="283"/>
      </w:pPr>
      <w:r>
        <w:rPr>
          <w:color w:val="7A5A1E"/>
          <w:sz w:val="19"/>
        </w:rPr>
        <w:t>Decision implication: Decision Implication: This is Cisco's third consecutive week under active, maximum-severity exploitation across its security portfolio (Firewall Management Center, then Secure Email Gateway and Identity Services Engine). Confirm patch status on all three product lines this week, not just the one your team already flagged.</w:t>
      </w:r>
    </w:p>
    <w:p>
      <w:pPr>
        <w:spacing w:after="40" w:before="200"/>
      </w:pPr>
      <w:r>
        <w:rPr>
          <w:rFonts w:ascii="Calibri" w:hAnsi="Calibri"/>
          <w:b/>
          <w:color w:val="1F5C8C"/>
          <w:sz w:val="19"/>
        </w:rPr>
        <w:t xml:space="preserve">KJ-5  </w:t>
      </w:r>
      <w:r>
        <w:rPr>
          <w:rFonts w:ascii="Georgia" w:hAnsi="Georgia"/>
          <w:b w:val="0"/>
          <w:i w:val="0"/>
          <w:color w:val="142233"/>
          <w:sz w:val="21"/>
        </w:rPr>
        <w:br/>
        <w:t xml:space="preserve"> It is a </w:t>
      </w:r>
      <w:r>
        <w:rPr>
          <w:rFonts w:ascii="Georgia" w:hAnsi="Georgia"/>
          <w:b/>
          <w:i w:val="0"/>
          <w:color w:val="142233"/>
          <w:sz w:val="21"/>
        </w:rPr>
        <w:t>confirmed fact</w:t>
      </w:r>
      <w:r>
        <w:rPr>
          <w:rFonts w:ascii="Georgia" w:hAnsi="Georgia"/>
          <w:b w:val="0"/>
          <w:i w:val="0"/>
          <w:color w:val="142233"/>
          <w:sz w:val="21"/>
        </w:rPr>
        <w:t xml:space="preserve"> that a planned 14 September Oman summit intended to finalize a temporary Hormuz shipping corridor among Iran, Iraq, and Gulf states was postponed after Saudi Arabia objected to the proposed agreement's wording, and that the Strait of Hormuz remains, per independent shipping-intelligence tracking, in roughly its 203rd day of effective closure to normal tanker traffic, with Brent crude holding near $104/barrel.</w:t>
        <w:br/>
        <w:t xml:space="preserve"> </w:t>
      </w:r>
      <w:r>
        <w:br/>
      </w:r>
      <w:r>
        <w:br/>
      </w:r>
    </w:p>
    <w:p>
      <w:pPr>
        <w:spacing w:after="40"/>
        <w:ind w:left="283"/>
      </w:pPr>
      <w:r>
        <w:rPr>
          <w:i/>
          <w:color w:val="5C5C5C"/>
          <w:sz w:val="18"/>
        </w:rPr>
        <w:t>Source basis / uncertainty: Source basis: Al Jazeera, 14 September 2026; globalsecurity.org Iran War daily update, 18 September 2026; independent strait-tracking service (straits.live), 19 September 2026, showing 8 transits recorded 13 September against an 85-transit pre-crisis baseline. Primary uncertainty: Iran has signaled it may register or announce a shipping-lane arrangement unilaterally with Oman regardless of the stalled summit; the practical effect on transit volumes is not yet observable.</w:t>
      </w:r>
    </w:p>
    <w:p>
      <w:pPr>
        <w:spacing w:after="120"/>
        <w:ind w:left="283"/>
      </w:pPr>
      <w:r>
        <w:rPr>
          <w:color w:val="7A5A1E"/>
          <w:sz w:val="19"/>
        </w:rPr>
        <w:t>Decision implication: Decision Implication: Continue re-running fuel-cost and logistics assumptions against a ~$104 Brent plateau with no near-term resolution; Liberty CTI continues to assess this as an economic and logistics risk to Texas, not, on its own, a cyber-risk indicator.</w:t>
      </w:r>
    </w:p>
    <w:p>
      <w:pPr>
        <w:spacing w:after="40" w:before="200"/>
      </w:pPr>
      <w:r>
        <w:rPr>
          <w:rFonts w:ascii="Calibri" w:hAnsi="Calibri"/>
          <w:b/>
          <w:color w:val="1F5C8C"/>
          <w:sz w:val="19"/>
        </w:rPr>
        <w:t xml:space="preserve">KJ-6  </w:t>
      </w:r>
      <w:r>
        <w:rPr>
          <w:rFonts w:ascii="Georgia" w:hAnsi="Georgia"/>
          <w:b w:val="0"/>
          <w:i w:val="0"/>
          <w:color w:val="142233"/>
          <w:sz w:val="21"/>
        </w:rPr>
        <w:br/>
        <w:t xml:space="preserve"> It remains an </w:t>
      </w:r>
      <w:r>
        <w:rPr>
          <w:rFonts w:ascii="Georgia" w:hAnsi="Georgia"/>
          <w:b/>
          <w:i w:val="0"/>
          <w:color w:val="142233"/>
          <w:sz w:val="21"/>
        </w:rPr>
        <w:t>unconfirmed claim, unchanged this week,</w:t>
      </w:r>
      <w:r>
        <w:rPr>
          <w:rFonts w:ascii="Georgia" w:hAnsi="Georgia"/>
          <w:b w:val="0"/>
          <w:i w:val="0"/>
          <w:color w:val="142233"/>
          <w:sz w:val="21"/>
        </w:rPr>
        <w:t xml:space="preserve"> that the group calling itself "APT Iran" attacked Texas telecom infrastructure and a Texas water utility; no new evidence, confirmation, or denial emerged in the 14–20 September window. The group's most recent public statement, doubling down without offering new technical evidence, predates this coverage period (10 September). </w:t>
      </w:r>
      <w:r>
        <w:rPr>
          <w:rFonts w:ascii="Consolas" w:hAnsi="Consolas"/>
          <w:b w:val="0"/>
          <w:i w:val="0"/>
          <w:color w:val="7A5A1E"/>
          <w:sz w:val="16"/>
        </w:rPr>
        <w:t>LOW CONFIDENCE</w:t>
      </w:r>
      <w:r>
        <w:br/>
      </w:r>
      <w:r>
        <w:br/>
      </w:r>
      <w:r>
        <w:br/>
      </w:r>
    </w:p>
    <w:p>
      <w:pPr>
        <w:spacing w:after="40"/>
        <w:ind w:left="283"/>
      </w:pPr>
      <w:r>
        <w:rPr>
          <w:i/>
          <w:color w:val="5C5C5C"/>
          <w:sz w:val="18"/>
        </w:rPr>
        <w:t>Source basis / uncertainty: Source basis: carried forward per ATB-2026-27; no new developments identified this week despite a targeted search of CISA, FBI, and Texas state-agency channels. Primary uncertainty: unchanged from last issue — no government confirmation or denial of the water-utility claim exists.</w:t>
      </w:r>
    </w:p>
    <w:p>
      <w:pPr>
        <w:spacing w:after="120"/>
        <w:ind w:left="283"/>
      </w:pPr>
      <w:r>
        <w:rPr>
          <w:color w:val="7A5A1E"/>
          <w:sz w:val="19"/>
        </w:rPr>
        <w:t>Decision implication: Decision Implication: Keep this as your tabletop reference case for an unconfirmed nation-state attack claim, but do not let its continued unresolved status crowd out this week's better-corroborated CenterPoint and Cisco threads.</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What Changed This Week</w:t>
      </w:r>
    </w:p>
    <w:p>
      <w:pPr>
        <w:spacing w:before="200" w:after="120"/>
      </w:pPr>
      <w:r>
        <w:rPr>
          <w:rFonts w:ascii="Calibri" w:hAnsi="Calibri"/>
          <w:b/>
          <w:color w:val="142233"/>
          <w:sz w:val="23"/>
        </w:rPr>
        <w:t>CenterPoint Energy: From Forum Post to SEC Filing in 48 Hours</w:t>
      </w:r>
    </w:p>
    <w:p>
      <w:pPr>
        <w:spacing w:after="160"/>
      </w:pPr>
      <w:r>
        <w:rPr>
          <w:rFonts w:ascii="Georgia" w:hAnsi="Georgia"/>
          <w:b w:val="0"/>
          <w:i w:val="0"/>
          <w:color w:val="142233"/>
          <w:sz w:val="21"/>
        </w:rPr>
        <w:t xml:space="preserve">A hacker using the alias "4d722e4d656f77" posted a claimed 7.49-million-record CenterPoint Energy customer dataset to a criminal forum on </w:t>
      </w:r>
      <w:r>
        <w:rPr>
          <w:rFonts w:ascii="Georgia" w:hAnsi="Georgia"/>
          <w:b/>
          <w:i w:val="0"/>
          <w:color w:val="142233"/>
          <w:sz w:val="21"/>
        </w:rPr>
        <w:t>12 September</w:t>
      </w:r>
      <w:r>
        <w:rPr>
          <w:rFonts w:ascii="Georgia" w:hAnsi="Georgia"/>
          <w:b w:val="0"/>
          <w:i w:val="0"/>
          <w:color w:val="142233"/>
          <w:sz w:val="21"/>
        </w:rPr>
        <w:t xml:space="preserve">, stating a CAPTCHA interruption had prevented a larger, 17.44-million-record pull. CenterPoint confirmed the breach in an SEC Form 8-K filing on or about </w:t>
      </w:r>
      <w:r>
        <w:rPr>
          <w:rFonts w:ascii="Georgia" w:hAnsi="Georgia"/>
          <w:b/>
          <w:i w:val="0"/>
          <w:color w:val="142233"/>
          <w:sz w:val="21"/>
        </w:rPr>
        <w:t>14 September</w:t>
      </w:r>
      <w:r>
        <w:rPr>
          <w:rFonts w:ascii="Georgia" w:hAnsi="Georgia"/>
          <w:b w:val="0"/>
          <w:i w:val="0"/>
          <w:color w:val="142233"/>
          <w:sz w:val="21"/>
        </w:rPr>
        <w:t>, stating an unauthorized third party accessed customer personal information — including names, phone numbers, service and billing addresses, account and premise identifiers, billing amounts, autopay and paperless-billing status, rate class, driver's license numbers, and the last four digits of Social Security numbers — through an external-facing system. The company stated electric and gas delivery were not affected, that it does not expect a material financial impact given its cybersecurity insurance, and that it intends to notify affected customers and regulators as required by law. Separately and notably, at least five proposed federal class-action lawsuits were filed in the 10–13 September window, ahead of or alongside the formal disclosure — an indicator that plaintiffs' firms are now monitoring criminal forums directly rather than waiting for corporate notification. One widely circulated quote attributing an infrastructure-attack threat to the hacker could not be corroborated in the other primary sources Liberty CTI reviewed this cycle and is excluded from this brief's confirmed-fact record.</w:t>
      </w:r>
    </w:p>
    <w:p>
      <w:pPr>
        <w:spacing w:before="200" w:after="120"/>
      </w:pPr>
      <w:r>
        <w:rPr>
          <w:rFonts w:ascii="Calibri" w:hAnsi="Calibri"/>
          <w:b/>
          <w:color w:val="142233"/>
          <w:sz w:val="23"/>
        </w:rPr>
        <w:t>Cisco's Identity and Email-Security Products Join Firewall Management Center Under Active Exploitation</w:t>
      </w:r>
    </w:p>
    <w:p>
      <w:pPr>
        <w:spacing w:after="160"/>
      </w:pPr>
      <w:r>
        <w:rPr>
          <w:rFonts w:ascii="Georgia" w:hAnsi="Georgia"/>
          <w:b w:val="0"/>
          <w:i w:val="0"/>
          <w:color w:val="142233"/>
          <w:sz w:val="21"/>
        </w:rPr>
        <w:t xml:space="preserve">One week after Cisco Talos disclosed Sandworm- and Qilin-linked exploitation of Secure Firewall Management Center, Cisco disclosed two further maximum-severity, actively exploited zero-days in quick succession: CVE-2026-76461 (Secure Email Gateway, CVSS 9.8) on </w:t>
      </w:r>
      <w:r>
        <w:rPr>
          <w:rFonts w:ascii="Georgia" w:hAnsi="Georgia"/>
          <w:b/>
          <w:i w:val="0"/>
          <w:color w:val="142233"/>
          <w:sz w:val="21"/>
        </w:rPr>
        <w:t>15 September</w:t>
      </w:r>
      <w:r>
        <w:rPr>
          <w:rFonts w:ascii="Georgia" w:hAnsi="Georgia"/>
          <w:b w:val="0"/>
          <w:i w:val="0"/>
          <w:color w:val="142233"/>
          <w:sz w:val="21"/>
        </w:rPr>
        <w:t xml:space="preserve">, and CVE-2026-76460 (Identity Services Engine and ISE-PIC, CVSS 10.0) on </w:t>
      </w:r>
      <w:r>
        <w:rPr>
          <w:rFonts w:ascii="Georgia" w:hAnsi="Georgia"/>
          <w:b/>
          <w:i w:val="0"/>
          <w:color w:val="142233"/>
          <w:sz w:val="21"/>
        </w:rPr>
        <w:t>17 September</w:t>
      </w:r>
      <w:r>
        <w:rPr>
          <w:rFonts w:ascii="Georgia" w:hAnsi="Georgia"/>
          <w:b w:val="0"/>
          <w:i w:val="0"/>
          <w:color w:val="142233"/>
          <w:sz w:val="21"/>
        </w:rPr>
        <w:t xml:space="preserve">, an authentication-bypass flaw that Cisco confirmed was under active exploitation and that grants command execution with root privileges — sufficient to modify network-access policy, extract stored credentials, delete logs, and move laterally into every segment the appliance controls. CISA added the ISE flaw to its Known Exploited Vulnerabilities catalog on </w:t>
      </w:r>
      <w:r>
        <w:rPr>
          <w:rFonts w:ascii="Georgia" w:hAnsi="Georgia"/>
          <w:b/>
          <w:i w:val="0"/>
          <w:color w:val="142233"/>
          <w:sz w:val="21"/>
        </w:rPr>
        <w:t>16 September</w:t>
      </w:r>
      <w:r>
        <w:rPr>
          <w:rFonts w:ascii="Georgia" w:hAnsi="Georgia"/>
          <w:b w:val="0"/>
          <w:i w:val="0"/>
          <w:color w:val="142233"/>
          <w:sz w:val="21"/>
        </w:rPr>
        <w:t xml:space="preserve">. Cisco followed on </w:t>
      </w:r>
      <w:r>
        <w:rPr>
          <w:rFonts w:ascii="Georgia" w:hAnsi="Georgia"/>
          <w:b/>
          <w:i w:val="0"/>
          <w:color w:val="142233"/>
          <w:sz w:val="21"/>
        </w:rPr>
        <w:t>18 September</w:t>
      </w:r>
      <w:r>
        <w:rPr>
          <w:rFonts w:ascii="Georgia" w:hAnsi="Georgia"/>
          <w:b w:val="0"/>
          <w:i w:val="0"/>
          <w:color w:val="142233"/>
          <w:sz w:val="21"/>
        </w:rPr>
        <w:t xml:space="preserve"> with a coordinated hardening release covering 77 additional CVEs across Identity Services Engine (41) and Secure Firewall products (28). No threat-actor group has yet been publicly attributed to the ISE or Secure Email Gateway exploitation, unlike the prior week's Sandworm and Qilin attribution for Firewall Management Center. Because ISE is the product many organizations use to enforce network segmentation between IT and OT environments, its compromise is a direct threat to the very control that is supposed to keep a customer-data breach from becoming an operational one.</w:t>
      </w:r>
    </w:p>
    <w:p>
      <w:pPr>
        <w:spacing w:before="200" w:after="120"/>
      </w:pPr>
      <w:r>
        <w:rPr>
          <w:rFonts w:ascii="Calibri" w:hAnsi="Calibri"/>
          <w:b/>
          <w:color w:val="142233"/>
          <w:sz w:val="23"/>
        </w:rPr>
        <w:t>A Named, Texas-Bound Tanker Sits at Anchor Under an Unresolved Cyber Investigation</w:t>
      </w:r>
    </w:p>
    <w:p>
      <w:pPr>
        <w:spacing w:after="160"/>
      </w:pPr>
      <w:r>
        <w:rPr>
          <w:rFonts w:ascii="Georgia" w:hAnsi="Georgia"/>
          <w:b w:val="0"/>
          <w:i w:val="0"/>
          <w:color w:val="142233"/>
          <w:sz w:val="21"/>
        </w:rPr>
        <w:t xml:space="preserve">FBI and Coast Guard cyber teams boarded VL Prosperity in the Gulf of Mexico on </w:t>
      </w:r>
      <w:r>
        <w:rPr>
          <w:rFonts w:ascii="Georgia" w:hAnsi="Georgia"/>
          <w:b/>
          <w:i w:val="0"/>
          <w:color w:val="142233"/>
          <w:sz w:val="21"/>
        </w:rPr>
        <w:t>August 21</w:t>
      </w:r>
      <w:r>
        <w:rPr>
          <w:rFonts w:ascii="Georgia" w:hAnsi="Georgia"/>
          <w:b w:val="0"/>
          <w:i w:val="0"/>
          <w:color w:val="142233"/>
          <w:sz w:val="21"/>
        </w:rPr>
        <w:t xml:space="preserve">, and a second, still-unidentified LNG tanker on </w:t>
      </w:r>
      <w:r>
        <w:rPr>
          <w:rFonts w:ascii="Georgia" w:hAnsi="Georgia"/>
          <w:b/>
          <w:i w:val="0"/>
          <w:color w:val="142233"/>
          <w:sz w:val="21"/>
        </w:rPr>
        <w:t>August 24</w:t>
      </w:r>
      <w:r>
        <w:rPr>
          <w:rFonts w:ascii="Georgia" w:hAnsi="Georgia"/>
          <w:b w:val="0"/>
          <w:i w:val="0"/>
          <w:color w:val="142233"/>
          <w:sz w:val="21"/>
        </w:rPr>
        <w:t>, after indications both vessels' onboard networks had been compromised by a foreign cyber actor. Neither boarding was disclosed publicly until this coverage week. VL Prosperity — a 319,547-dwt Liberian-flagged VLCC managed by HMM Ocean Services — was en route from Egypt to Galveston when the compromise was detected; multiple independent outlets, not a single source, now confirm the Galveston destination. The vessel remains at anchor off Galveston as of this issue. Iranian state media (Tasnim, Mehr) claim the attackers seized engine-room control during an earlier August 7 incident near Gibraltar — a specific, detailed technical claim that conflicts with the Coast Guard's own "no operational disruption" statement and has not been independently verified. No U.S. attribution has been made to any actor or state.</w:t>
      </w:r>
    </w:p>
    <w:p>
      <w:pPr>
        <w:spacing w:before="200" w:after="120"/>
      </w:pPr>
      <w:r>
        <w:rPr>
          <w:rFonts w:ascii="Calibri" w:hAnsi="Calibri"/>
          <w:b/>
          <w:color w:val="142233"/>
          <w:sz w:val="23"/>
        </w:rPr>
        <w:t>Hormuz Diplomacy Stalls as the Chokepoint Crisis Grinds On</w:t>
      </w:r>
    </w:p>
    <w:p>
      <w:pPr>
        <w:spacing w:after="160"/>
      </w:pPr>
      <w:r>
        <w:rPr>
          <w:rFonts w:ascii="Georgia" w:hAnsi="Georgia"/>
          <w:b w:val="0"/>
          <w:i w:val="0"/>
          <w:color w:val="142233"/>
          <w:sz w:val="21"/>
        </w:rPr>
        <w:t xml:space="preserve">A planned </w:t>
      </w:r>
      <w:r>
        <w:rPr>
          <w:rFonts w:ascii="Georgia" w:hAnsi="Georgia"/>
          <w:b/>
          <w:i w:val="0"/>
          <w:color w:val="142233"/>
          <w:sz w:val="21"/>
        </w:rPr>
        <w:t>14 September</w:t>
      </w:r>
      <w:r>
        <w:rPr>
          <w:rFonts w:ascii="Georgia" w:hAnsi="Georgia"/>
          <w:b w:val="0"/>
          <w:i w:val="0"/>
          <w:color w:val="142233"/>
          <w:sz w:val="21"/>
        </w:rPr>
        <w:t xml:space="preserve"> meeting in Salalah, Oman, intended to formalize a temporary shipping corridor through the Strait of Hormuz among Iran, Iraq, and Gulf states, was postponed after Saudi Arabia objected to the proposed agreement's wording, reportedly fearing it would establish a new status quo unacceptable to the kingdom. Iran's Foreign Ministry confirmed the postponement and signaled it may register or announce an arrangement with Oman regardless. Independent shipping-intelligence tracking placed the strait at roughly its 203rd day of effective closure as of 18–19 September, with only 8 transits recorded on 13 September against an 85-transit pre-crisis baseline, and Brent crude holding near $104/barrel. U.S. Central Command claims to have escorted more than 1 billion barrels of oil through the strait since blockade operations began; Iran's military spokesman disputes the figure. Liberty CTI continues to treat this as a confirmed economic and logistics risk to Texas refining, fuel costs, and shipping-dependent operations, and continues not to treat it, on its own, as an indicator of elevated cyber risk absent a specific tie to a cyber campaign.</w:t>
      </w:r>
    </w:p>
    <w:p>
      <w:pPr>
        <w:spacing w:before="200" w:after="120"/>
      </w:pPr>
      <w:r>
        <w:rPr>
          <w:rFonts w:ascii="Calibri" w:hAnsi="Calibri"/>
          <w:b/>
          <w:color w:val="142233"/>
          <w:sz w:val="23"/>
        </w:rPr>
        <w:t>No New Developments on the APT Iran / Texas Telecom-Water Claim, or on "TheGentlemen" Ransomware</w:t>
      </w:r>
    </w:p>
    <w:p>
      <w:pPr>
        <w:spacing w:after="160"/>
      </w:pPr>
      <w:r>
        <w:rPr>
          <w:rFonts w:ascii="Georgia" w:hAnsi="Georgia"/>
          <w:b w:val="0"/>
          <w:i w:val="0"/>
          <w:color w:val="142233"/>
          <w:sz w:val="21"/>
        </w:rPr>
        <w:t>Per the standing no-duplicate-events rule, two threads tracked heavily in ATB-2026-27 saw no new development in this coverage window and are noted here only for continuity. First, the "APT Iran" claim against Texas telecom infrastructure and an unnamed Texas water utility remains exactly where it stood last issue: unconfirmed, with AT&amp;T's cable-theft explanation for the underlying outage unchanged and no government confirmation or denial identified despite a targeted search this cycle. Second, the ransomware group calling itself "TheGentlemen," which claimed Nutex Health and Veradigm in the prior two cycles, posted no new named victim in the 14–20 September window based on available leak-site tracking; its most recent claims (Seasia Infotech, Leo Schachter Diamonds, Veradigm, Zdrowit, and Lider Aviacao) all predate this coverage period. Neither thread is escalating this week, and neither should be read as resolved.</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Geopolitical Driver</w:t>
      </w:r>
    </w:p>
    <w:p>
      <w:pPr>
        <w:spacing w:after="160"/>
      </w:pPr>
      <w:r>
        <w:rPr>
          <w:rFonts w:ascii="Georgia" w:hAnsi="Georgia"/>
          <w:b w:val="0"/>
          <w:i w:val="0"/>
          <w:color w:val="142233"/>
          <w:sz w:val="21"/>
        </w:rPr>
        <w:t>No confirmed nation-state actor claimed direct responsibility for this week's dominant story — the CenterPoint Energy breach carries no public attribution to China, Russia, Iran, or DPRK, and Liberty CTI treats it as presumptively criminal pending further detail. Iran remains the most active geopolitical driver via the stalled Hormuz diplomacy and the ongoing, unresolved APT Iran/Texas claim, though neither materially changed this week. China and Russia saw no new confirmed development this cycle beyond the carried-forward Cisco exploitation thread, which last week's Talos disclosure tied to Russia's Sandworm for Firewall Management Center specifically — a link that has not yet been extended to this week's ISE or Secure Email Gateway exploitation. DPRK: no new development was identified this week.</w:t>
      </w: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Why This Matters to Texas</w:t>
      </w:r>
    </w:p>
    <w:p>
      <w:pPr>
        <w:spacing w:after="160"/>
      </w:pPr>
      <w:r>
        <w:rPr>
          <w:rFonts w:ascii="Georgia" w:hAnsi="Georgia"/>
          <w:b w:val="0"/>
          <w:i w:val="0"/>
          <w:color w:val="142233"/>
          <w:sz w:val="21"/>
        </w:rPr>
        <w:t>CenterPoint Energy is not a hypothetical Texas exposure scenario — it is a confirmed one, at one of the state's largest utilities, and it arrived through the same category of external-facing customer system that most Texas energy, finance, and healthcare organizations operate without the governance attention given to operational technology. The practical question for every Texas critical-infrastructure executive this week is not whether their organization resembles CenterPoint's grid — it is whether their organization resembles CenterPoint's billing portal.</w:t>
      </w:r>
    </w:p>
    <w:p>
      <w:pPr>
        <w:spacing w:before="320" w:after="120"/>
        <w:pBdr>
          <w:bottom w:val="single" w:sz="6" w:space="4" w:color="A67C2E"/>
        </w:pBdr>
      </w:pPr>
      <w:r>
        <w:rPr>
          <w:rFonts w:ascii="Calibri" w:hAnsi="Calibri"/>
          <w:b/>
          <w:color w:val="7A5A1E"/>
          <w:sz w:val="27"/>
        </w:rPr>
        <w:t>Cross-Sector Cascade Assessment</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Customer-Data Governance / Identity Infrastructure</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A confirmed, SEC-disclosed breach of up to 7.49 million customer records at CenterPoint Energy, through an external-facing system, with litigation already outpacing formal disclosure; separately, Cisco Identity Services Engine — widely used by utilities to enforce IT/OT network segmentation — absorbed a maximum-severity, actively exploited authentication-bypass flaw this week; and the FBI and Coast Guard confirmed a Texas-bound tanker (VL Prosperity) was boarded after a suspected network compromise and remains at anchor off Galveston under investigation. </w:t>
            </w:r>
            <w:r>
              <w:rPr>
                <w:rFonts w:ascii="Georgia" w:hAnsi="Georgia"/>
                <w:b/>
                <w:i w:val="0"/>
                <w:color w:val="142233"/>
                <w:sz w:val="19"/>
              </w:rPr>
              <w:t>Why it matters locally:</w:t>
            </w:r>
            <w:r>
              <w:rPr>
                <w:rFonts w:ascii="Georgia" w:hAnsi="Georgia"/>
                <w:b w:val="0"/>
                <w:i w:val="0"/>
                <w:color w:val="142233"/>
                <w:sz w:val="19"/>
              </w:rPr>
              <w:t xml:space="preserve"> CenterPoint states its grid was unaffected, but the breach demonstrates that customer-facing IT, not OT, is the practical point of failure; if the same organization's ISE deployment (or equivalent) is unpatched, the segmentation meant to contain a future customer-IT compromise from reaching OT may not hold. </w:t>
            </w:r>
            <w:r>
              <w:rPr>
                <w:rFonts w:ascii="Georgia" w:hAnsi="Georgia"/>
                <w:b/>
                <w:i w:val="0"/>
                <w:color w:val="142233"/>
                <w:sz w:val="19"/>
              </w:rPr>
              <w:t>Cascade risk:</w:t>
            </w:r>
            <w:r>
              <w:rPr>
                <w:rFonts w:ascii="Georgia" w:hAnsi="Georgia"/>
                <w:b w:val="0"/>
                <w:i w:val="0"/>
                <w:color w:val="142233"/>
                <w:sz w:val="19"/>
              </w:rPr>
              <w:t xml:space="preserve"> Confirm Cisco ISE and Secure Email Gateway patch status this week; inventory which customer-facing systems and vendors hold driver's license or SSN-fragment data; pre-wire your SEC materiality-determination and customer-notification timeline against a compressed, forum-post-driven disclosure window. Separately, name the decision authority — COO, CISO, General Counsel — for accepting, rerouting, or isolating a cyber-suspect vessel or cargo dependency now; VL Prosperity's disposition is a live preview of that exact decision, not a hypothetical.</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Financial Identity-Fraud Exposure / Vendor Patch Status</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No new Texas-specific bank or financial-institution breach was identified this week. What did change: CenterPoint's exposed dataset (driver's license numbers plus last-four Social Security digits) is a known combination for synthetic-identity and account-takeover fraud, and Cisco Secure Email Gateway — widely deployed by financial institutions for phishing defense — had a maximum-severity actively-exploited flaw disclosed this week. </w:t>
            </w:r>
            <w:r>
              <w:rPr>
                <w:rFonts w:ascii="Georgia" w:hAnsi="Georgia"/>
                <w:b/>
                <w:i w:val="0"/>
                <w:color w:val="142233"/>
                <w:sz w:val="19"/>
              </w:rPr>
              <w:t>Why it matters locally:</w:t>
            </w:r>
            <w:r>
              <w:rPr>
                <w:rFonts w:ascii="Georgia" w:hAnsi="Georgia"/>
                <w:b w:val="0"/>
                <w:i w:val="0"/>
                <w:color w:val="142233"/>
                <w:sz w:val="19"/>
              </w:rPr>
              <w:t xml:space="preserve"> Texas financial institutions serving any of CenterPoint's roughly 7 million exposed customers should be positioned now for a possible rise in application-fraud and account-takeover attempts using this specific data combination in the coming weeks, independent of whether the institution itself was breached. </w:t>
            </w:r>
            <w:r>
              <w:rPr>
                <w:rFonts w:ascii="Georgia" w:hAnsi="Georgia"/>
                <w:b/>
                <w:i w:val="0"/>
                <w:color w:val="142233"/>
                <w:sz w:val="19"/>
              </w:rPr>
              <w:t>Cascade risk:</w:t>
            </w:r>
            <w:r>
              <w:rPr>
                <w:rFonts w:ascii="Georgia" w:hAnsi="Georgia"/>
                <w:b w:val="0"/>
                <w:i w:val="0"/>
                <w:color w:val="142233"/>
                <w:sz w:val="19"/>
              </w:rPr>
              <w:t xml:space="preserve"> Brief fraud and AML teams specifically on the CenterPoint dataset composition; confirm Secure Email Gateway patch status; do not wait for a confirmed fraud spike to treat this as a live indicator.</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Healthcare / DIB / AI Identity-Infrastructure Exposure / Continued Absence of a Named Victim</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Cisco Identity Services Engine, used broadly across hospital networks and defense-contractor facilities for network access control, entered its own active-exploitation window this week (CVE-2026-76460); no confirmed Texas victim has emerged in the AI-orchestrated campaigns Liberty CTI has tracked since ATB-2026-27, and no new "TheGentlemen" ransomware victim was posted in this coverage window. </w:t>
            </w:r>
            <w:r>
              <w:rPr>
                <w:rFonts w:ascii="Georgia" w:hAnsi="Georgia"/>
                <w:b/>
                <w:i w:val="0"/>
                <w:color w:val="142233"/>
                <w:sz w:val="19"/>
              </w:rPr>
              <w:t>Why it matters locally:</w:t>
            </w:r>
            <w:r>
              <w:rPr>
                <w:rFonts w:ascii="Georgia" w:hAnsi="Georgia"/>
                <w:b w:val="0"/>
                <w:i w:val="0"/>
                <w:color w:val="142233"/>
                <w:sz w:val="19"/>
              </w:rPr>
              <w:t xml:space="preserve"> Texas's concentration of defense contractors, hospital systems, and AI data centers means any organization running Cisco ISE for access control should treat this as an immediate patch-verification task, not a background item. </w:t>
            </w:r>
            <w:r>
              <w:rPr>
                <w:rFonts w:ascii="Georgia" w:hAnsi="Georgia"/>
                <w:b/>
                <w:i w:val="0"/>
                <w:color w:val="142233"/>
                <w:sz w:val="19"/>
              </w:rPr>
              <w:t>Cascade risk:</w:t>
            </w:r>
            <w:r>
              <w:rPr>
                <w:rFonts w:ascii="Georgia" w:hAnsi="Georgia"/>
                <w:b w:val="0"/>
                <w:i w:val="0"/>
                <w:color w:val="142233"/>
                <w:sz w:val="19"/>
              </w:rPr>
              <w:t xml:space="preserve"> Confirm ISE patch status alongside your energy-sector counterparts; continue withholding elevated resource allocation from the unconfirmed AI-orchestration Texas threat while it remains unconfirmed, but do not read the continued absence of a named victim as evidence of safety — Anthropic's own reporting last cycle noted its telemetry cannot be independently verified by outside researchers. Separately and at lower priority: Texas tightened water-use reporting enforcement for major water users, including AI data centers (14 September), tying noncompliance to permit and ERCOT interconnection consequences — a regulatory, not cyber, development, but one that makes AI/data-center siting and capital decisions inseparable from water and grid-interconnection compliance going forward.</w:t>
              <w:br/>
              <w:t xml:space="preserve"> </w:t>
            </w:r>
          </w:p>
        </w:tc>
      </w:tr>
    </w:tbl>
    <w:p>
      <w:pPr>
        <w:spacing w:after="120"/>
      </w:pP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Indicators &amp; Warnings — PIR Watch, 1 to 4 Weeks</w:t>
      </w:r>
    </w:p>
    <w:p>
      <w:pPr>
        <w:spacing w:before="160" w:after="40"/>
      </w:pPr>
      <w:r>
        <w:rPr>
          <w:b/>
          <w:color w:val="1F5C8C"/>
          <w:sz w:val="18"/>
        </w:rPr>
        <w:t xml:space="preserve">PIR 3 / I&amp;W 1  </w:t>
      </w:r>
      <w:r>
        <w:rPr>
          <w:b/>
          <w:color w:val="142233"/>
          <w:sz w:val="20"/>
        </w:rPr>
        <w:t>CenterPoint Energy's formal breach-notification filing and root-cause disclosure</w:t>
      </w:r>
      <w:r>
        <w:rPr>
          <w:i/>
          <w:color w:val="7A5A1E"/>
          <w:sz w:val="18"/>
        </w:rPr>
        <w:t xml:space="preserve">   [↑ Rising]</w:t>
      </w:r>
    </w:p>
    <w:p>
      <w:pPr>
        <w:spacing w:after="40"/>
        <w:ind w:left="283"/>
      </w:pPr>
      <w:r>
        <w:rPr>
          <w:color w:val="142233"/>
          <w:sz w:val="19"/>
        </w:rPr>
        <w:t>→ Watch for CenterPoint's formal notification to the Texas Attorney General with a specific affected-count and root-cause statement, and for whether any other Texas utility discloses a breach through the same billing or customer-portal vendor in the coming weeks — a sign of a shared third-party root cause rather than an isolated incident.</w:t>
      </w:r>
    </w:p>
    <w:p>
      <w:pPr>
        <w:spacing w:after="40"/>
        <w:ind w:left="283"/>
      </w:pPr>
      <w:r>
        <w:rPr>
          <w:color w:val="142233"/>
          <w:sz w:val="19"/>
        </w:rPr>
        <w:t>→ Tied to: PIR 3, business-impact and continuity indicators.</w:t>
      </w:r>
    </w:p>
    <w:p>
      <w:pPr>
        <w:spacing w:before="160" w:after="40"/>
      </w:pPr>
      <w:r>
        <w:rPr>
          <w:b/>
          <w:color w:val="1F5C8C"/>
          <w:sz w:val="18"/>
        </w:rPr>
        <w:t xml:space="preserve">PIR 1 / I&amp;W 2  </w:t>
      </w:r>
      <w:r>
        <w:rPr>
          <w:b/>
          <w:color w:val="142233"/>
          <w:sz w:val="20"/>
        </w:rPr>
        <w:t>Attribution and named-victim developments on Cisco ISE and Secure Email Gateway exploitation</w:t>
      </w:r>
      <w:r>
        <w:rPr>
          <w:i/>
          <w:color w:val="7A5A1E"/>
          <w:sz w:val="18"/>
        </w:rPr>
        <w:t xml:space="preserve">   [↑ Rising]</w:t>
      </w:r>
    </w:p>
    <w:p>
      <w:pPr>
        <w:spacing w:after="40"/>
        <w:ind w:left="283"/>
      </w:pPr>
      <w:r>
        <w:rPr>
          <w:color w:val="142233"/>
          <w:sz w:val="19"/>
        </w:rPr>
        <w:t>→ Watch for CISA, Cisco Talos, or a named victim organization — especially in Texas energy, healthcare, or DIB — tied to CVE-2026-76460 or CVE-2026-76461, and for whether either flaw is linked to the same Sandworm/Qilin actors implicated in the prior week's Firewall Management Center exploitation.</w:t>
      </w:r>
    </w:p>
    <w:p>
      <w:pPr>
        <w:spacing w:after="40"/>
        <w:ind w:left="283"/>
      </w:pPr>
      <w:r>
        <w:rPr>
          <w:color w:val="142233"/>
          <w:sz w:val="19"/>
        </w:rPr>
        <w:t>→ Tied to: PIR 1, adversary-intent and capability indicators.</w:t>
      </w:r>
    </w:p>
    <w:p>
      <w:pPr>
        <w:spacing w:before="160" w:after="40"/>
      </w:pPr>
      <w:r>
        <w:rPr>
          <w:b/>
          <w:color w:val="1F5C8C"/>
          <w:sz w:val="18"/>
        </w:rPr>
        <w:t xml:space="preserve">PIR 3 / I&amp;W 3  </w:t>
      </w:r>
      <w:r>
        <w:rPr>
          <w:b/>
          <w:color w:val="142233"/>
          <w:sz w:val="20"/>
        </w:rPr>
        <w:t>A named Texas victim in an AI-orchestrated campaign or Cisco exploitation chain</w:t>
      </w:r>
      <w:r>
        <w:rPr>
          <w:i/>
          <w:color w:val="7A5A1E"/>
          <w:sz w:val="18"/>
        </w:rPr>
        <w:t xml:space="preserve">   [→ Unclear]</w:t>
      </w:r>
    </w:p>
    <w:p>
      <w:pPr>
        <w:spacing w:after="40"/>
        <w:ind w:left="283"/>
      </w:pPr>
      <w:r>
        <w:rPr>
          <w:color w:val="142233"/>
          <w:sz w:val="19"/>
        </w:rPr>
        <w:t>→ Watch for any AI-provider disclosure or Cisco/Talos follow-up naming a Texas energy, healthcare, DIB, or government victim of the GTG-20006, GTG-10007, or Cisco exploitation activity tracked across the past two issues — still the single highest-priority carried-forward watch item.</w:t>
      </w:r>
    </w:p>
    <w:p>
      <w:pPr>
        <w:spacing w:after="40"/>
        <w:ind w:left="283"/>
      </w:pPr>
      <w:r>
        <w:rPr>
          <w:color w:val="142233"/>
          <w:sz w:val="19"/>
        </w:rPr>
        <w:t>→ Tied to: PIR 3, business-impact and continuity indicators.</w:t>
      </w:r>
    </w:p>
    <w:p>
      <w:pPr>
        <w:spacing w:before="160" w:after="40"/>
      </w:pPr>
      <w:r>
        <w:rPr>
          <w:b/>
          <w:color w:val="1F5C8C"/>
          <w:sz w:val="18"/>
        </w:rPr>
        <w:t xml:space="preserve">PIR 1 / I&amp;W 4  </w:t>
      </w:r>
      <w:r>
        <w:rPr>
          <w:b/>
          <w:color w:val="142233"/>
          <w:sz w:val="20"/>
        </w:rPr>
        <w:t>Unilateral Iran-Oman Hormuz announcement, or renewed summit, and Brent's response</w:t>
      </w:r>
      <w:r>
        <w:rPr>
          <w:i/>
          <w:color w:val="7A5A1E"/>
          <w:sz w:val="18"/>
        </w:rPr>
        <w:t xml:space="preserve">   [→ Unclear]</w:t>
      </w:r>
    </w:p>
    <w:p>
      <w:pPr>
        <w:spacing w:after="40"/>
        <w:ind w:left="283"/>
      </w:pPr>
      <w:r>
        <w:rPr>
          <w:color w:val="142233"/>
          <w:sz w:val="19"/>
        </w:rPr>
        <w:t>→ Watch for Iran registering or announcing a shipping-lane arrangement with Oman without full Gulf-state buy-in, for a rescheduled Salalah summit, and for whether Brent moves materially off its ~$104 plateau in either direction — the key swing factor for Texas fuel costs and refining margins.</w:t>
      </w:r>
    </w:p>
    <w:p>
      <w:pPr>
        <w:spacing w:after="40"/>
        <w:ind w:left="283"/>
      </w:pPr>
      <w:r>
        <w:rPr>
          <w:color w:val="142233"/>
          <w:sz w:val="19"/>
        </w:rPr>
        <w:t>→ Tied to: PIR 1, geopolitical trigger indicators.</w:t>
      </w:r>
    </w:p>
    <w:p>
      <w:pPr>
        <w:spacing w:before="160" w:after="40"/>
      </w:pPr>
      <w:r>
        <w:rPr>
          <w:b/>
          <w:color w:val="1F5C8C"/>
          <w:sz w:val="18"/>
        </w:rPr>
        <w:t xml:space="preserve">PIR 4 / I&amp;W 5  </w:t>
      </w:r>
      <w:r>
        <w:rPr>
          <w:b/>
          <w:color w:val="142233"/>
          <w:sz w:val="20"/>
        </w:rPr>
        <w:t>CenterPoint Energy litigation consolidation and Texas regulatory response</w:t>
      </w:r>
      <w:r>
        <w:rPr>
          <w:i/>
          <w:color w:val="7A5A1E"/>
          <w:sz w:val="18"/>
        </w:rPr>
        <w:t xml:space="preserve">   [→ Unclear]</w:t>
      </w:r>
    </w:p>
    <w:p>
      <w:pPr>
        <w:spacing w:after="40"/>
        <w:ind w:left="283"/>
      </w:pPr>
      <w:r>
        <w:rPr>
          <w:color w:val="142233"/>
          <w:sz w:val="19"/>
        </w:rPr>
        <w:t>→ Watch for consolidation of the five-plus proposed class actions into a single federal case, and for whether the Public Utility Commission of Texas or the Texas Attorney General opens a formal inquiry — the first concrete test of how Texas's post-2025 regulatory apparatus responds to a utility-sector breach of this scale.</w:t>
      </w:r>
    </w:p>
    <w:p>
      <w:pPr>
        <w:spacing w:after="40"/>
        <w:ind w:left="283"/>
      </w:pPr>
      <w:r>
        <w:rPr>
          <w:color w:val="142233"/>
          <w:sz w:val="19"/>
        </w:rPr>
        <w:t>→ Tied to: PIR 4, business-impact and continuity indicators.</w:t>
      </w:r>
    </w:p>
    <w:p>
      <w:pPr>
        <w:spacing w:before="160" w:after="40"/>
      </w:pPr>
      <w:r>
        <w:rPr>
          <w:b/>
          <w:color w:val="1F5C8C"/>
          <w:sz w:val="18"/>
        </w:rPr>
        <w:t xml:space="preserve">PIR 1 / I&amp;W 6  </w:t>
      </w:r>
      <w:r>
        <w:rPr>
          <w:b/>
          <w:color w:val="142233"/>
          <w:sz w:val="20"/>
        </w:rPr>
        <w:t>VL Prosperity disposition and U.S. attribution status</w:t>
      </w:r>
      <w:r>
        <w:rPr>
          <w:i/>
          <w:color w:val="7A5A1E"/>
          <w:sz w:val="18"/>
        </w:rPr>
        <w:t xml:space="preserve">   [↑ Rising]</w:t>
      </w:r>
    </w:p>
    <w:p>
      <w:pPr>
        <w:spacing w:after="40"/>
        <w:ind w:left="283"/>
      </w:pPr>
      <w:r>
        <w:rPr>
          <w:color w:val="142233"/>
          <w:sz w:val="19"/>
        </w:rPr>
        <w:t>→ Watch for the vessel's release, continued hold, or diversion from anchor off Galveston; for any DOJ/FBI/Treasury attribution statement naming a responsible actor; and for whether U.S. authorities confirm or refute the specific Iranian media claims of engine-system manipulation — currently only Tehran-linked outlets have made those technical claims.</w:t>
      </w:r>
    </w:p>
    <w:p>
      <w:pPr>
        <w:spacing w:after="40"/>
        <w:ind w:left="283"/>
      </w:pPr>
      <w:r>
        <w:rPr>
          <w:color w:val="142233"/>
          <w:sz w:val="19"/>
        </w:rPr>
        <w:t>→ Tied to: PIR 1, adversary-intent and capability indicators.</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Governance Implication Block</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Decision at risk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Whether the organization governs customer-facing billing, account-management, and vendor-integrated IT systems with the same rigor it applies to operational technology — before a criminal forum post, not a security review, forces the discovery.</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Owner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CEO, with the CIO/CISO, General Counsel, and Investor Relations for any SEC-reportable customer-data exposure (materiality determination and 8-K timing). CISO/CIO separately own Cisco Identity Services Engine and Secure Email Gateway patch verification given two back-to-back maximum-severity, actively exploited flaws. General Counsel owns litigation-readiness given how quickly class actions followed CenterPoint's forum leak.</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Consequence of delay</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Continued exposure of driver's license and Social Security data usable for identity fraud against customers; class-action litigation that outpaces the organization's own disclosure timeline, as it did at CenterPoint; and, if Cisco ISE remains unpatched, degraded confidence that IT/OT network segmentation will hold if a customer-data compromise is attempted to reach further.</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Action this week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Confirm Cisco Identity Services Engine and Secure Email Gateway patch status immediately, given active exploitation of both. Inventory customer-facing systems and third-party vendors that store driver's license numbers or Social Security fragments, and name a business owner for each. Pressure-test the organization's SEC materiality-determination and customer/regulator notification timeline against a forum-post-to-lawsuit window measured in days, not weeks. Separately, name the decision authority for accepting, rerouting, or isolating a vessel or cargo dependency under an unresolved cyber investigation — VL Prosperity is a live case, not a planning exercise.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Record to preserve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The Cisco ISE and Secure Email Gateway patch-verification outcomes; the customer-facing system and vendor inventory with named owners; and the materiality-determination and notification-timeline test results — in board or risk-committee minutes. Separately, documentation of which VL Prosperity technical claims were confirmed by U.S. authorities versus alleged only by Iranian state media.</w:t>
            </w:r>
          </w:p>
        </w:tc>
      </w:tr>
    </w:tbl>
    <w:p>
      <w:pPr>
        <w:spacing w:after="120"/>
      </w:pPr>
    </w:p>
    <w:p>
      <w:pPr>
        <w:spacing w:after="160"/>
      </w:pPr>
      <w:r>
        <w:rPr>
          <w:rFonts w:ascii="Georgia" w:hAnsi="Georgia"/>
          <w:b w:val="0"/>
          <w:i w:val="0"/>
          <w:color w:val="142233"/>
          <w:sz w:val="21"/>
        </w:rPr>
        <w:t>Section VII</w:t>
      </w:r>
    </w:p>
    <w:p>
      <w:pPr>
        <w:spacing w:before="320" w:after="120"/>
        <w:pBdr>
          <w:bottom w:val="single" w:sz="6" w:space="4" w:color="A67C2E"/>
        </w:pBdr>
      </w:pPr>
      <w:r>
        <w:rPr>
          <w:rFonts w:ascii="Calibri" w:hAnsi="Calibri"/>
          <w:b/>
          <w:color w:val="7A5A1E"/>
          <w:sz w:val="27"/>
        </w:rPr>
        <w:t>Actions This Week</w:t>
      </w:r>
    </w:p>
    <w:p>
      <w:pPr>
        <w:spacing w:after="160"/>
      </w:pPr>
      <w:r>
        <w:rPr>
          <w:rFonts w:ascii="Georgia" w:hAnsi="Georgia"/>
          <w:b w:val="0"/>
          <w:i w:val="0"/>
          <w:color w:val="142233"/>
          <w:sz w:val="21"/>
        </w:rPr>
        <w:t>Section VIII</w:t>
      </w:r>
    </w:p>
    <w:p>
      <w:pPr>
        <w:spacing w:before="320" w:after="120"/>
        <w:pBdr>
          <w:bottom w:val="single" w:sz="6" w:space="4" w:color="A67C2E"/>
        </w:pBdr>
      </w:pPr>
      <w:r>
        <w:rPr>
          <w:rFonts w:ascii="Calibri" w:hAnsi="Calibri"/>
          <w:b/>
          <w:color w:val="7A5A1E"/>
          <w:sz w:val="27"/>
        </w:rPr>
        <w:t>Prior Judgment Tracker</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Prior judgment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ATB-2026-27 assessed, at moderate confidence, that AI-orchestrated collection and attack activity would drive more attempts against the technology, defense, and energy supply chain over six to twelve months, with a named Texas victim as the single highest-priority open indicator.</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Current status</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Unresolved, not escalated. No named Texas victim emerged in any AI-orchestrated campaign or Cisco exploitation chain this week. That judgment is now subordinated in priority to this issue's dominant story — a confirmed, non-AI, non-nation-state criminal breach at CenterPoint Energy — a reminder that the highest-confidence Texas critical-infrastructure threat this cycle was the most ordinary one.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What changed</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 new, higher-priority thread displaced last issue's AI-orchestration focus: a confirmed, SEC-disclosed breach at a major Texas utility, driven by criminal opportunism against external-facing IT rather than by a nation-state or AI-orchestrated campaign. The Cisco exploitation thread continued and expanded (Firewall Management Center last week; Secure Email Gateway and Identity Services Engine this week). The Iran-Gulf chokepoint thread continued without material change.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Confidence movement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This week's disclosed CenterPoint, Cisco, and VL Prosperity activity are documented occurrences, per multiply-sourced reporting, CenterPoint's own SEC filing, and the joint FBI/Coast Guard statement — not analytic judgments, so no confidence badge applies. Moderate confidence, unchanged, on the six-to-twelve-month AI-orchestration judgment from ATB-2026-27 — this week neither confirmed nor weakened it, since no new AI-specific development was identified. APT Iran/Texas telecom-water claim moved from Moderate to Low confidence this issue, reflecting three cycles with no corroboration.</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Next indicator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CenterPoint's formal root-cause disclosure and any second Texas utility breach through the same vendor would be the most significant possible confirmation of a systemic third-party pattern for next issue; a named Texas victim in the AI-orchestration or Cisco exploitation threads remains the secondary open item.</w:t>
            </w:r>
          </w:p>
        </w:tc>
      </w:tr>
    </w:tbl>
    <w:p>
      <w:pPr>
        <w:spacing w:after="120"/>
      </w:pPr>
    </w:p>
    <w:p>
      <w:pPr>
        <w:spacing w:after="160"/>
      </w:pPr>
      <w:r>
        <w:rPr>
          <w:rFonts w:ascii="Georgia" w:hAnsi="Georgia"/>
          <w:b w:val="0"/>
          <w:i w:val="0"/>
          <w:color w:val="142233"/>
          <w:sz w:val="21"/>
        </w:rPr>
        <w:t>Section IX — Sourcing</w:t>
      </w:r>
    </w:p>
    <w:p>
      <w:pPr>
        <w:spacing w:before="320" w:after="120"/>
        <w:pBdr>
          <w:bottom w:val="single" w:sz="6" w:space="4" w:color="A67C2E"/>
        </w:pBdr>
      </w:pPr>
      <w:r>
        <w:rPr>
          <w:rFonts w:ascii="Calibri" w:hAnsi="Calibri"/>
          <w:b/>
          <w:color w:val="7A5A1E"/>
          <w:sz w:val="27"/>
        </w:rPr>
        <w:t>Open Source Basis</w:t>
      </w:r>
    </w:p>
    <w:p>
      <w:pPr>
        <w:spacing w:before="200"/>
      </w:pPr>
      <w:r>
        <w:rPr>
          <w:rFonts w:ascii="Calibri" w:hAnsi="Calibri"/>
          <w:b/>
          <w:color w:val="1F5C8C"/>
          <w:sz w:val="18"/>
        </w:rPr>
        <w:t>PRIMARY SOURCES — ATB-2026-28 — COVERAGE WEEK 14–20 SEPTEMBER 2026</w:t>
      </w:r>
    </w:p>
    <w:p>
      <w:pPr>
        <w:spacing w:before="120" w:after="20"/>
      </w:pPr>
      <w:r>
        <w:rPr>
          <w:rFonts w:ascii="Calibri" w:hAnsi="Calibri"/>
          <w:b/>
          <w:color w:val="7A5A1E"/>
          <w:sz w:val="15"/>
        </w:rPr>
        <w:t>CORPORATE / REGULATORY FILING</w:t>
        <w:br/>
      </w:r>
      <w:r>
        <w:rPr>
          <w:b/>
          <w:color w:val="142233"/>
          <w:sz w:val="20"/>
        </w:rPr>
        <w:t>CenterPoint Energy — SEC Form 8-K, Customer Data Breach Disclosure</w:t>
      </w:r>
    </w:p>
    <w:p>
      <w:pPr>
        <w:spacing w:after="20"/>
      </w:pPr>
      <w:hyperlink r:id="rId11">
        <w:r>
          <w:rPr>
            <w:color w:val="1F5C8C"/>
            <w:u w:val="single"/>
            <w:sz w:val="17"/>
            <w:rFonts w:ascii="Consolas"/>
          </w:rPr>
          <w:t>As reported by Help Net Security, 16 September 2026 (filing on or about 14 September 2026)</w:t>
        </w:r>
      </w:hyperlink>
    </w:p>
    <w:p>
      <w:pPr>
        <w:spacing w:after="40"/>
      </w:pPr>
      <w:r>
        <w:rPr>
          <w:i/>
          <w:color w:val="5C5C5C"/>
          <w:sz w:val="17"/>
        </w:rPr>
        <w:t>Primary basis for KJ-1 and the Dominant Judgment. CenterPoint's own statement to the SEC on the breach, affected data categories, and grid-operations impact.</w:t>
      </w:r>
    </w:p>
    <w:p>
      <w:pPr>
        <w:spacing w:before="120" w:after="20"/>
      </w:pPr>
      <w:r>
        <w:rPr>
          <w:rFonts w:ascii="Calibri" w:hAnsi="Calibri"/>
          <w:b/>
          <w:color w:val="7A5A1E"/>
          <w:sz w:val="15"/>
        </w:rPr>
        <w:t>MARITIME CYBER INCIDENT</w:t>
        <w:br/>
      </w:r>
      <w:r>
        <w:rPr>
          <w:b/>
          <w:color w:val="142233"/>
          <w:sz w:val="20"/>
        </w:rPr>
        <w:t>Joint FBI/Coast Guard Statement — VL Prosperity and Second Tanker Network Compromise</w:t>
      </w:r>
    </w:p>
    <w:p>
      <w:pPr>
        <w:spacing w:after="20"/>
      </w:pPr>
      <w:hyperlink r:id="rId12">
        <w:r>
          <w:rPr>
            <w:color w:val="1F5C8C"/>
            <w:u w:val="single"/>
            <w:sz w:val="17"/>
            <w:rFonts w:ascii="Consolas"/>
          </w:rPr>
          <w:t>TechCrunch, The Record, and AP, 16–18 September 2026</w:t>
        </w:r>
      </w:hyperlink>
    </w:p>
    <w:p>
      <w:pPr>
        <w:spacing w:after="40"/>
      </w:pPr>
      <w:r>
        <w:rPr>
          <w:i/>
          <w:color w:val="5C5C5C"/>
          <w:sz w:val="17"/>
        </w:rPr>
        <w:t>Primary basis for KJ-3. Vessel identification and Galveston destination independently corroborated by Maritime Executive, Cybernews, and ShipUniverse, 17–18 September 2026. Iranian state-media technical claims (Tasnim, Mehr) explicitly flagged as unverified and sourced from an interested party, not carried as confirmed fact.</w:t>
      </w:r>
    </w:p>
    <w:p>
      <w:pPr>
        <w:spacing w:before="120" w:after="20"/>
      </w:pPr>
      <w:r>
        <w:rPr>
          <w:rFonts w:ascii="Calibri" w:hAnsi="Calibri"/>
          <w:b/>
          <w:color w:val="7A5A1E"/>
          <w:sz w:val="15"/>
        </w:rPr>
        <w:t>NETWORK VENDOR / SECURITY ADVISORY</w:t>
        <w:br/>
      </w:r>
      <w:r>
        <w:rPr>
          <w:b/>
          <w:color w:val="142233"/>
          <w:sz w:val="20"/>
        </w:rPr>
        <w:t>Cisco — Security Advisory: Active Exploitation of Identity Services Engine (CVE-2026-76460) and Secure Email Gateway (CVE-2026-76461)</w:t>
      </w:r>
    </w:p>
    <w:p>
      <w:pPr>
        <w:spacing w:after="20"/>
      </w:pPr>
      <w:hyperlink r:id="rId13">
        <w:r>
          <w:rPr>
            <w:color w:val="1F5C8C"/>
            <w:u w:val="single"/>
            <w:sz w:val="17"/>
            <w:rFonts w:ascii="Consolas"/>
          </w:rPr>
          <w:t>sec.cloudapps.cisco.com, 15–18 September 2026</w:t>
        </w:r>
      </w:hyperlink>
    </w:p>
    <w:p>
      <w:pPr>
        <w:spacing w:after="40"/>
      </w:pPr>
      <w:r>
        <w:rPr>
          <w:i/>
          <w:color w:val="5C5C5C"/>
          <w:sz w:val="17"/>
        </w:rPr>
        <w:t>Primary basis for KJ-4. Cisco's own advisory and hardening release; corroborated by The Hacker News and CISA's KEV addition of CVE-2026-76460 on 16 September.</w:t>
      </w:r>
    </w:p>
    <w:p>
      <w:pPr>
        <w:spacing w:before="120" w:after="20"/>
      </w:pPr>
      <w:r>
        <w:rPr>
          <w:rFonts w:ascii="Calibri" w:hAnsi="Calibri"/>
          <w:b/>
          <w:color w:val="7A5A1E"/>
          <w:sz w:val="15"/>
        </w:rPr>
        <w:t>NEWS / GEOPOLITICAL</w:t>
        <w:br/>
      </w:r>
      <w:r>
        <w:rPr>
          <w:b/>
          <w:color w:val="142233"/>
          <w:sz w:val="20"/>
        </w:rPr>
        <w:t>Al Jazeera — Temporary Hormuz Solution Deferred as Iran-Arab Summit Falls Through</w:t>
      </w:r>
    </w:p>
    <w:p>
      <w:pPr>
        <w:spacing w:after="20"/>
      </w:pPr>
      <w:hyperlink r:id="rId14">
        <w:r>
          <w:rPr>
            <w:color w:val="1F5C8C"/>
            <w:u w:val="single"/>
            <w:sz w:val="17"/>
            <w:rFonts w:ascii="Consolas"/>
          </w:rPr>
          <w:t>aljazeera.com, 14 September 2026</w:t>
        </w:r>
      </w:hyperlink>
    </w:p>
    <w:p>
      <w:pPr>
        <w:spacing w:after="40"/>
      </w:pPr>
      <w:r>
        <w:rPr>
          <w:i/>
          <w:color w:val="5C5C5C"/>
          <w:sz w:val="17"/>
        </w:rPr>
        <w:t>Primary basis for KJ-5. Reporting on the postponed Salalah summit and Saudi objection.</w:t>
      </w:r>
    </w:p>
    <w:p>
      <w:pPr>
        <w:spacing w:before="120" w:after="20"/>
      </w:pPr>
      <w:r>
        <w:rPr>
          <w:rFonts w:ascii="Calibri" w:hAnsi="Calibri"/>
          <w:b/>
          <w:color w:val="7A5A1E"/>
          <w:sz w:val="15"/>
        </w:rPr>
        <w:t>CYBERSECURITY / BREACH REPORTING</w:t>
        <w:br/>
      </w:r>
      <w:r>
        <w:rPr>
          <w:b/>
          <w:color w:val="142233"/>
          <w:sz w:val="20"/>
        </w:rPr>
        <w:t>CyberInsider, SecurityWeek, TechNadu, and Hoodline — CenterPoint Energy breach detail and litigation tracking</w:t>
      </w:r>
    </w:p>
    <w:p>
      <w:pPr>
        <w:spacing w:after="20"/>
      </w:pPr>
      <w:hyperlink r:id="rId15">
        <w:r>
          <w:rPr>
            <w:color w:val="1F5C8C"/>
            <w:u w:val="single"/>
            <w:sz w:val="17"/>
            <w:rFonts w:ascii="Consolas"/>
          </w:rPr>
          <w:t>cyberinsider.com, securityweek.com, technadu.com, hoodline.com, 14–16 September 2026</w:t>
        </w:r>
      </w:hyperlink>
    </w:p>
    <w:p>
      <w:pPr>
        <w:spacing w:after="40"/>
      </w:pPr>
      <w:r>
        <w:rPr>
          <w:i/>
          <w:color w:val="5C5C5C"/>
          <w:sz w:val="17"/>
        </w:rPr>
        <w:t>Cited for forum-post detail, the 7.49M/17.44M record figures, and the five proposed class-action filings (10–13 September). One outlet's reported "attack the main infrastructure" quote could not be corroborated across these sources and was excluded from confirmed-fact reporting.</w:t>
      </w:r>
    </w:p>
    <w:p>
      <w:pPr>
        <w:spacing w:before="120" w:after="20"/>
      </w:pPr>
      <w:r>
        <w:rPr>
          <w:rFonts w:ascii="Calibri" w:hAnsi="Calibri"/>
          <w:b/>
          <w:color w:val="7A5A1E"/>
          <w:sz w:val="15"/>
        </w:rPr>
        <w:t>CYBERSECURITY / VULNERABILITY RESEARCH</w:t>
        <w:br/>
      </w:r>
      <w:r>
        <w:rPr>
          <w:b/>
          <w:color w:val="142233"/>
          <w:sz w:val="20"/>
        </w:rPr>
        <w:t>The Hacker News, CyberScoop, and Help Net Security — Cisco ISE and Secure Email Gateway zero-day analysis</w:t>
      </w:r>
    </w:p>
    <w:p>
      <w:pPr>
        <w:spacing w:after="20"/>
      </w:pPr>
      <w:hyperlink r:id="rId16">
        <w:r>
          <w:rPr>
            <w:color w:val="1F5C8C"/>
            <w:u w:val="single"/>
            <w:sz w:val="17"/>
            <w:rFonts w:ascii="Consolas"/>
          </w:rPr>
          <w:t>thehackernews.com, cyberscoop.com, helpnetsecurity.com, 15–17 September 2026</w:t>
        </w:r>
      </w:hyperlink>
    </w:p>
    <w:p>
      <w:pPr>
        <w:spacing w:after="40"/>
      </w:pPr>
      <w:r>
        <w:rPr>
          <w:i/>
          <w:color w:val="5C5C5C"/>
          <w:sz w:val="17"/>
        </w:rPr>
        <w:t>Cited for CVE-level detail, exploitation impact, and attribution status (unattributed as of this issue) on CVE-2026-76460 and CVE-2026-76461.</w:t>
      </w:r>
    </w:p>
    <w:p>
      <w:pPr>
        <w:spacing w:before="120" w:after="20"/>
      </w:pPr>
      <w:r>
        <w:rPr>
          <w:rFonts w:ascii="Calibri" w:hAnsi="Calibri"/>
          <w:b/>
          <w:color w:val="7A5A1E"/>
          <w:sz w:val="15"/>
        </w:rPr>
        <w:t>GOVERNMENT / VULNERABILITY CATALOG (SECONDARY MIRROR)</w:t>
        <w:br/>
      </w:r>
      <w:r>
        <w:rPr>
          <w:b/>
          <w:color w:val="142233"/>
          <w:sz w:val="20"/>
        </w:rPr>
        <w:t>CISA Known Exploited Vulnerabilities Catalog — week of 14–20 September 2026 additions</w:t>
      </w:r>
    </w:p>
    <w:p>
      <w:pPr>
        <w:spacing w:after="20"/>
      </w:pPr>
      <w:hyperlink r:id="rId17">
        <w:r>
          <w:rPr>
            <w:color w:val="1F5C8C"/>
            <w:u w:val="single"/>
            <w:sz w:val="17"/>
            <w:rFonts w:ascii="Consolas"/>
          </w:rPr>
          <w:t>senserva.com KEV rollup, updated 19 September 2026</w:t>
        </w:r>
      </w:hyperlink>
    </w:p>
    <w:p>
      <w:pPr>
        <w:spacing w:after="40"/>
      </w:pPr>
      <w:r>
        <w:rPr>
          <w:i/>
          <w:color w:val="5C5C5C"/>
          <w:sz w:val="17"/>
        </w:rPr>
        <w:t>Cited via secondary mirror. Direct cisa.gov alert and catalog pages returned 403 errors throughout this cycle, consistent with the persistent access issue flagged in the two prior cycles' research notes.</w:t>
      </w:r>
    </w:p>
    <w:p>
      <w:pPr>
        <w:spacing w:before="120" w:after="20"/>
      </w:pPr>
      <w:r>
        <w:rPr>
          <w:rFonts w:ascii="Calibri" w:hAnsi="Calibri"/>
          <w:b/>
          <w:color w:val="7A5A1E"/>
          <w:sz w:val="15"/>
        </w:rPr>
        <w:t>MARITIME / SHIPPING INTELLIGENCE</w:t>
        <w:br/>
      </w:r>
      <w:r>
        <w:rPr>
          <w:b/>
          <w:color w:val="142233"/>
          <w:sz w:val="20"/>
        </w:rPr>
        <w:t>Straits Daily Brief and globalsecurity.org — Strait of Hormuz transit and status tracking</w:t>
      </w:r>
    </w:p>
    <w:p>
      <w:pPr>
        <w:spacing w:after="20"/>
      </w:pPr>
      <w:hyperlink r:id="rId18">
        <w:r>
          <w:rPr>
            <w:color w:val="1F5C8C"/>
            <w:u w:val="single"/>
            <w:sz w:val="17"/>
            <w:rFonts w:ascii="Consolas"/>
          </w:rPr>
          <w:t>straits.live, 19 September 2026; globalsecurity.org, 18 September 2026</w:t>
        </w:r>
      </w:hyperlink>
    </w:p>
    <w:p>
      <w:pPr>
        <w:spacing w:after="40"/>
      </w:pPr>
      <w:r>
        <w:rPr>
          <w:i/>
          <w:color w:val="5C5C5C"/>
          <w:sz w:val="17"/>
        </w:rPr>
        <w:t>Cited for transit-volume figures, Brent pricing, and the day-count characterization of the strait's effective closure. Independent, non-governmental tracking service; figures not independently verified by Liberty CTI beyond cross-referencing against news reporting.</w:t>
      </w:r>
    </w:p>
    <w:p>
      <w:pPr>
        <w:pBdr>
          <w:bottom w:val="single" w:sz="4" w:space="4" w:color="CCCCCC"/>
        </w:pBdr>
      </w:pPr>
    </w:p>
    <w:p>
      <w:pPr>
        <w:spacing w:after="160"/>
      </w:pPr>
      <w:r>
        <w:rPr>
          <w:rFonts w:ascii="Georgia" w:hAnsi="Georgia"/>
          <w:b w:val="0"/>
          <w:i w:val="0"/>
          <w:color w:val="142233"/>
          <w:sz w:val="21"/>
        </w:rPr>
        <w:t xml:space="preserve">For tailored executive briefings or advisory retainer inquiries: </w:t>
      </w:r>
      <w:r>
        <w:rPr>
          <w:rFonts w:ascii="Georgia" w:hAnsi="Georgia"/>
          <w:b/>
          <w:i w:val="0"/>
          <w:color w:val="142233"/>
          <w:sz w:val="21"/>
        </w:rPr>
        <w:t>intel@libertycti.com</w:t>
      </w:r>
      <w:r>
        <w:rPr>
          <w:rFonts w:ascii="Georgia" w:hAnsi="Georgia"/>
          <w:b w:val="0"/>
          <w:i w:val="0"/>
          <w:color w:val="142233"/>
          <w:sz w:val="21"/>
        </w:rPr>
        <w:t xml:space="preserve"> · </w:t>
      </w:r>
      <w:r>
        <w:rPr>
          <w:rFonts w:ascii="Georgia" w:hAnsi="Georgia"/>
          <w:b/>
          <w:i w:val="0"/>
          <w:color w:val="142233"/>
          <w:sz w:val="21"/>
        </w:rPr>
        <w:t>libertycti.com</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helpnetsecurity.com/2026/09/16/centerpoint-energy-data-breach-hacker-claims/" TargetMode="External"/><Relationship Id="rId12" Type="http://schemas.openxmlformats.org/officeDocument/2006/relationships/hyperlink" Target="https://techcrunch.com/2026/09/18/fbi-coast-guard-boarded-hacked-oil-tankers-heading-towards-us-coast/" TargetMode="External"/><Relationship Id="rId13" Type="http://schemas.openxmlformats.org/officeDocument/2006/relationships/hyperlink" Target="https://sec.cloudapps.cisco.com/security/center/content/CiscoSecurityAdvisory/cisco-sa-hardening-asaftdfmc-uvpPROhN" TargetMode="External"/><Relationship Id="rId14" Type="http://schemas.openxmlformats.org/officeDocument/2006/relationships/hyperlink" Target="https://www.aljazeera.com/news-analysis/2026/9/14/temporary-hormuz-solution-deferred-as-iran-arab-summit-falls-through" TargetMode="External"/><Relationship Id="rId15" Type="http://schemas.openxmlformats.org/officeDocument/2006/relationships/hyperlink" Target="https://cyberinsider.com/centerpoint-energy-confirms-data-breach-after-hacker-claims-7-49m-records/" TargetMode="External"/><Relationship Id="rId16" Type="http://schemas.openxmlformats.org/officeDocument/2006/relationships/hyperlink" Target="https://thehackernews.com/2026/09/cisco-warns-of-new-zero-day-ise-auth.html" TargetMode="External"/><Relationship Id="rId17" Type="http://schemas.openxmlformats.org/officeDocument/2006/relationships/hyperlink" Target="https://senserva.com/exploited-this-week.html" TargetMode="External"/><Relationship Id="rId18" Type="http://schemas.openxmlformats.org/officeDocument/2006/relationships/hyperlink" Target="https://straits.live/briefs/2026-09-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