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7A5A1E"/>
          <w:sz w:val="19"/>
        </w:rPr>
        <w:t>LIBERTY CYBER THREAT INTELLIGENCE</w:t>
      </w:r>
    </w:p>
    <w:p>
      <w:pPr>
        <w:spacing w:after="80"/>
        <w:jc w:val="center"/>
      </w:pPr>
      <w:r>
        <w:rPr>
          <w:rFonts w:ascii="Calibri" w:hAnsi="Calibri"/>
          <w:b/>
          <w:color w:val="142233"/>
          <w:sz w:val="48"/>
        </w:rPr>
        <w:t>THE ALAMO THREAT BRIEF™</w:t>
      </w:r>
    </w:p>
    <w:p>
      <w:pPr>
        <w:spacing w:after="200"/>
        <w:jc w:val="center"/>
      </w:pPr>
      <w:r>
        <w:rPr>
          <w:rFonts w:ascii="Consolas" w:hAnsi="Consolas"/>
          <w:color w:val="5C5C5C"/>
          <w:sz w:val="16"/>
        </w:rPr>
        <w:t>OPEN SOURCE INTELLIGENCE</w:t>
      </w:r>
    </w:p>
    <w:tbl>
      <w:tblPr>
        <w:tblW w:type="auto" w:w="0"/>
        <w:jc w:val="center"/>
        <w:tblLook w:firstColumn="1" w:firstRow="1" w:lastColumn="0" w:lastRow="0" w:noHBand="0" w:noVBand="1" w:val="04A0"/>
      </w:tblPr>
      <w:tblGrid>
        <w:gridCol w:w="1928"/>
        <w:gridCol w:w="7200"/>
      </w:tblGrid>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ISSUE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ATB-2026-8</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COVERAGE PERIOD</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26 APR–02 MAY 2026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PUBLICATION DATE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2026-05-03</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DOMINANT JUDGMENT</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BUSINESS DISRUPTION / HIDDEN DEPENDENCIES</w:t>
            </w:r>
          </w:p>
        </w:tc>
      </w:tr>
    </w:tbl>
    <w:p>
      <w:pPr>
        <w:spacing w:after="80"/>
      </w:pPr>
    </w:p>
    <w:p>
      <w:pPr>
        <w:jc w:val="center"/>
      </w:pPr>
      <w:r>
        <w:rPr>
          <w:i/>
          <w:color w:val="5C5C5C"/>
          <w:sz w:val="20"/>
        </w:rPr>
        <w:t>Executive decision intelligence for Texas critical infrastructure.</w:t>
      </w:r>
    </w:p>
    <w:p>
      <w:pPr>
        <w:pBdr>
          <w:bottom w:val="single" w:sz="10" w:space="4" w:color="A67C2E"/>
        </w:pBdr>
        <w:spacing w:after="200"/>
      </w:pPr>
    </w:p>
    <w:p>
      <w:pPr>
        <w:spacing w:before="160" w:after="40"/>
      </w:pPr>
      <w:r>
        <w:rPr>
          <w:b/>
          <w:color w:val="7A5A1E"/>
          <w:sz w:val="20"/>
        </w:rPr>
        <w:t>BOARD WARNING</w:t>
      </w:r>
    </w:p>
    <w:p>
      <w:pPr>
        <w:spacing w:after="40"/>
      </w:pPr>
      <w:r>
        <w:rPr>
          <w:rFonts w:ascii="Georgia" w:hAnsi="Georgia"/>
          <w:b w:val="0"/>
          <w:i w:val="0"/>
          <w:color w:val="142233"/>
          <w:sz w:val="19"/>
        </w:rPr>
        <w:t>Texas leaders should treat this week’s signals as a business warning, not a technology update. Foreign-government linked groups and criminal crews are focusing on the systems that keep companies moving: software teams, ports, energy facilities, water systems, hospitals, banks, and data centers. The main risk is not just stolen information. The risk is that operations slow down, payments stop, customers are affected, regulators ask questions, and the board has to explain what it knew before the problem became public.</w:t>
      </w:r>
    </w:p>
    <w:p>
      <w:pPr>
        <w:spacing w:before="160" w:after="40"/>
      </w:pPr>
      <w:r>
        <w:rPr>
          <w:b/>
          <w:color w:val="7A5A1E"/>
          <w:sz w:val="20"/>
        </w:rPr>
        <w:t>DECISION AT RISK</w:t>
      </w:r>
    </w:p>
    <w:p>
      <w:pPr>
        <w:spacing w:after="40"/>
      </w:pPr>
      <w:r>
        <w:rPr>
          <w:rFonts w:ascii="Georgia" w:hAnsi="Georgia"/>
          <w:b w:val="0"/>
          <w:i w:val="0"/>
          <w:color w:val="142233"/>
          <w:sz w:val="19"/>
        </w:rPr>
        <w:t>Should leadership treat this as an IT issue, or as a business continuity issue that needs board visibility, legal awareness, and executive ownership this week?</w:t>
      </w:r>
    </w:p>
    <w:p>
      <w:pPr>
        <w:spacing w:before="160" w:after="40"/>
      </w:pPr>
      <w:r>
        <w:rPr>
          <w:b/>
          <w:color w:val="7A5A1E"/>
          <w:sz w:val="20"/>
        </w:rPr>
        <w:t>WHAT TO DO THIS WEEK</w:t>
      </w:r>
    </w:p>
    <w:p>
      <w:pPr>
        <w:spacing w:after="40"/>
      </w:pPr>
      <w:r>
        <w:rPr>
          <w:rFonts w:ascii="Georgia" w:hAnsi="Georgia"/>
          <w:b w:val="0"/>
          <w:i w:val="0"/>
          <w:color w:val="142233"/>
          <w:sz w:val="19"/>
        </w:rPr>
        <w:t>Name one executive owner, confirm which business services would stop if a key vendor or system failed, test whether backups can actually be restored, and decide when the board or general counsel must be notified.</w:t>
      </w:r>
    </w:p>
    <w:p>
      <w:pPr>
        <w:spacing w:before="160" w:after="40"/>
      </w:pPr>
      <w:r>
        <w:rPr>
          <w:b/>
          <w:color w:val="7A5A1E"/>
          <w:sz w:val="20"/>
        </w:rPr>
        <w:t>BOTTOM LINE</w:t>
      </w:r>
    </w:p>
    <w:p>
      <w:pPr>
        <w:spacing w:after="40"/>
      </w:pPr>
      <w:r>
        <w:rPr>
          <w:rFonts w:ascii="Georgia" w:hAnsi="Georgia"/>
          <w:b w:val="0"/>
          <w:i w:val="0"/>
          <w:color w:val="142233"/>
          <w:sz w:val="19"/>
        </w:rPr>
        <w:t>Someone does not have to break every system to hurt the business. They only have to hit the one system, vendor, port, pipeline, billing platform, or data center dependency that everything else quietly depends on.</w:t>
      </w:r>
    </w:p>
    <w:p>
      <w:pPr>
        <w:spacing w:after="160"/>
      </w:pPr>
      <w:r>
        <w:rPr>
          <w:rFonts w:ascii="Georgia" w:hAnsi="Georgia"/>
          <w:b w:val="0"/>
          <w:i w:val="0"/>
          <w:color w:val="142233"/>
          <w:sz w:val="21"/>
        </w:rPr>
        <w:t>Section I</w:t>
      </w:r>
    </w:p>
    <w:p>
      <w:pPr>
        <w:spacing w:before="320" w:after="120"/>
        <w:pBdr>
          <w:bottom w:val="single" w:sz="6" w:space="4" w:color="A67C2E"/>
        </w:pBdr>
      </w:pPr>
      <w:r>
        <w:rPr>
          <w:rFonts w:ascii="Calibri" w:hAnsi="Calibri"/>
          <w:b/>
          <w:color w:val="7A5A1E"/>
          <w:sz w:val="27"/>
        </w:rPr>
        <w:t>What Just Changed, Board Briefing</w:t>
      </w:r>
    </w:p>
    <w:p>
      <w:pPr>
        <w:spacing w:after="160"/>
      </w:pPr>
      <w:r>
        <w:rPr>
          <w:rFonts w:ascii="Georgia" w:hAnsi="Georgia"/>
          <w:b w:val="0"/>
          <w:i w:val="0"/>
          <w:color w:val="142233"/>
          <w:sz w:val="21"/>
        </w:rPr>
        <w:t>Section II</w:t>
      </w:r>
    </w:p>
    <w:p>
      <w:pPr>
        <w:spacing w:before="320" w:after="120"/>
        <w:pBdr>
          <w:bottom w:val="single" w:sz="6" w:space="4" w:color="A67C2E"/>
        </w:pBdr>
      </w:pPr>
      <w:r>
        <w:rPr>
          <w:rFonts w:ascii="Calibri" w:hAnsi="Calibri"/>
          <w:b/>
          <w:color w:val="7A5A1E"/>
          <w:sz w:val="27"/>
        </w:rPr>
        <w:t>Why This Matters This Week</w:t>
      </w:r>
    </w:p>
    <w:p>
      <w:pPr>
        <w:spacing w:before="160" w:after="40"/>
      </w:pPr>
      <w:r>
        <w:rPr>
          <w:b/>
          <w:color w:val="7A5A1E"/>
          <w:sz w:val="20"/>
        </w:rPr>
        <w:t>1 — Software Teams Are Now a Business Risk</w:t>
      </w:r>
    </w:p>
    <w:p>
      <w:pPr>
        <w:spacing w:after="40"/>
      </w:pPr>
      <w:r>
        <w:rPr>
          <w:rFonts w:ascii="Georgia" w:hAnsi="Georgia"/>
          <w:b w:val="0"/>
          <w:i w:val="0"/>
          <w:color w:val="142233"/>
          <w:sz w:val="19"/>
        </w:rPr>
        <w:t>North Korea is trying to get into companies through normal developer work. In simple terms: a developer may download a tool that looks legitimate, but that tool can quietly steal credentials or open a path into the company. This matters most to Texas defense contractors, AI firms, fintech companies, and any company that builds software.</w:t>
      </w:r>
    </w:p>
    <w:p>
      <w:pPr>
        <w:spacing w:before="160" w:after="40"/>
      </w:pPr>
      <w:r>
        <w:rPr>
          <w:b/>
          <w:color w:val="7A5A1E"/>
          <w:sz w:val="20"/>
        </w:rPr>
        <w:t>2 — Ports and Energy Logistics Are Now a Leadership Issue</w:t>
      </w:r>
    </w:p>
    <w:p>
      <w:pPr>
        <w:spacing w:after="40"/>
      </w:pPr>
      <w:r>
        <w:rPr>
          <w:rFonts w:ascii="Georgia" w:hAnsi="Georgia"/>
          <w:b w:val="0"/>
          <w:i w:val="0"/>
          <w:color w:val="142233"/>
          <w:sz w:val="19"/>
        </w:rPr>
        <w:t>Russia has a strategic reason to pressure U.S. energy exports. Texas Gulf Coast ports, LNG terminals, refineries, and pipelines are not just local assets; they are part of U.S. and allied energy security. A disruption there can affect contracts, commodity prices, insurance, customers, and public confidence.</w:t>
      </w:r>
    </w:p>
    <w:p>
      <w:pPr>
        <w:spacing w:before="160" w:after="40"/>
      </w:pPr>
      <w:r>
        <w:rPr>
          <w:b/>
          <w:color w:val="7A5A1E"/>
          <w:sz w:val="20"/>
        </w:rPr>
        <w:t>3 — Small Exposed Systems Can Create Big Public Problems</w:t>
      </w:r>
    </w:p>
    <w:p>
      <w:pPr>
        <w:spacing w:after="40"/>
      </w:pPr>
      <w:r>
        <w:rPr>
          <w:rFonts w:ascii="Georgia" w:hAnsi="Georgia"/>
          <w:b w:val="0"/>
          <w:i w:val="0"/>
          <w:color w:val="142233"/>
          <w:sz w:val="19"/>
        </w:rPr>
        <w:t>Iran-linked groups do not need elite capability if a water, energy, or municipal system is exposed to the internet with weak access controls. A simple disruption can still create public fear, media coverage, regulatory questions, and executive accountability.</w:t>
      </w:r>
    </w:p>
    <w:p>
      <w:pPr>
        <w:spacing w:before="160" w:after="40"/>
      </w:pPr>
      <w:r>
        <w:rPr>
          <w:b/>
          <w:color w:val="7A5A1E"/>
          <w:sz w:val="20"/>
        </w:rPr>
        <w:t>4 — Data Centers Create Hidden Single Points of Failure</w:t>
      </w:r>
    </w:p>
    <w:p>
      <w:pPr>
        <w:spacing w:after="40"/>
      </w:pPr>
      <w:r>
        <w:rPr>
          <w:rFonts w:ascii="Georgia" w:hAnsi="Georgia"/>
          <w:b w:val="0"/>
          <w:i w:val="0"/>
          <w:color w:val="142233"/>
          <w:sz w:val="19"/>
        </w:rPr>
        <w:t>Central Texas data-center growth is creating more dependence on power, water, construction labor, cooling, and local public services. If one of those dependencies fails, the impact may not stay inside the data center. It can affect healthcare, payments, cloud services, logistics, and government operations.</w:t>
      </w:r>
    </w:p>
    <w:p>
      <w:pPr>
        <w:spacing w:after="160"/>
      </w:pPr>
      <w:r>
        <w:rPr>
          <w:rFonts w:ascii="Georgia" w:hAnsi="Georgia"/>
          <w:b w:val="0"/>
          <w:i w:val="0"/>
          <w:color w:val="142233"/>
          <w:sz w:val="21"/>
        </w:rPr>
        <w:t>Section III</w:t>
      </w:r>
    </w:p>
    <w:p>
      <w:pPr>
        <w:spacing w:before="320" w:after="120"/>
        <w:pBdr>
          <w:bottom w:val="single" w:sz="6" w:space="4" w:color="A67C2E"/>
        </w:pBdr>
      </w:pPr>
      <w:r>
        <w:rPr>
          <w:rFonts w:ascii="Calibri" w:hAnsi="Calibri"/>
          <w:b/>
          <w:color w:val="7A5A1E"/>
          <w:sz w:val="27"/>
        </w:rPr>
        <w:t>Cost of Being Wrong, With U.S. Precedent</w:t>
      </w:r>
    </w:p>
    <w:tbl>
      <w:tblPr>
        <w:tblW w:type="auto" w:w="0"/>
        <w:jc w:val="center"/>
        <w:tblLook w:firstColumn="1" w:firstRow="1" w:lastColumn="0" w:lastRow="0" w:noHBand="0" w:noVBand="1" w:val="04A0"/>
      </w:tblPr>
      <w:tblGrid>
        <w:gridCol w:w="1814"/>
        <w:gridCol w:w="7370"/>
      </w:tblGrid>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Energy Ports / LNG / Pipelines</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Business impact:</w:t>
            </w:r>
            <w:r>
              <w:rPr>
                <w:rFonts w:ascii="Georgia" w:hAnsi="Georgia"/>
                <w:b w:val="0"/>
                <w:i w:val="0"/>
                <w:color w:val="142233"/>
                <w:sz w:val="19"/>
              </w:rPr>
              <w:t xml:space="preserve"> fuel or product movement slows, customers and counterparties are affected, contracts and insurance questions follow, and leadership may face public pressure. </w:t>
            </w:r>
            <w:r>
              <w:rPr>
                <w:rFonts w:ascii="Georgia" w:hAnsi="Georgia"/>
                <w:b/>
                <w:i w:val="0"/>
                <w:color w:val="142233"/>
                <w:sz w:val="19"/>
              </w:rPr>
              <w:t>U.S. precedent:</w:t>
            </w:r>
            <w:r>
              <w:rPr>
                <w:rFonts w:ascii="Georgia" w:hAnsi="Georgia"/>
                <w:b w:val="0"/>
                <w:i w:val="0"/>
                <w:color w:val="142233"/>
                <w:sz w:val="19"/>
              </w:rPr>
              <w:t xml:space="preserve"> Colonial Pipeline, 2021. One pipeline company outage triggered fuel shortages, panic buying, and emergency action across multiple states. </w:t>
            </w:r>
            <w:r>
              <w:rPr>
                <w:rFonts w:ascii="Georgia" w:hAnsi="Georgia"/>
                <w:b/>
                <w:i w:val="0"/>
                <w:color w:val="142233"/>
                <w:sz w:val="19"/>
              </w:rPr>
              <w:t>Why it matters here:</w:t>
            </w:r>
            <w:r>
              <w:rPr>
                <w:rFonts w:ascii="Georgia" w:hAnsi="Georgia"/>
                <w:b w:val="0"/>
                <w:i w:val="0"/>
                <w:color w:val="142233"/>
                <w:sz w:val="19"/>
              </w:rPr>
              <w:t xml:space="preserve"> a Texas port, LNG terminal, refinery, or pipeline disruption would not be a private IT problem. It would become an energy, logistics, customer, and government-facing event.</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Healthcare Care / Billing / Vendors</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Business impact:</w:t>
            </w:r>
            <w:r>
              <w:rPr>
                <w:rFonts w:ascii="Georgia" w:hAnsi="Georgia"/>
                <w:b w:val="0"/>
                <w:i w:val="0"/>
                <w:color w:val="142233"/>
                <w:sz w:val="19"/>
              </w:rPr>
              <w:t xml:space="preserve"> patient care slows, billing gets delayed, staff workarounds increase, and regulators or plaintiffs may ask what leadership knew. </w:t>
            </w:r>
            <w:r>
              <w:rPr>
                <w:rFonts w:ascii="Georgia" w:hAnsi="Georgia"/>
                <w:b/>
                <w:i w:val="0"/>
                <w:color w:val="142233"/>
                <w:sz w:val="19"/>
              </w:rPr>
              <w:t>U.S. precedent:</w:t>
            </w:r>
            <w:r>
              <w:rPr>
                <w:rFonts w:ascii="Georgia" w:hAnsi="Georgia"/>
                <w:b w:val="0"/>
                <w:i w:val="0"/>
                <w:color w:val="142233"/>
                <w:sz w:val="19"/>
              </w:rPr>
              <w:t xml:space="preserve"> Change Healthcare, 2024. One major healthcare payments and claims platform disruption created nationwide billing and care-delivery problems. </w:t>
            </w:r>
            <w:r>
              <w:rPr>
                <w:rFonts w:ascii="Georgia" w:hAnsi="Georgia"/>
                <w:b/>
                <w:i w:val="0"/>
                <w:color w:val="142233"/>
                <w:sz w:val="19"/>
              </w:rPr>
              <w:t>Why it matters here:</w:t>
            </w:r>
            <w:r>
              <w:rPr>
                <w:rFonts w:ascii="Georgia" w:hAnsi="Georgia"/>
                <w:b w:val="0"/>
                <w:i w:val="0"/>
                <w:color w:val="142233"/>
                <w:sz w:val="19"/>
              </w:rPr>
              <w:t xml:space="preserve"> Texas health systems depend on many outside platforms. A vendor failure can quickly become a hospital cashflow and patient-service problem.</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Finance Payments / Payroll / Liquidity</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Business impact:</w:t>
            </w:r>
            <w:r>
              <w:rPr>
                <w:rFonts w:ascii="Georgia" w:hAnsi="Georgia"/>
                <w:b w:val="0"/>
                <w:i w:val="0"/>
                <w:color w:val="142233"/>
                <w:sz w:val="19"/>
              </w:rPr>
              <w:t xml:space="preserve"> payments slow, payroll can be disrupted, customers lose trust, and liquidity pressure can build fast. </w:t>
            </w:r>
            <w:r>
              <w:rPr>
                <w:rFonts w:ascii="Georgia" w:hAnsi="Georgia"/>
                <w:b/>
                <w:i w:val="0"/>
                <w:color w:val="142233"/>
                <w:sz w:val="19"/>
              </w:rPr>
              <w:t>U.S. precedent:</w:t>
            </w:r>
            <w:r>
              <w:rPr>
                <w:rFonts w:ascii="Georgia" w:hAnsi="Georgia"/>
                <w:b w:val="0"/>
                <w:i w:val="0"/>
                <w:color w:val="142233"/>
                <w:sz w:val="19"/>
              </w:rPr>
              <w:t xml:space="preserve"> ICBC ransomware disruption, 2023. A financial services disruption affected U.S. Treasury market operations and forced manual workarounds. </w:t>
            </w:r>
            <w:r>
              <w:rPr>
                <w:rFonts w:ascii="Georgia" w:hAnsi="Georgia"/>
                <w:b/>
                <w:i w:val="0"/>
                <w:color w:val="142233"/>
                <w:sz w:val="19"/>
              </w:rPr>
              <w:t>Why it matters here:</w:t>
            </w:r>
            <w:r>
              <w:rPr>
                <w:rFonts w:ascii="Georgia" w:hAnsi="Georgia"/>
                <w:b w:val="0"/>
                <w:i w:val="0"/>
                <w:color w:val="142233"/>
                <w:sz w:val="19"/>
              </w:rPr>
              <w:t xml:space="preserve"> Texas banks, fintech firms, and companies dependent on payment processors need to know which financial functions fail first if a key provider goes down.</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Defense / DIB Software / Suppliers</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Business impact:</w:t>
            </w:r>
            <w:r>
              <w:rPr>
                <w:rFonts w:ascii="Georgia" w:hAnsi="Georgia"/>
                <w:b w:val="0"/>
                <w:i w:val="0"/>
                <w:color w:val="142233"/>
                <w:sz w:val="19"/>
              </w:rPr>
              <w:t xml:space="preserve"> sensitive programs can be delayed, customer trust can be damaged, and legal or government reporting obligations may follow. </w:t>
            </w:r>
            <w:r>
              <w:rPr>
                <w:rFonts w:ascii="Georgia" w:hAnsi="Georgia"/>
                <w:b/>
                <w:i w:val="0"/>
                <w:color w:val="142233"/>
                <w:sz w:val="19"/>
              </w:rPr>
              <w:t>U.S. precedent:</w:t>
            </w:r>
            <w:r>
              <w:rPr>
                <w:rFonts w:ascii="Georgia" w:hAnsi="Georgia"/>
                <w:b w:val="0"/>
                <w:i w:val="0"/>
                <w:color w:val="142233"/>
                <w:sz w:val="19"/>
              </w:rPr>
              <w:t xml:space="preserve"> SolarWinds, 2020. A trusted software update became the pathway into many public and private organizations. </w:t>
            </w:r>
            <w:r>
              <w:rPr>
                <w:rFonts w:ascii="Georgia" w:hAnsi="Georgia"/>
                <w:b/>
                <w:i w:val="0"/>
                <w:color w:val="142233"/>
                <w:sz w:val="19"/>
              </w:rPr>
              <w:t>Why it matters here:</w:t>
            </w:r>
            <w:r>
              <w:rPr>
                <w:rFonts w:ascii="Georgia" w:hAnsi="Georgia"/>
                <w:b w:val="0"/>
                <w:i w:val="0"/>
                <w:color w:val="142233"/>
                <w:sz w:val="19"/>
              </w:rPr>
              <w:t xml:space="preserve"> Texas defense contractors and suppliers must assume trusted tools and vendors can become the route into better-protected environments.</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AI / Data Centers Cloud / Compute / Dependencies</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Business impact:</w:t>
            </w:r>
            <w:r>
              <w:rPr>
                <w:rFonts w:ascii="Georgia" w:hAnsi="Georgia"/>
                <w:b w:val="0"/>
                <w:i w:val="0"/>
                <w:color w:val="142233"/>
                <w:sz w:val="19"/>
              </w:rPr>
              <w:t xml:space="preserve"> cloud services slow or fail, customer platforms go offline, and operations that depend on hosted systems lose control of recovery time. </w:t>
            </w:r>
            <w:r>
              <w:rPr>
                <w:rFonts w:ascii="Georgia" w:hAnsi="Georgia"/>
                <w:b/>
                <w:i w:val="0"/>
                <w:color w:val="142233"/>
                <w:sz w:val="19"/>
              </w:rPr>
              <w:t>U.S. precedent:</w:t>
            </w:r>
            <w:r>
              <w:rPr>
                <w:rFonts w:ascii="Georgia" w:hAnsi="Georgia"/>
                <w:b w:val="0"/>
                <w:i w:val="0"/>
                <w:color w:val="142233"/>
                <w:sz w:val="19"/>
              </w:rPr>
              <w:t xml:space="preserve"> CrowdStrike, 2024. A faulty software update created widespread airline and enterprise disruption, showing how a trusted technology dependency can stop real-world operations. </w:t>
            </w:r>
            <w:r>
              <w:rPr>
                <w:rFonts w:ascii="Georgia" w:hAnsi="Georgia"/>
                <w:b/>
                <w:i w:val="0"/>
                <w:color w:val="142233"/>
                <w:sz w:val="19"/>
              </w:rPr>
              <w:t>Why it matters here:</w:t>
            </w:r>
            <w:r>
              <w:rPr>
                <w:rFonts w:ascii="Georgia" w:hAnsi="Georgia"/>
                <w:b w:val="0"/>
                <w:i w:val="0"/>
                <w:color w:val="142233"/>
                <w:sz w:val="19"/>
              </w:rPr>
              <w:t xml:space="preserve"> data-center and cloud dependency is now a board issue because a technical failure can quickly become a transportation, economic, legal, and public-confidence crisis.</w:t>
              <w:br/>
              <w:t xml:space="preserve"> </w:t>
            </w:r>
          </w:p>
        </w:tc>
      </w:tr>
    </w:tbl>
    <w:p>
      <w:pPr>
        <w:spacing w:after="120"/>
      </w:pPr>
    </w:p>
    <w:p>
      <w:pPr>
        <w:spacing w:after="160"/>
      </w:pPr>
      <w:r>
        <w:rPr>
          <w:rFonts w:ascii="Georgia" w:hAnsi="Georgia"/>
          <w:b w:val="0"/>
          <w:i w:val="0"/>
          <w:color w:val="142233"/>
          <w:sz w:val="21"/>
        </w:rPr>
        <w:t>Section IV</w:t>
      </w:r>
    </w:p>
    <w:p>
      <w:pPr>
        <w:spacing w:before="320" w:after="120"/>
        <w:pBdr>
          <w:bottom w:val="single" w:sz="6" w:space="4" w:color="A67C2E"/>
        </w:pBdr>
      </w:pPr>
      <w:r>
        <w:rPr>
          <w:rFonts w:ascii="Calibri" w:hAnsi="Calibri"/>
          <w:b/>
          <w:color w:val="7A5A1E"/>
          <w:sz w:val="27"/>
        </w:rPr>
        <w:t>The Geopolitical Lens, Without the Jargon</w:t>
      </w:r>
    </w:p>
    <w:p>
      <w:pPr>
        <w:spacing w:before="160" w:after="40"/>
      </w:pPr>
      <w:r>
        <w:rPr>
          <w:b/>
          <w:color w:val="7A5A1E"/>
          <w:sz w:val="20"/>
        </w:rPr>
        <w:t>North Korea</w:t>
      </w:r>
    </w:p>
    <w:p>
      <w:pPr>
        <w:spacing w:after="40"/>
      </w:pPr>
      <w:r>
        <w:rPr>
          <w:rFonts w:ascii="Georgia" w:hAnsi="Georgia"/>
          <w:b w:val="0"/>
          <w:i w:val="0"/>
          <w:color w:val="142233"/>
          <w:sz w:val="19"/>
        </w:rPr>
        <w:t>North Korea needs money. It uses cyber operations to steal money, target developers, and reach companies that touch crypto, finance, AI, and defense. For boards, the key point is simple: a normal software-development process can become a route for a foreign government-linked operation to enter the company.</w:t>
      </w:r>
    </w:p>
    <w:p>
      <w:pPr>
        <w:spacing w:before="160" w:after="40"/>
      </w:pPr>
      <w:r>
        <w:rPr>
          <w:b/>
          <w:color w:val="7A5A1E"/>
          <w:sz w:val="20"/>
        </w:rPr>
        <w:t>Russia</w:t>
      </w:r>
    </w:p>
    <w:p>
      <w:pPr>
        <w:spacing w:after="40"/>
      </w:pPr>
      <w:r>
        <w:rPr>
          <w:rFonts w:ascii="Georgia" w:hAnsi="Georgia"/>
          <w:b w:val="0"/>
          <w:i w:val="0"/>
          <w:color w:val="142233"/>
          <w:sz w:val="19"/>
        </w:rPr>
        <w:t>Russia has a reason to pressure U.S. energy exports because those exports weaken Russian leverage abroad. Texas energy infrastructure matters because it helps supply allies. That makes Gulf Coast energy logistics a strategic target, not just a business target.</w:t>
      </w:r>
    </w:p>
    <w:p>
      <w:pPr>
        <w:spacing w:before="160" w:after="40"/>
      </w:pPr>
      <w:r>
        <w:rPr>
          <w:b/>
          <w:color w:val="7A5A1E"/>
          <w:sz w:val="20"/>
        </w:rPr>
        <w:t>Iran</w:t>
      </w:r>
    </w:p>
    <w:p>
      <w:pPr>
        <w:spacing w:after="40"/>
      </w:pPr>
      <w:r>
        <w:rPr>
          <w:rFonts w:ascii="Georgia" w:hAnsi="Georgia"/>
          <w:b w:val="0"/>
          <w:i w:val="0"/>
          <w:color w:val="142233"/>
          <w:sz w:val="19"/>
        </w:rPr>
        <w:t>Iran-linked groups often look for visible wins: websites, municipal systems, water systems, and exposed operational equipment. They do not need to cause massive damage to create fear, headlines, and political pressure.</w:t>
      </w:r>
    </w:p>
    <w:p>
      <w:pPr>
        <w:spacing w:before="160" w:after="40"/>
      </w:pPr>
      <w:r>
        <w:rPr>
          <w:b/>
          <w:color w:val="7A5A1E"/>
          <w:sz w:val="20"/>
        </w:rPr>
        <w:t>Why Boards Should Care</w:t>
      </w:r>
    </w:p>
    <w:p>
      <w:pPr>
        <w:spacing w:after="40"/>
      </w:pPr>
      <w:r>
        <w:rPr>
          <w:rFonts w:ascii="Georgia" w:hAnsi="Georgia"/>
          <w:b w:val="0"/>
          <w:i w:val="0"/>
          <w:color w:val="142233"/>
          <w:sz w:val="19"/>
        </w:rPr>
        <w:t>These foreign-policy tensions can change a company’s risk level overnight. A Texas company does not need to operate overseas to be affected by a geopolitical cyber event.</w:t>
      </w:r>
    </w:p>
    <w:p>
      <w:pPr>
        <w:spacing w:after="160"/>
      </w:pPr>
      <w:r>
        <w:rPr>
          <w:rFonts w:ascii="Georgia" w:hAnsi="Georgia"/>
          <w:b w:val="0"/>
          <w:i w:val="0"/>
          <w:color w:val="142233"/>
          <w:sz w:val="21"/>
        </w:rPr>
        <w:t>Section V</w:t>
      </w:r>
    </w:p>
    <w:p>
      <w:pPr>
        <w:spacing w:before="320" w:after="120"/>
        <w:pBdr>
          <w:bottom w:val="single" w:sz="6" w:space="4" w:color="A67C2E"/>
        </w:pBdr>
      </w:pPr>
      <w:r>
        <w:rPr>
          <w:rFonts w:ascii="Calibri" w:hAnsi="Calibri"/>
          <w:b/>
          <w:color w:val="7A5A1E"/>
          <w:sz w:val="27"/>
        </w:rPr>
        <w:t>What This Likely Turns Into</w:t>
      </w:r>
    </w:p>
    <w:p>
      <w:pPr>
        <w:spacing w:before="160"/>
      </w:pPr>
      <w:r>
        <w:rPr>
          <w:rFonts w:ascii="Calibri" w:hAnsi="Calibri"/>
          <w:color w:val="5C5C5C"/>
          <w:sz w:val="15"/>
        </w:rPr>
        <w:t>MOST LIKELY PATH</w:t>
        <w:br/>
      </w:r>
      <w:r>
        <w:rPr>
          <w:b/>
          <w:color w:val="142233"/>
          <w:sz w:val="21"/>
        </w:rPr>
        <w:t>More Quiet Access Attempts</w:t>
      </w:r>
    </w:p>
    <w:p>
      <w:pPr>
        <w:spacing w:after="60"/>
      </w:pPr>
      <w:r>
        <w:rPr>
          <w:rFonts w:ascii="Georgia" w:hAnsi="Georgia"/>
          <w:b w:val="0"/>
          <w:i w:val="0"/>
          <w:color w:val="142233"/>
          <w:sz w:val="19"/>
        </w:rPr>
        <w:t>Attackers keep looking for easy ways in through developers, vendors, exposed systems, and common business software.</w:t>
      </w:r>
    </w:p>
    <w:p>
      <w:pPr>
        <w:spacing w:after="60"/>
      </w:pPr>
      <w:r>
        <w:rPr>
          <w:rFonts w:ascii="Georgia" w:hAnsi="Georgia"/>
          <w:b/>
          <w:i w:val="0"/>
          <w:color w:val="142233"/>
          <w:sz w:val="19"/>
        </w:rPr>
        <w:t>Business effect:</w:t>
      </w:r>
      <w:r>
        <w:rPr>
          <w:rFonts w:ascii="Georgia" w:hAnsi="Georgia"/>
          <w:b w:val="0"/>
          <w:i w:val="0"/>
          <w:color w:val="142233"/>
          <w:sz w:val="19"/>
        </w:rPr>
        <w:t xml:space="preserve"> higher chance of surprise disruption later, even if nothing looks wrong today.</w:t>
      </w:r>
    </w:p>
    <w:p>
      <w:pPr>
        <w:spacing w:before="160"/>
      </w:pPr>
      <w:r>
        <w:rPr>
          <w:rFonts w:ascii="Calibri" w:hAnsi="Calibri"/>
          <w:color w:val="5C5C5C"/>
          <w:sz w:val="15"/>
        </w:rPr>
        <w:t>WORST CREDIBLE PATH</w:t>
        <w:br/>
      </w:r>
      <w:r>
        <w:rPr>
          <w:b/>
          <w:color w:val="142233"/>
          <w:sz w:val="21"/>
        </w:rPr>
        <w:t>One Failure Spreads Across Sectors</w:t>
      </w:r>
    </w:p>
    <w:p>
      <w:pPr>
        <w:spacing w:after="60"/>
      </w:pPr>
      <w:r>
        <w:rPr>
          <w:rFonts w:ascii="Georgia" w:hAnsi="Georgia"/>
          <w:b w:val="0"/>
          <w:i w:val="0"/>
          <w:color w:val="142233"/>
          <w:sz w:val="19"/>
        </w:rPr>
        <w:t>A port, energy operator, healthcare vendor, payment provider, or data-center dependency fails and affects multiple industries at once.</w:t>
      </w:r>
    </w:p>
    <w:p>
      <w:pPr>
        <w:spacing w:after="60"/>
      </w:pPr>
      <w:r>
        <w:rPr>
          <w:rFonts w:ascii="Georgia" w:hAnsi="Georgia"/>
          <w:b/>
          <w:i w:val="0"/>
          <w:color w:val="142233"/>
          <w:sz w:val="19"/>
        </w:rPr>
        <w:t>Business effect:</w:t>
      </w:r>
      <w:r>
        <w:rPr>
          <w:rFonts w:ascii="Georgia" w:hAnsi="Georgia"/>
          <w:b w:val="0"/>
          <w:i w:val="0"/>
          <w:color w:val="142233"/>
          <w:sz w:val="19"/>
        </w:rPr>
        <w:t xml:space="preserve"> leadership loses control of the recovery timeline and must manage operations, customers, regulators, and public messaging at the same time.</w:t>
      </w:r>
    </w:p>
    <w:p>
      <w:pPr>
        <w:spacing w:before="160"/>
      </w:pPr>
      <w:r>
        <w:rPr>
          <w:rFonts w:ascii="Calibri" w:hAnsi="Calibri"/>
          <w:color w:val="5C5C5C"/>
          <w:sz w:val="15"/>
        </w:rPr>
        <w:t>HIDDEN DEPENDENCY RISK</w:t>
        <w:br/>
      </w:r>
      <w:r>
        <w:rPr>
          <w:b/>
          <w:color w:val="142233"/>
          <w:sz w:val="21"/>
        </w:rPr>
        <w:t>The Weak Link Is Not Inside Your Building</w:t>
      </w:r>
    </w:p>
    <w:p>
      <w:pPr>
        <w:spacing w:after="60"/>
      </w:pPr>
      <w:r>
        <w:rPr>
          <w:rFonts w:ascii="Georgia" w:hAnsi="Georgia"/>
          <w:b w:val="0"/>
          <w:i w:val="0"/>
          <w:color w:val="142233"/>
          <w:sz w:val="19"/>
        </w:rPr>
        <w:t>The most damaging failure may come from a trusted vendor, software provider, managed service provider, or cloud platform.</w:t>
      </w:r>
    </w:p>
    <w:p>
      <w:pPr>
        <w:spacing w:after="60"/>
      </w:pPr>
      <w:r>
        <w:rPr>
          <w:rFonts w:ascii="Georgia" w:hAnsi="Georgia"/>
          <w:b/>
          <w:i w:val="0"/>
          <w:color w:val="142233"/>
          <w:sz w:val="19"/>
        </w:rPr>
        <w:t>Business effect:</w:t>
      </w:r>
      <w:r>
        <w:rPr>
          <w:rFonts w:ascii="Georgia" w:hAnsi="Georgia"/>
          <w:b w:val="0"/>
          <w:i w:val="0"/>
          <w:color w:val="142233"/>
          <w:sz w:val="19"/>
        </w:rPr>
        <w:t xml:space="preserve"> internal security may look fine while the business still goes down.</w:t>
      </w:r>
    </w:p>
    <w:p>
      <w:pPr>
        <w:spacing w:after="160"/>
      </w:pPr>
      <w:r>
        <w:rPr>
          <w:rFonts w:ascii="Georgia" w:hAnsi="Georgia"/>
          <w:b w:val="0"/>
          <w:i w:val="0"/>
          <w:color w:val="142233"/>
          <w:sz w:val="21"/>
        </w:rPr>
        <w:t>Section VI</w:t>
      </w:r>
    </w:p>
    <w:p>
      <w:pPr>
        <w:spacing w:before="320" w:after="120"/>
        <w:pBdr>
          <w:bottom w:val="single" w:sz="6" w:space="4" w:color="A67C2E"/>
        </w:pBdr>
      </w:pPr>
      <w:r>
        <w:rPr>
          <w:rFonts w:ascii="Calibri" w:hAnsi="Calibri"/>
          <w:b/>
          <w:color w:val="7A5A1E"/>
          <w:sz w:val="27"/>
        </w:rPr>
        <w:t>How One Problem Spreads</w:t>
      </w:r>
    </w:p>
    <w:p>
      <w:pPr>
        <w:spacing w:after="80"/>
      </w:pPr>
      <w:r>
        <w:rPr>
          <w:b/>
          <w:color w:val="1F5C8C"/>
          <w:sz w:val="18"/>
        </w:rPr>
        <w:t xml:space="preserve">1  </w:t>
      </w:r>
      <w:r>
        <w:rPr>
          <w:rFonts w:ascii="Georgia" w:hAnsi="Georgia"/>
          <w:b/>
          <w:i w:val="0"/>
          <w:color w:val="142233"/>
          <w:sz w:val="19"/>
        </w:rPr>
        <w:t>Energy disruption</w:t>
      </w:r>
      <w:r>
        <w:rPr>
          <w:rFonts w:ascii="Georgia" w:hAnsi="Georgia"/>
          <w:b w:val="0"/>
          <w:i w:val="0"/>
          <w:color w:val="142233"/>
          <w:sz w:val="19"/>
        </w:rPr>
        <w:t xml:space="preserve"> â†’ fuel or power constraints â†’ hospital backup pressure and logistics delays â†’ public and regulatory pressure.</w:t>
      </w:r>
    </w:p>
    <w:p>
      <w:pPr>
        <w:spacing w:after="80"/>
      </w:pPr>
      <w:r>
        <w:rPr>
          <w:b/>
          <w:color w:val="1F5C8C"/>
          <w:sz w:val="18"/>
        </w:rPr>
        <w:t xml:space="preserve">2  </w:t>
      </w:r>
      <w:r>
        <w:rPr>
          <w:rFonts w:ascii="Georgia" w:hAnsi="Georgia"/>
          <w:b/>
          <w:i w:val="0"/>
          <w:color w:val="142233"/>
          <w:sz w:val="19"/>
        </w:rPr>
        <w:t>Payment disruption</w:t>
      </w:r>
      <w:r>
        <w:rPr>
          <w:rFonts w:ascii="Georgia" w:hAnsi="Georgia"/>
          <w:b w:val="0"/>
          <w:i w:val="0"/>
          <w:color w:val="142233"/>
          <w:sz w:val="19"/>
        </w:rPr>
        <w:t xml:space="preserve"> â†’ payroll and vendor payments slow â†’ operations stall â†’ cashflow and customer trust decline.</w:t>
      </w:r>
    </w:p>
    <w:p>
      <w:pPr>
        <w:spacing w:after="80"/>
      </w:pPr>
      <w:r>
        <w:rPr>
          <w:b/>
          <w:color w:val="1F5C8C"/>
          <w:sz w:val="18"/>
        </w:rPr>
        <w:t xml:space="preserve">3  </w:t>
      </w:r>
      <w:r>
        <w:rPr>
          <w:rFonts w:ascii="Georgia" w:hAnsi="Georgia"/>
          <w:b/>
          <w:i w:val="0"/>
          <w:color w:val="142233"/>
          <w:sz w:val="19"/>
        </w:rPr>
        <w:t>Healthcare vendor failure</w:t>
      </w:r>
      <w:r>
        <w:rPr>
          <w:rFonts w:ascii="Georgia" w:hAnsi="Georgia"/>
          <w:b w:val="0"/>
          <w:i w:val="0"/>
          <w:color w:val="142233"/>
          <w:sz w:val="19"/>
        </w:rPr>
        <w:t xml:space="preserve"> â†’ billing and patient workflows break â†’ revenue loss and care delays â†’ legal and regulatory exposure.</w:t>
      </w:r>
    </w:p>
    <w:p>
      <w:pPr>
        <w:spacing w:after="80"/>
      </w:pPr>
      <w:r>
        <w:rPr>
          <w:b/>
          <w:color w:val="1F5C8C"/>
          <w:sz w:val="18"/>
        </w:rPr>
        <w:t xml:space="preserve">4  </w:t>
      </w:r>
      <w:r>
        <w:rPr>
          <w:rFonts w:ascii="Georgia" w:hAnsi="Georgia"/>
          <w:b/>
          <w:i w:val="0"/>
          <w:color w:val="142233"/>
          <w:sz w:val="19"/>
        </w:rPr>
        <w:t>Data-center strain</w:t>
      </w:r>
      <w:r>
        <w:rPr>
          <w:rFonts w:ascii="Georgia" w:hAnsi="Georgia"/>
          <w:b w:val="0"/>
          <w:i w:val="0"/>
          <w:color w:val="142233"/>
          <w:sz w:val="19"/>
        </w:rPr>
        <w:t xml:space="preserve"> â†’ cloud service degradation â†’ customer platforms slow or fail â†’ business interruption across multiple sectors.</w:t>
      </w:r>
    </w:p>
    <w:p>
      <w:pPr>
        <w:spacing w:after="80"/>
      </w:pPr>
      <w:r>
        <w:rPr>
          <w:b/>
          <w:color w:val="1F5C8C"/>
          <w:sz w:val="18"/>
        </w:rPr>
        <w:t xml:space="preserve">5  </w:t>
      </w:r>
      <w:r>
        <w:rPr>
          <w:rFonts w:ascii="Georgia" w:hAnsi="Georgia"/>
          <w:b/>
          <w:i w:val="0"/>
          <w:color w:val="142233"/>
          <w:sz w:val="19"/>
        </w:rPr>
        <w:t>Defense supplier unauthorized access</w:t>
      </w:r>
      <w:r>
        <w:rPr>
          <w:rFonts w:ascii="Georgia" w:hAnsi="Georgia"/>
          <w:b w:val="0"/>
          <w:i w:val="0"/>
          <w:color w:val="142233"/>
          <w:sz w:val="19"/>
        </w:rPr>
        <w:t xml:space="preserve"> â†’ program delay or sensitive access risk â†’ customer confidence damage â†’ government reporting and contract pressure.</w:t>
      </w:r>
    </w:p>
    <w:p>
      <w:pPr>
        <w:spacing w:after="80"/>
      </w:pPr>
      <w:r>
        <w:rPr>
          <w:b/>
          <w:color w:val="1F5C8C"/>
          <w:sz w:val="18"/>
        </w:rPr>
        <w:t xml:space="preserve">6  </w:t>
      </w:r>
      <w:r>
        <w:rPr>
          <w:rFonts w:ascii="Georgia" w:hAnsi="Georgia"/>
          <w:b/>
          <w:i w:val="0"/>
          <w:color w:val="142233"/>
          <w:sz w:val="19"/>
        </w:rPr>
        <w:t>Municipal water or utility incident</w:t>
      </w:r>
      <w:r>
        <w:rPr>
          <w:rFonts w:ascii="Georgia" w:hAnsi="Georgia"/>
          <w:b w:val="0"/>
          <w:i w:val="0"/>
          <w:color w:val="142233"/>
          <w:sz w:val="19"/>
        </w:rPr>
        <w:t xml:space="preserve"> â†’ local service disruption â†’ public concern â†’ mayor, regulator, media, and board attention at once.</w:t>
      </w:r>
    </w:p>
    <w:p>
      <w:pPr>
        <w:spacing w:after="160"/>
      </w:pPr>
      <w:r>
        <w:rPr>
          <w:rFonts w:ascii="Georgia" w:hAnsi="Georgia"/>
          <w:b w:val="0"/>
          <w:i w:val="0"/>
          <w:color w:val="142233"/>
          <w:sz w:val="21"/>
        </w:rPr>
        <w:t>Section VII</w:t>
      </w:r>
    </w:p>
    <w:p>
      <w:pPr>
        <w:spacing w:before="320" w:after="120"/>
        <w:pBdr>
          <w:bottom w:val="single" w:sz="6" w:space="4" w:color="A67C2E"/>
        </w:pBdr>
      </w:pPr>
      <w:r>
        <w:rPr>
          <w:rFonts w:ascii="Calibri" w:hAnsi="Calibri"/>
          <w:b/>
          <w:color w:val="7A5A1E"/>
          <w:sz w:val="27"/>
        </w:rPr>
        <w:t>Early Warning Signs to Watch</w:t>
      </w:r>
    </w:p>
    <w:p>
      <w:pPr>
        <w:spacing w:after="160"/>
      </w:pPr>
      <w:r>
        <w:rPr>
          <w:rFonts w:ascii="Georgia" w:hAnsi="Georgia"/>
          <w:b w:val="0"/>
          <w:i w:val="0"/>
          <w:color w:val="142233"/>
          <w:sz w:val="21"/>
        </w:rPr>
        <w:t>These are simple signs executives can ask about. If one appears, leadership should not wait for a perfect technical explanation before acting.</w:t>
      </w:r>
    </w:p>
    <w:p>
      <w:pPr>
        <w:spacing w:after="80"/>
      </w:pPr>
      <w:r>
        <w:rPr>
          <w:b/>
          <w:color w:val="1F5C8C"/>
          <w:sz w:val="18"/>
        </w:rPr>
        <w:t xml:space="preserve">W-1  </w:t>
      </w:r>
      <w:r>
        <w:rPr>
          <w:rFonts w:ascii="Georgia" w:hAnsi="Georgia"/>
          <w:b/>
          <w:i w:val="0"/>
          <w:color w:val="142233"/>
          <w:sz w:val="19"/>
        </w:rPr>
        <w:t>A similar company reports an outage.</w:t>
      </w:r>
      <w:r>
        <w:rPr>
          <w:rFonts w:ascii="Georgia" w:hAnsi="Georgia"/>
          <w:b w:val="0"/>
          <w:i w:val="0"/>
          <w:color w:val="142233"/>
          <w:sz w:val="19"/>
        </w:rPr>
        <w:t xml:space="preserve"> What it means: your sector may be under pressure. Executive trigger: ask whether your systems, vendors, or backups share the same exposure.</w:t>
      </w:r>
    </w:p>
    <w:p>
      <w:pPr>
        <w:spacing w:after="80"/>
      </w:pPr>
      <w:r>
        <w:rPr>
          <w:b/>
          <w:color w:val="1F5C8C"/>
          <w:sz w:val="18"/>
        </w:rPr>
        <w:t xml:space="preserve">W-2  </w:t>
      </w:r>
      <w:r>
        <w:rPr>
          <w:rFonts w:ascii="Georgia" w:hAnsi="Georgia"/>
          <w:b/>
          <w:i w:val="0"/>
          <w:color w:val="142233"/>
          <w:sz w:val="19"/>
        </w:rPr>
        <w:t>A key vendor reports unusual issues or delayed service.</w:t>
      </w:r>
      <w:r>
        <w:rPr>
          <w:rFonts w:ascii="Georgia" w:hAnsi="Georgia"/>
          <w:b w:val="0"/>
          <w:i w:val="0"/>
          <w:color w:val="142233"/>
          <w:sz w:val="19"/>
        </w:rPr>
        <w:t xml:space="preserve"> What it means: your risk may come through a partner. Executive trigger: confirm business workarounds and notification thresholds.</w:t>
      </w:r>
    </w:p>
    <w:p>
      <w:pPr>
        <w:spacing w:after="80"/>
      </w:pPr>
      <w:r>
        <w:rPr>
          <w:b/>
          <w:color w:val="1F5C8C"/>
          <w:sz w:val="18"/>
        </w:rPr>
        <w:t xml:space="preserve">W-3  </w:t>
      </w:r>
      <w:r>
        <w:rPr>
          <w:rFonts w:ascii="Georgia" w:hAnsi="Georgia"/>
          <w:b/>
          <w:i w:val="0"/>
          <w:color w:val="142233"/>
          <w:sz w:val="19"/>
        </w:rPr>
        <w:t>Multiple locations report login failures, slow systems, or unexpected lockouts.</w:t>
      </w:r>
      <w:r>
        <w:rPr>
          <w:rFonts w:ascii="Georgia" w:hAnsi="Georgia"/>
          <w:b w:val="0"/>
          <w:i w:val="0"/>
          <w:color w:val="142233"/>
          <w:sz w:val="19"/>
        </w:rPr>
        <w:t xml:space="preserve"> What it means: this may be more than a help-desk issue. Executive trigger: convene IT, operations, legal, and communications quickly.</w:t>
      </w:r>
    </w:p>
    <w:p>
      <w:pPr>
        <w:spacing w:after="80"/>
      </w:pPr>
      <w:r>
        <w:rPr>
          <w:b/>
          <w:color w:val="1F5C8C"/>
          <w:sz w:val="18"/>
        </w:rPr>
        <w:t xml:space="preserve">W-4  </w:t>
      </w:r>
      <w:r>
        <w:rPr>
          <w:rFonts w:ascii="Georgia" w:hAnsi="Georgia"/>
          <w:b/>
          <w:i w:val="0"/>
          <w:color w:val="142233"/>
          <w:sz w:val="19"/>
        </w:rPr>
        <w:t>A port, pipeline, hospital, payment provider, or data center reports disruption.</w:t>
      </w:r>
      <w:r>
        <w:rPr>
          <w:rFonts w:ascii="Georgia" w:hAnsi="Georgia"/>
          <w:b w:val="0"/>
          <w:i w:val="0"/>
          <w:color w:val="142233"/>
          <w:sz w:val="19"/>
        </w:rPr>
        <w:t xml:space="preserve"> What it means: cross-sector effects may follow. Executive trigger: check whether your operations depend on that service.</w:t>
      </w:r>
    </w:p>
    <w:p>
      <w:pPr>
        <w:spacing w:after="80"/>
      </w:pPr>
      <w:r>
        <w:rPr>
          <w:b/>
          <w:color w:val="1F5C8C"/>
          <w:sz w:val="18"/>
        </w:rPr>
        <w:t xml:space="preserve">W-5  </w:t>
      </w:r>
      <w:r>
        <w:rPr>
          <w:rFonts w:ascii="Georgia" w:hAnsi="Georgia"/>
          <w:b/>
          <w:i w:val="0"/>
          <w:color w:val="142233"/>
          <w:sz w:val="19"/>
        </w:rPr>
        <w:t>A public advisory names your sector.</w:t>
      </w:r>
      <w:r>
        <w:rPr>
          <w:rFonts w:ascii="Georgia" w:hAnsi="Georgia"/>
          <w:b w:val="0"/>
          <w:i w:val="0"/>
          <w:color w:val="142233"/>
          <w:sz w:val="19"/>
        </w:rPr>
        <w:t xml:space="preserve"> What it means: the government believes the risk is specific enough to warn. Executive trigger: document that leadership reviewed it and assigned action.</w:t>
      </w:r>
    </w:p>
    <w:p>
      <w:pPr>
        <w:spacing w:after="80"/>
      </w:pPr>
      <w:r>
        <w:rPr>
          <w:b/>
          <w:color w:val="1F5C8C"/>
          <w:sz w:val="18"/>
        </w:rPr>
        <w:t xml:space="preserve">W-6  </w:t>
      </w:r>
      <w:r>
        <w:rPr>
          <w:rFonts w:ascii="Georgia" w:hAnsi="Georgia"/>
          <w:b/>
          <w:i w:val="0"/>
          <w:color w:val="142233"/>
          <w:sz w:val="19"/>
        </w:rPr>
        <w:t>Your team cannot prove backup restoration time.</w:t>
      </w:r>
      <w:r>
        <w:rPr>
          <w:rFonts w:ascii="Georgia" w:hAnsi="Georgia"/>
          <w:b w:val="0"/>
          <w:i w:val="0"/>
          <w:color w:val="142233"/>
          <w:sz w:val="19"/>
        </w:rPr>
        <w:t xml:space="preserve"> What it means: recovery assumptions may be false. Executive trigger: require a restore test, not a verbal assurance.</w:t>
      </w:r>
    </w:p>
    <w:p>
      <w:pPr>
        <w:spacing w:after="160"/>
      </w:pPr>
      <w:r>
        <w:rPr>
          <w:rFonts w:ascii="Georgia" w:hAnsi="Georgia"/>
          <w:b w:val="0"/>
          <w:i w:val="0"/>
          <w:color w:val="142233"/>
          <w:sz w:val="21"/>
        </w:rPr>
        <w:t>Section VIII</w:t>
      </w:r>
    </w:p>
    <w:p>
      <w:pPr>
        <w:spacing w:before="320" w:after="120"/>
        <w:pBdr>
          <w:bottom w:val="single" w:sz="6" w:space="4" w:color="A67C2E"/>
        </w:pBdr>
      </w:pPr>
      <w:r>
        <w:rPr>
          <w:rFonts w:ascii="Calibri" w:hAnsi="Calibri"/>
          <w:b/>
          <w:color w:val="7A5A1E"/>
          <w:sz w:val="27"/>
        </w:rPr>
        <w:t>What Leadership Should Do This Week</w:t>
      </w:r>
    </w:p>
    <w:p>
      <w:pPr>
        <w:spacing w:before="160" w:after="40"/>
      </w:pPr>
      <w:r>
        <w:rPr>
          <w:b/>
          <w:color w:val="7A5A1E"/>
          <w:sz w:val="20"/>
        </w:rPr>
        <w:t>1 — Put One Executive in Charge</w:t>
      </w:r>
    </w:p>
    <w:p>
      <w:pPr>
        <w:spacing w:after="40"/>
      </w:pPr>
      <w:r>
        <w:rPr>
          <w:rFonts w:ascii="Georgia" w:hAnsi="Georgia"/>
          <w:b w:val="0"/>
          <w:i w:val="0"/>
          <w:color w:val="142233"/>
          <w:sz w:val="19"/>
        </w:rPr>
        <w:t>Name a business owner, not just a technical owner. That person should be accountable for understanding which services fail first if a vendor, software platform, data center, or operational system goes down.</w:t>
      </w:r>
    </w:p>
    <w:p>
      <w:pPr>
        <w:spacing w:before="160" w:after="40"/>
      </w:pPr>
      <w:r>
        <w:rPr>
          <w:b/>
          <w:color w:val="7A5A1E"/>
          <w:sz w:val="20"/>
        </w:rPr>
        <w:t>2 — Ask for Proof That Backups Work</w:t>
      </w:r>
    </w:p>
    <w:p>
      <w:pPr>
        <w:spacing w:after="40"/>
      </w:pPr>
      <w:r>
        <w:rPr>
          <w:rFonts w:ascii="Georgia" w:hAnsi="Georgia"/>
          <w:b w:val="0"/>
          <w:i w:val="0"/>
          <w:color w:val="142233"/>
          <w:sz w:val="19"/>
        </w:rPr>
        <w:t>Do not accept “we have backups.” Ask when the last restore test happened and how long it took. If the answer is unclear, require a test within seven days.</w:t>
      </w:r>
    </w:p>
    <w:p>
      <w:pPr>
        <w:spacing w:before="160" w:after="40"/>
      </w:pPr>
      <w:r>
        <w:rPr>
          <w:b/>
          <w:color w:val="7A5A1E"/>
          <w:sz w:val="20"/>
        </w:rPr>
        <w:t>3 — Review Your Top Five Critical Vendors</w:t>
      </w:r>
    </w:p>
    <w:p>
      <w:pPr>
        <w:spacing w:after="40"/>
      </w:pPr>
      <w:r>
        <w:rPr>
          <w:rFonts w:ascii="Georgia" w:hAnsi="Georgia"/>
          <w:b w:val="0"/>
          <w:i w:val="0"/>
          <w:color w:val="142233"/>
          <w:sz w:val="19"/>
        </w:rPr>
        <w:t>Identify the five outside providers that would hurt operations most if they failed. Ask what backup plan exists for each one.</w:t>
      </w:r>
    </w:p>
    <w:p>
      <w:pPr>
        <w:spacing w:before="160" w:after="40"/>
      </w:pPr>
      <w:r>
        <w:rPr>
          <w:b/>
          <w:color w:val="7A5A1E"/>
          <w:sz w:val="20"/>
        </w:rPr>
        <w:t>4 — Set Board and Legal Notification Triggers</w:t>
      </w:r>
    </w:p>
    <w:p>
      <w:pPr>
        <w:spacing w:after="40"/>
      </w:pPr>
      <w:r>
        <w:rPr>
          <w:rFonts w:ascii="Georgia" w:hAnsi="Georgia"/>
          <w:b w:val="0"/>
          <w:i w:val="0"/>
          <w:color w:val="142233"/>
          <w:sz w:val="19"/>
        </w:rPr>
        <w:t>Decide in advance what type of outage, vendor failure, customer impact, or public reporting requires notification to the board, general counsel, or risk committee.</w:t>
      </w:r>
    </w:p>
    <w:p>
      <w:pPr>
        <w:spacing w:before="160" w:after="40"/>
      </w:pPr>
      <w:r>
        <w:rPr>
          <w:b/>
          <w:color w:val="7A5A1E"/>
          <w:sz w:val="20"/>
        </w:rPr>
        <w:t>5 — Run a 30-Minute Tabletop</w:t>
      </w:r>
    </w:p>
    <w:p>
      <w:pPr>
        <w:spacing w:after="40"/>
      </w:pPr>
      <w:r>
        <w:rPr>
          <w:rFonts w:ascii="Georgia" w:hAnsi="Georgia"/>
          <w:b w:val="0"/>
          <w:i w:val="0"/>
          <w:color w:val="142233"/>
          <w:sz w:val="19"/>
        </w:rPr>
        <w:t>Ask one simple scenario: “Our most important vendor is down for 72 hours. What stops, who decides, who calls customers, and when does the board find out?”</w:t>
      </w:r>
    </w:p>
    <w:p>
      <w:pPr>
        <w:spacing w:after="160"/>
      </w:pPr>
      <w:r>
        <w:rPr>
          <w:rFonts w:ascii="Georgia" w:hAnsi="Georgia"/>
          <w:b w:val="0"/>
          <w:i w:val="0"/>
          <w:color w:val="142233"/>
          <w:sz w:val="21"/>
        </w:rPr>
        <w:t>Section IX</w:t>
      </w:r>
    </w:p>
    <w:p>
      <w:pPr>
        <w:spacing w:before="320" w:after="120"/>
        <w:pBdr>
          <w:bottom w:val="single" w:sz="6" w:space="4" w:color="A67C2E"/>
        </w:pBdr>
      </w:pPr>
      <w:r>
        <w:rPr>
          <w:rFonts w:ascii="Calibri" w:hAnsi="Calibri"/>
          <w:b/>
          <w:color w:val="7A5A1E"/>
          <w:sz w:val="27"/>
        </w:rPr>
        <w:t>What Happens If You Ignore This</w:t>
      </w:r>
    </w:p>
    <w:p>
      <w:pPr>
        <w:spacing w:after="160"/>
      </w:pPr>
      <w:r>
        <w:rPr>
          <w:rFonts w:ascii="Georgia" w:hAnsi="Georgia"/>
          <w:b w:val="0"/>
          <w:i w:val="0"/>
          <w:color w:val="142233"/>
          <w:sz w:val="21"/>
        </w:rPr>
        <w:t>Section X</w:t>
      </w:r>
    </w:p>
    <w:p>
      <w:pPr>
        <w:spacing w:before="320" w:after="120"/>
        <w:pBdr>
          <w:bottom w:val="single" w:sz="6" w:space="4" w:color="A67C2E"/>
        </w:pBdr>
      </w:pPr>
      <w:r>
        <w:rPr>
          <w:rFonts w:ascii="Calibri" w:hAnsi="Calibri"/>
          <w:b/>
          <w:color w:val="7A5A1E"/>
          <w:sz w:val="27"/>
        </w:rPr>
        <w:t>Accountability Check</w:t>
      </w:r>
    </w:p>
    <w:p>
      <w:pPr>
        <w:pBdr>
          <w:bottom w:val="single" w:sz="4" w:space="4" w:color="CCCCCC"/>
        </w:pBdr>
      </w:pPr>
    </w:p>
    <w:p>
      <w:pPr>
        <w:spacing w:after="160"/>
      </w:pPr>
      <w:r>
        <w:rPr>
          <w:rFonts w:ascii="Georgia" w:hAnsi="Georgia"/>
          <w:b w:val="0"/>
          <w:i w:val="0"/>
          <w:color w:val="142233"/>
          <w:sz w:val="21"/>
        </w:rPr>
        <w:t>Section XI — Sourcing</w:t>
      </w:r>
    </w:p>
    <w:p>
      <w:pPr>
        <w:spacing w:after="160"/>
      </w:pPr>
      <w:r>
        <w:rPr>
          <w:rFonts w:ascii="Georgia" w:hAnsi="Georgia"/>
          <w:b w:val="0"/>
          <w:i w:val="0"/>
          <w:color w:val="142233"/>
          <w:sz w:val="21"/>
        </w:rPr>
        <w:t>Sources</w:t>
      </w:r>
    </w:p>
    <w:p>
      <w:pPr>
        <w:spacing w:before="320" w:after="120"/>
        <w:pBdr>
          <w:bottom w:val="single" w:sz="6" w:space="4" w:color="A67C2E"/>
        </w:pBdr>
      </w:pPr>
      <w:r>
        <w:rPr>
          <w:rFonts w:ascii="Calibri" w:hAnsi="Calibri"/>
          <w:b/>
          <w:color w:val="7A5A1E"/>
          <w:sz w:val="27"/>
        </w:rPr>
        <w:t>Source Notes</w:t>
      </w:r>
    </w:p>
    <w:p>
      <w:pPr>
        <w:spacing w:after="160"/>
      </w:pPr>
      <w:r>
        <w:rPr>
          <w:rFonts w:ascii="Georgia" w:hAnsi="Georgia"/>
          <w:b w:val="0"/>
          <w:i w:val="0"/>
          <w:color w:val="142233"/>
          <w:sz w:val="21"/>
        </w:rPr>
        <w:t>Government &amp; Official Advisories</w:t>
      </w:r>
    </w:p>
    <w:p>
      <w:pPr>
        <w:pStyle w:val="ListBullet"/>
      </w:pPr>
      <w:r>
        <w:rPr>
          <w:rFonts w:ascii="Georgia" w:hAnsi="Georgia"/>
          <w:b w:val="0"/>
          <w:i w:val="0"/>
          <w:color w:val="142233"/>
          <w:sz w:val="20"/>
        </w:rPr>
        <w:t>U.S. government advisories (CISA, DOE, DHS) on targeting of energy, maritime, and municipal systems</w:t>
      </w:r>
    </w:p>
    <w:p>
      <w:pPr>
        <w:pStyle w:val="ListBullet"/>
      </w:pPr>
      <w:r>
        <w:rPr>
          <w:rFonts w:ascii="Georgia" w:hAnsi="Georgia"/>
          <w:b w:val="0"/>
          <w:i w:val="0"/>
          <w:color w:val="142233"/>
          <w:sz w:val="20"/>
        </w:rPr>
        <w:t>Industry reporting on large-scale service disruptions and software supply chain risks</w:t>
      </w:r>
    </w:p>
    <w:p>
      <w:pPr>
        <w:spacing w:after="160"/>
      </w:pPr>
      <w:r>
        <w:rPr>
          <w:rFonts w:ascii="Georgia" w:hAnsi="Georgia"/>
          <w:b w:val="0"/>
          <w:i w:val="0"/>
          <w:color w:val="142233"/>
          <w:sz w:val="21"/>
        </w:rPr>
        <w:t>Industry Reporting &amp; Observed Activity</w:t>
      </w:r>
    </w:p>
    <w:p>
      <w:pPr>
        <w:pStyle w:val="ListBullet"/>
      </w:pPr>
      <w:r>
        <w:rPr>
          <w:rFonts w:ascii="Georgia" w:hAnsi="Georgia"/>
          <w:b w:val="0"/>
          <w:i w:val="0"/>
          <w:color w:val="142233"/>
          <w:sz w:val="20"/>
        </w:rPr>
        <w:t>Observed patterns of activity from nation-state and criminal groups targeting U.S. infrastructure</w:t>
      </w:r>
    </w:p>
    <w:p>
      <w:pPr>
        <w:pStyle w:val="ListBullet"/>
      </w:pPr>
      <w:r>
        <w:rPr>
          <w:rFonts w:ascii="Georgia" w:hAnsi="Georgia"/>
          <w:b w:val="0"/>
          <w:i w:val="0"/>
          <w:color w:val="142233"/>
          <w:sz w:val="20"/>
        </w:rPr>
        <w:t>Historical U.S. incidents used as precedent for operational and business impact</w:t>
      </w:r>
    </w:p>
    <w:p>
      <w:pPr>
        <w:spacing w:after="160"/>
      </w:pPr>
      <w:r>
        <w:rPr>
          <w:rFonts w:ascii="Georgia" w:hAnsi="Georgia"/>
          <w:b w:val="0"/>
          <w:i w:val="0"/>
          <w:color w:val="142233"/>
          <w:sz w:val="21"/>
        </w:rPr>
        <w:br/>
        <w:t xml:space="preserve"> This assessment reflects combined reporting, historical precedent, and Liberty CTI analysis.</w:t>
        <w:br/>
        <w:t xml:space="preserve"> </w:t>
      </w:r>
    </w:p>
    <w:p>
      <w:pPr>
        <w:spacing w:after="160"/>
        <w:jc w:val="center"/>
      </w:pPr>
      <w:r>
        <w:rPr>
          <w:rFonts w:ascii="Georgia" w:hAnsi="Georgia"/>
          <w:b w:val="0"/>
          <w:i w:val="0"/>
          <w:color w:val="5C5C5C"/>
          <w:sz w:val="16"/>
        </w:rPr>
        <w:t>© 2026 Liberty CTI LLC. All rights reserved. The Alamo Threat Brief and its original analysis may not be reproduced or redistributed without permission.</w:t>
      </w:r>
    </w:p>
    <w:p>
      <w:pPr>
        <w:spacing w:after="160"/>
        <w:jc w:val="center"/>
      </w:pPr>
      <w:r>
        <w:rPr>
          <w:rFonts w:ascii="Georgia" w:hAnsi="Georgia"/>
          <w:b w:val="0"/>
          <w:i w:val="0"/>
          <w:color w:val="5C5C5C"/>
          <w:sz w:val="16"/>
        </w:rPr>
        <w:t xml:space="preserve">Liberty CTI assessments reflect analytical judgments based on information available at the time of publication. Forecasts and warning judgments involve uncertainty and may change as new information becomes available. The Alamo Threat Brief provides intelligence decision support and does not constitute legal, financial, investment, or technical cybersecurity advice. See </w:t>
      </w:r>
      <w:r>
        <w:rPr>
          <w:rFonts w:ascii="Georgia" w:hAnsi="Georgia"/>
          <w:b w:val="0"/>
          <w:i w:val="0"/>
          <w:color w:val="1F5C8C"/>
          <w:sz w:val="16"/>
          <w:u w:val="single"/>
        </w:rPr>
        <w:t>Terms of Use</w:t>
      </w:r>
      <w:r>
        <w:rPr>
          <w:rFonts w:ascii="Georgia" w:hAnsi="Georgia"/>
          <w:b w:val="0"/>
          <w:i w:val="0"/>
          <w:color w:val="5C5C5C"/>
          <w:sz w:val="16"/>
        </w:rPr>
        <w:t>.</w:t>
      </w:r>
    </w:p>
    <w:p>
      <w:pPr>
        <w:spacing w:after="160"/>
        <w:jc w:val="center"/>
      </w:pPr>
      <w:r>
        <w:rPr>
          <w:rFonts w:ascii="Georgia" w:hAnsi="Georgia"/>
          <w:b w:val="0"/>
          <w:i w:val="0"/>
          <w:color w:val="5C5C5C"/>
          <w:sz w:val="16"/>
        </w:rPr>
        <w:t>Third-party reporting cited in this brief remains the property of its respective owners; citation does not constitute endorsement. Liberty CTI’s original analytical judgments remain Liberty CTI intellectual property.</w:t>
      </w:r>
    </w:p>
    <w:p>
      <w:pPr>
        <w:spacing w:before="360"/>
        <w:jc w:val="center"/>
      </w:pPr>
      <w:r>
        <w:rPr>
          <w:color w:val="5C5C5C"/>
          <w:sz w:val="15"/>
        </w:rPr>
        <w:t>© 2026 Liberty CTI LLC. All rights reserved. The Alamo Threat Brief and its original analysis may not be reproduced or redistributed without permission. Alamo Threat Brief™ is a trademark of Liberty CTI LLC. This document is an archival companion to the published web issue and preserves the assessment as originally issued.</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C5C5C"/>
        <w:sz w:val="15"/>
      </w:rPr>
      <w:t xml:space="preserve">OPEN SOURCE INTELLIGENCE   —   Page </w:t>
    </w:r>
    <w:r>
      <w:rPr>
        <w:color w:val="5C5C5C"/>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5C5C5C"/>
        <w:sz w:val="16"/>
      </w:rPr>
      <w:t>LIBERTY CTI  |  THE ALAMO THREAT BRIEF  |  ATB-2026-8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4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