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ATB-2026-10</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10–16 MAY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2026-05-17</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TEXAS IS THE TARGET SYSTEM</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Which external dependency fails first if power, telecom, cloud, MSP, identity access, or vendor support is degraded? Do not let the answer stay inside IT. This is a leadership continuity question.</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a 90-minute executive dependency mapping session before the next board or risk committee meeting. The session should cover power, telecom, cloud, MSP, identity, finance, suppliers, and manual workarounds.</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the assumptions leadership is accepting on backup power, vendor availability, CIRCIA ownership, ransomware payment authority, and manual continuity. If those assumptions are wrong, the record will matter.</w:t>
      </w:r>
    </w:p>
    <w:p>
      <w:pPr>
        <w:spacing w:before="160" w:after="40"/>
      </w:pPr>
      <w:r>
        <w:rPr>
          <w:b/>
          <w:color w:val="7A5A1E"/>
          <w:sz w:val="20"/>
        </w:rPr>
        <w:t>Board Implications This Week — Rehearse</w:t>
      </w:r>
    </w:p>
    <w:p>
      <w:pPr>
        <w:spacing w:after="40"/>
      </w:pPr>
      <w:r>
        <w:rPr>
          <w:rFonts w:ascii="Georgia" w:hAnsi="Georgia"/>
          <w:b w:val="0"/>
          <w:i w:val="0"/>
          <w:color w:val="142233"/>
          <w:sz w:val="19"/>
        </w:rPr>
        <w:t>Run one combined cyber/physical continuity scenario before peak summer grid demand. Do not test a cyber incident in one room and a power-continuity problem in another. That is not how the failure will arrive.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CISA 16-Advisory ICS Release — Energy and Healthcare Attack Surface Confirmed</w:t>
      </w:r>
    </w:p>
    <w:p>
      <w:pPr>
        <w:spacing w:after="160"/>
      </w:pPr>
      <w:r>
        <w:rPr>
          <w:rFonts w:ascii="Georgia" w:hAnsi="Georgia"/>
          <w:b w:val="0"/>
          <w:i w:val="0"/>
          <w:color w:val="142233"/>
          <w:sz w:val="21"/>
        </w:rPr>
        <w:t xml:space="preserve">On </w:t>
      </w:r>
      <w:r>
        <w:rPr>
          <w:rFonts w:ascii="Georgia" w:hAnsi="Georgia"/>
          <w:b/>
          <w:i w:val="0"/>
          <w:color w:val="142233"/>
          <w:sz w:val="21"/>
        </w:rPr>
        <w:t>14 May 2026, CISA published sixteen ICS advisories</w:t>
      </w:r>
      <w:r>
        <w:rPr>
          <w:rFonts w:ascii="Georgia" w:hAnsi="Georgia"/>
          <w:b w:val="0"/>
          <w:i w:val="0"/>
          <w:color w:val="142233"/>
          <w:sz w:val="21"/>
        </w:rPr>
        <w:t xml:space="preserve"> covering Siemens, ABB, Hitachi Energy, Johnson Controls, and Schneider Electric — vendors embedded across energy, manufacturing, healthcare, and industrial environments. Several advisories carried critical severity. The decision problem is not whether every affected device exists inside a given enterprise. The decision problem is whether leadership knows which third parties, facilities, or suppliers depend on exposed OT and industrial systems.</w:t>
      </w:r>
    </w:p>
    <w:p>
      <w:pPr>
        <w:spacing w:before="200" w:after="120"/>
      </w:pPr>
      <w:r>
        <w:rPr>
          <w:rFonts w:ascii="Calibri" w:hAnsi="Calibri"/>
          <w:b/>
          <w:color w:val="142233"/>
          <w:sz w:val="23"/>
        </w:rPr>
        <w:t>ERCOT Demand Forecast vs. Grid Reality</w:t>
      </w:r>
    </w:p>
    <w:p>
      <w:pPr>
        <w:spacing w:after="160"/>
      </w:pPr>
      <w:r>
        <w:rPr>
          <w:rFonts w:ascii="Georgia" w:hAnsi="Georgia"/>
          <w:b/>
          <w:i w:val="0"/>
          <w:color w:val="142233"/>
          <w:sz w:val="21"/>
        </w:rPr>
        <w:t>ERCOT’s April 2026 long-term load forecast</w:t>
      </w:r>
      <w:r>
        <w:rPr>
          <w:rFonts w:ascii="Georgia" w:hAnsi="Georgia"/>
          <w:b w:val="0"/>
          <w:i w:val="0"/>
          <w:color w:val="142233"/>
          <w:sz w:val="21"/>
        </w:rPr>
        <w:t xml:space="preserve"> projected statewide demand reaching nearly 368 GW by 2032, driven heavily by AI data centers. The Public Utility Commission rejected the preliminary 112 GW summer 2026 figure as inflated, but even revised conservative projections of 90.5–98 GW this summer would exceed the all-time peak demand record of 85.5 GW set in 2023. Texas leaders should treat this as a continuity planning issue, not only a grid planning issue.</w:t>
      </w:r>
    </w:p>
    <w:p>
      <w:pPr>
        <w:spacing w:before="200" w:after="120"/>
      </w:pPr>
      <w:r>
        <w:rPr>
          <w:rFonts w:ascii="Calibri" w:hAnsi="Calibri"/>
          <w:b/>
          <w:color w:val="142233"/>
          <w:sz w:val="23"/>
        </w:rPr>
        <w:t>Healthcare Ransomware Reporting — Patient Safety, Not Just Data Protection</w:t>
      </w:r>
    </w:p>
    <w:p>
      <w:pPr>
        <w:spacing w:after="160"/>
      </w:pPr>
      <w:r>
        <w:rPr>
          <w:rFonts w:ascii="Georgia" w:hAnsi="Georgia"/>
          <w:b w:val="0"/>
          <w:i w:val="0"/>
          <w:color w:val="142233"/>
          <w:sz w:val="21"/>
        </w:rPr>
        <w:t xml:space="preserve">On </w:t>
      </w:r>
      <w:r>
        <w:rPr>
          <w:rFonts w:ascii="Georgia" w:hAnsi="Georgia"/>
          <w:b/>
          <w:i w:val="0"/>
          <w:color w:val="142233"/>
          <w:sz w:val="21"/>
        </w:rPr>
        <w:t>15 May 2026, healthcare ransomware reporting</w:t>
      </w:r>
      <w:r>
        <w:rPr>
          <w:rFonts w:ascii="Georgia" w:hAnsi="Georgia"/>
          <w:b w:val="0"/>
          <w:i w:val="0"/>
          <w:color w:val="142233"/>
          <w:sz w:val="21"/>
        </w:rPr>
        <w:t xml:space="preserve"> reinforced that health systems remain inside an elevated extortion environment. For Texas hospitals and regional providers, the operational question is whether patient movement, EHR access, imaging, pharmacy, revenue cycle, and third-party care coordination can continue when cloud, telecom, or vendor support is degraded.</w:t>
      </w:r>
    </w:p>
    <w:p>
      <w:pPr>
        <w:spacing w:before="200" w:after="120"/>
      </w:pPr>
      <w:r>
        <w:rPr>
          <w:rFonts w:ascii="Calibri" w:hAnsi="Calibri"/>
          <w:b/>
          <w:color w:val="142233"/>
          <w:sz w:val="23"/>
        </w:rPr>
        <w:t>CI Fortify Governance Interpretation — Continuing Baseline, Current-Week Legal Relevance</w:t>
      </w:r>
    </w:p>
    <w:p>
      <w:pPr>
        <w:spacing w:after="160"/>
      </w:pPr>
      <w:r>
        <w:rPr>
          <w:rFonts w:ascii="Georgia" w:hAnsi="Georgia"/>
          <w:b/>
          <w:i w:val="0"/>
          <w:color w:val="142233"/>
          <w:sz w:val="21"/>
        </w:rPr>
        <w:t>CI Fortify launched on 5 May 2026</w:t>
      </w:r>
      <w:r>
        <w:rPr>
          <w:rFonts w:ascii="Georgia" w:hAnsi="Georgia"/>
          <w:b w:val="0"/>
          <w:i w:val="0"/>
          <w:color w:val="142233"/>
          <w:sz w:val="21"/>
        </w:rPr>
        <w:t>, outside this ATB’s collection window. It is therefore carried forward as a continuing baseline, not counted as a current-week event. The current-week development is the legal and governance interpretation published on 14 May: boards and executives should expect CI Fortify to shape what reasonable preparation looks like after a critical infrastructure incident.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Texas infrastructure concentration itself — AI compute load, ERCOT grid dependency, telecom corridor concentration, and MSP/cloud access consolidation — has become a strategic objective for nation-state adversary pre-positioning.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CISA CI Fortify planning assumptions carried forward from 5 May 2026; CISA/NSA/FBI Volt Typhoon Advisory AA24-038A; ERCOT April 2026 Long-Term Load Forecast and 14 May reporting; CISA ICS advisories published 14 May 2026. Primary uncertainty: no confirmed active Texas intrusion was identified in open reporting this week; this is an analytic inference from adversary intent, target value, and dependency concentration.</w:t>
      </w:r>
    </w:p>
    <w:p>
      <w:pPr>
        <w:spacing w:after="120"/>
        <w:ind w:left="283"/>
      </w:pPr>
      <w:r>
        <w:rPr>
          <w:color w:val="7A5A1E"/>
          <w:sz w:val="19"/>
        </w:rPr>
        <w:t>Decision implication: Decision Implication: Risk officers should reframe their threat model from sector-specific cyber incidents to coupled-system degradation scenarios. The attack surface is the dependency map, not only the perimeter.</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Texas healthcare cyber risk will increasingly manifest as operational continuity and patient-safety risk, not only data-protection risk.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Healthcare IT Today reporting on 15 May 2026; CISA ICS advisories including medical-device and industrial-system exposure on 14 May 2026; sustained ransomware activity against health systems. Primary uncertainty: the open-source record does not identify a new major Texas health-system disruption during this collection window.</w:t>
      </w:r>
    </w:p>
    <w:p>
      <w:pPr>
        <w:spacing w:after="120"/>
        <w:ind w:left="283"/>
      </w:pPr>
      <w:r>
        <w:rPr>
          <w:color w:val="7A5A1E"/>
          <w:sz w:val="19"/>
        </w:rPr>
        <w:t>Decision implication: Decision Implication: Hospital boards and health system CEOs should add telecom, cloud, EHR, backup power, and patient-transfer dependencies to patient-safety risk registers this quarter.</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it is </w:t>
      </w:r>
      <w:r>
        <w:rPr>
          <w:rFonts w:ascii="Georgia" w:hAnsi="Georgia"/>
          <w:b/>
          <w:i w:val="0"/>
          <w:color w:val="142233"/>
          <w:sz w:val="21"/>
        </w:rPr>
        <w:t>likely</w:t>
      </w:r>
      <w:r>
        <w:rPr>
          <w:rFonts w:ascii="Georgia" w:hAnsi="Georgia"/>
          <w:b w:val="0"/>
          <w:i w:val="0"/>
          <w:color w:val="142233"/>
          <w:sz w:val="21"/>
        </w:rPr>
        <w:t xml:space="preserve"> (55–80%) that ERCOT grid stress during summer 2026 will create exploitable operational vulnerability windows if cyber, physical, and vendor-continuity plans remain separated. </w:t>
      </w:r>
      <w:r>
        <w:rPr>
          <w:rFonts w:ascii="Consolas" w:hAnsi="Consolas"/>
          <w:b w:val="0"/>
          <w:i w:val="0"/>
          <w:color w:val="7A5A1E"/>
          <w:sz w:val="16"/>
        </w:rPr>
        <w:t>MODERATE CONFIDENCE</w:t>
      </w:r>
      <w:r>
        <w:br/>
      </w:r>
      <w:r>
        <w:br/>
      </w:r>
      <w:r>
        <w:br/>
      </w:r>
    </w:p>
    <w:p>
      <w:pPr>
        <w:spacing w:after="40"/>
        <w:ind w:left="283"/>
      </w:pPr>
      <w:r>
        <w:rPr>
          <w:i/>
          <w:color w:val="5C5C5C"/>
          <w:sz w:val="18"/>
        </w:rPr>
        <w:t>Source basis / uncertainty: Source basis: ERCOT April 2026 Long-Term Load Forecast and 14 May 2026 reporting showing conservative summer-demand estimates above the historical peak; CISA CI Fortify assumptions on degraded vendor and network support; current-week CISA ICS advisories. Primary uncertainty: actual summer peak demand, weather-driven load, and realized data-center consumption remain uncertain.</w:t>
      </w:r>
    </w:p>
    <w:p>
      <w:pPr>
        <w:spacing w:after="120"/>
        <w:ind w:left="283"/>
      </w:pPr>
      <w:r>
        <w:rPr>
          <w:color w:val="7A5A1E"/>
          <w:sz w:val="19"/>
        </w:rPr>
        <w:t>Decision implication: Decision Implication: Large grid consumers and ERCOT-connected critical infrastructure operators should confirm that cyber incident response plans and physical continuity plans are integrated, not separate documents.</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strategic driver is adversary preparation for crisis leverage against U.S. critical infrastructure. PRC pre-positioning remains tied to contingency planning around Taiwan and regional military pressure. Iranian OT targeting remains tied to retaliation capacity during Middle East escalation. DPRK IT-worker activity remains tied to sanctions evasion and weapons-program revenue. Texas matters because its grid, defense, healthcare, finance, telecom, and AI/data-center growth give adversaries multiple ways to create pressure beyond the initial victim.</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Texas is not simply a collection of targeted sectors. It is a coupled operating system. Energy enables the rest of the economy. Finance enables recovery. Healthcare carries immediate human consequence. The defense industrial base carries national security consequence. AI and data centers increase power demand and concentrate cloud dependency. The board-level risk is not a single cyber event. It is the cascade that follows when one dependency fails and leadership discovers the continuity plan assumed the rest of the system would still be available.</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ERCOT / OT / Grid</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ERCOT’s revised summer 2026 peak demand estimate of 90.5–98 GW already exceeds the all-time record. CISA’s 14 May ICS advisories flagged critical vulnerabilities in industrial vendors deployed across energy environments. </w:t>
            </w:r>
            <w:r>
              <w:rPr>
                <w:rFonts w:ascii="Georgia" w:hAnsi="Georgia"/>
                <w:b/>
                <w:i w:val="0"/>
                <w:color w:val="142233"/>
                <w:sz w:val="19"/>
              </w:rPr>
              <w:t>Why it matters locally:</w:t>
            </w:r>
            <w:r>
              <w:rPr>
                <w:rFonts w:ascii="Georgia" w:hAnsi="Georgia"/>
                <w:b w:val="0"/>
                <w:i w:val="0"/>
                <w:color w:val="142233"/>
                <w:sz w:val="19"/>
              </w:rPr>
              <w:t xml:space="preserve"> Texas grid operators face concurrent pressure: data-center growth assumes continuous, high-bandwidth, vendor-rich operations; federal resilience guidance assumes the opposite must be survivable. </w:t>
            </w:r>
            <w:r>
              <w:rPr>
                <w:rFonts w:ascii="Georgia" w:hAnsi="Georgia"/>
                <w:b/>
                <w:i w:val="0"/>
                <w:color w:val="142233"/>
                <w:sz w:val="19"/>
              </w:rPr>
              <w:t>Cascade risk:</w:t>
            </w:r>
            <w:r>
              <w:rPr>
                <w:rFonts w:ascii="Georgia" w:hAnsi="Georgia"/>
                <w:b w:val="0"/>
                <w:i w:val="0"/>
                <w:color w:val="142233"/>
                <w:sz w:val="19"/>
              </w:rPr>
              <w:t xml:space="preserve"> Energy disruption cascades to healthcare, water, finance, telecom, and fuel logistics within hours.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Payments / Recovery / Compliance</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CIRCIA readiness, ransomware payment authority, insurance claim handling, and vendor payment recovery are now leadership dependencies. </w:t>
            </w:r>
            <w:r>
              <w:rPr>
                <w:rFonts w:ascii="Georgia" w:hAnsi="Georgia"/>
                <w:b/>
                <w:i w:val="0"/>
                <w:color w:val="142233"/>
                <w:sz w:val="19"/>
              </w:rPr>
              <w:t>Why it matters locally:</w:t>
            </w:r>
            <w:r>
              <w:rPr>
                <w:rFonts w:ascii="Georgia" w:hAnsi="Georgia"/>
                <w:b w:val="0"/>
                <w:i w:val="0"/>
                <w:color w:val="142233"/>
                <w:sz w:val="19"/>
              </w:rPr>
              <w:t xml:space="preserve"> Texas CFOs and risk officers who treat financial disruption as a banking problem are misframing the exposure. Financial recovery capacity is operational continuity. </w:t>
            </w:r>
            <w:r>
              <w:rPr>
                <w:rFonts w:ascii="Georgia" w:hAnsi="Georgia"/>
                <w:b/>
                <w:i w:val="0"/>
                <w:color w:val="142233"/>
                <w:sz w:val="19"/>
              </w:rPr>
              <w:t>Cascade risk:</w:t>
            </w:r>
            <w:r>
              <w:rPr>
                <w:rFonts w:ascii="Georgia" w:hAnsi="Georgia"/>
                <w:b w:val="0"/>
                <w:i w:val="0"/>
                <w:color w:val="142233"/>
                <w:sz w:val="19"/>
              </w:rPr>
              <w:t xml:space="preserve"> Finance-sector degradation during an energy, cloud, or telecom disruption extends restoration timelines by days, not hours.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Patient Safety / Supply Chain</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Ransomware pressure and current-week reporting reinforce that health systems face continuity risk, not only privacy risk. Texas providers dependent on cloud-hosted EHR platforms or telecom-dependent care coordination carry compounding exposure when grid and telecom degrade together. </w:t>
            </w:r>
            <w:r>
              <w:rPr>
                <w:rFonts w:ascii="Georgia" w:hAnsi="Georgia"/>
                <w:b/>
                <w:i w:val="0"/>
                <w:color w:val="142233"/>
                <w:sz w:val="19"/>
              </w:rPr>
              <w:t>DIB:</w:t>
            </w:r>
            <w:r>
              <w:rPr>
                <w:rFonts w:ascii="Georgia" w:hAnsi="Georgia"/>
                <w:b w:val="0"/>
                <w:i w:val="0"/>
                <w:color w:val="142233"/>
                <w:sz w:val="19"/>
              </w:rPr>
              <w:t xml:space="preserve"> DPRK IT-worker activity remains a carried-forward supply-chain warning from ATB-2026-9. The route into sensitive environments may be a supplier, MSP, staffing process, or remote-hire pipeline. </w:t>
            </w:r>
            <w:r>
              <w:rPr>
                <w:rFonts w:ascii="Georgia" w:hAnsi="Georgia"/>
                <w:b/>
                <w:i w:val="0"/>
                <w:color w:val="142233"/>
                <w:sz w:val="19"/>
              </w:rPr>
              <w:t>Cascade risk:</w:t>
            </w:r>
            <w:r>
              <w:rPr>
                <w:rFonts w:ascii="Georgia" w:hAnsi="Georgia"/>
                <w:b w:val="0"/>
                <w:i w:val="0"/>
                <w:color w:val="142233"/>
                <w:sz w:val="19"/>
              </w:rPr>
              <w:t xml:space="preserve"> Healthcare degradation creates immediate safety pressure; DIB degradation creates national security and contract-performance pressure.</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2 / I&amp;W 1  </w:t>
      </w:r>
      <w:r>
        <w:rPr>
          <w:b/>
          <w:color w:val="142233"/>
          <w:sz w:val="20"/>
        </w:rPr>
        <w:t>ERCOT grid-load stress events near AI compute corridors</w:t>
      </w:r>
      <w:r>
        <w:rPr>
          <w:i/>
          <w:color w:val="7A5A1E"/>
          <w:sz w:val="18"/>
        </w:rPr>
        <w:t xml:space="preserve">   [↑ Rising]</w:t>
      </w:r>
    </w:p>
    <w:p>
      <w:pPr>
        <w:spacing w:after="40"/>
        <w:ind w:left="283"/>
      </w:pPr>
      <w:r>
        <w:rPr>
          <w:color w:val="142233"/>
          <w:sz w:val="19"/>
        </w:rPr>
        <w:t>→ Watch for unplanned load-shedding, transmission anomalies, curtailment events, or emergency reliability messaging in data-center-concentrated corridors as summer demand ramps.</w:t>
      </w:r>
    </w:p>
    <w:p>
      <w:pPr>
        <w:spacing w:after="40"/>
        <w:ind w:left="283"/>
      </w:pPr>
      <w:r>
        <w:rPr>
          <w:color w:val="142233"/>
          <w:sz w:val="19"/>
        </w:rPr>
        <w:t>→ Would confirm dependency compression is translating into operational vulnerability windows that adversaries can time and exploit.</w:t>
      </w:r>
    </w:p>
    <w:p>
      <w:pPr>
        <w:spacing w:after="40"/>
        <w:ind w:left="283"/>
      </w:pPr>
      <w:r>
        <w:rPr>
          <w:color w:val="142233"/>
          <w:sz w:val="19"/>
        </w:rPr>
        <w:t>→ Tied to: PIR 2, cross-sector cascading cyber and operational risk.</w:t>
      </w:r>
    </w:p>
    <w:p>
      <w:pPr>
        <w:spacing w:before="160" w:after="40"/>
      </w:pPr>
      <w:r>
        <w:rPr>
          <w:b/>
          <w:color w:val="1F5C8C"/>
          <w:sz w:val="18"/>
        </w:rPr>
        <w:t xml:space="preserve">PIR 6 / I&amp;W 2  </w:t>
      </w:r>
      <w:r>
        <w:rPr>
          <w:b/>
          <w:color w:val="142233"/>
          <w:sz w:val="20"/>
        </w:rPr>
        <w:t>CI Fortify resilience assessment requests reaching Texas operators</w:t>
      </w:r>
      <w:r>
        <w:rPr>
          <w:i/>
          <w:color w:val="7A5A1E"/>
          <w:sz w:val="18"/>
        </w:rPr>
        <w:t xml:space="preserve">   [↑ Rising]</w:t>
      </w:r>
    </w:p>
    <w:p>
      <w:pPr>
        <w:spacing w:after="40"/>
        <w:ind w:left="283"/>
      </w:pPr>
      <w:r>
        <w:rPr>
          <w:color w:val="142233"/>
          <w:sz w:val="19"/>
        </w:rPr>
        <w:t>→ Watch for CISA regional advisors initiating targeted assessments with Texas energy, healthcare, water, telecom, or defense-critical operators.</w:t>
      </w:r>
    </w:p>
    <w:p>
      <w:pPr>
        <w:spacing w:after="40"/>
        <w:ind w:left="283"/>
      </w:pPr>
      <w:r>
        <w:rPr>
          <w:color w:val="142233"/>
          <w:sz w:val="19"/>
        </w:rPr>
        <w:t>→ Would confirm federal situational awareness is tracking specific Texas resilience gaps and that the voluntary preparation window is narrowing.</w:t>
      </w:r>
    </w:p>
    <w:p>
      <w:pPr>
        <w:spacing w:after="40"/>
        <w:ind w:left="283"/>
      </w:pPr>
      <w:r>
        <w:rPr>
          <w:color w:val="142233"/>
          <w:sz w:val="19"/>
        </w:rPr>
        <w:t>→ Tied to: PIR 6, executive decision-relevant warning.</w:t>
      </w:r>
    </w:p>
    <w:p>
      <w:pPr>
        <w:spacing w:before="160" w:after="40"/>
      </w:pPr>
      <w:r>
        <w:rPr>
          <w:b/>
          <w:color w:val="1F5C8C"/>
          <w:sz w:val="18"/>
        </w:rPr>
        <w:t xml:space="preserve">PIR 1 / I&amp;W 3  </w:t>
      </w:r>
      <w:r>
        <w:rPr>
          <w:b/>
          <w:color w:val="142233"/>
          <w:sz w:val="20"/>
        </w:rPr>
        <w:t>DPRK RevGen indictment naming a Texas-connected firm</w:t>
      </w:r>
      <w:r>
        <w:rPr>
          <w:i/>
          <w:color w:val="7A5A1E"/>
          <w:sz w:val="18"/>
        </w:rPr>
        <w:t xml:space="preserve">   [↑ Rising]</w:t>
      </w:r>
    </w:p>
    <w:p>
      <w:pPr>
        <w:spacing w:after="40"/>
        <w:ind w:left="283"/>
      </w:pPr>
      <w:r>
        <w:rPr>
          <w:color w:val="142233"/>
          <w:sz w:val="19"/>
        </w:rPr>
        <w:t>→ Watch for DOJ indictments or disclosures under DPRK RevGen naming Texas-headquartered or Texas-operating companies as victim organizations.</w:t>
      </w:r>
    </w:p>
    <w:p>
      <w:pPr>
        <w:spacing w:after="40"/>
        <w:ind w:left="283"/>
      </w:pPr>
      <w:r>
        <w:rPr>
          <w:color w:val="142233"/>
          <w:sz w:val="19"/>
        </w:rPr>
        <w:t>→ Would confirm that supply-chain hiring and remote-work controls are not abstract national risks; they are local Texas exposure.</w:t>
      </w:r>
    </w:p>
    <w:p>
      <w:pPr>
        <w:spacing w:after="40"/>
        <w:ind w:left="283"/>
      </w:pPr>
      <w:r>
        <w:rPr>
          <w:color w:val="142233"/>
          <w:sz w:val="19"/>
        </w:rPr>
        <w:t>→ Tied to: PIR 1, nation-state targeting of Texas critical infrastructure.</w:t>
      </w:r>
    </w:p>
    <w:p>
      <w:pPr>
        <w:spacing w:before="160" w:after="40"/>
      </w:pPr>
      <w:r>
        <w:rPr>
          <w:b/>
          <w:color w:val="1F5C8C"/>
          <w:sz w:val="18"/>
        </w:rPr>
        <w:t xml:space="preserve">PIR 5 / I&amp;W 4  </w:t>
      </w:r>
      <w:r>
        <w:rPr>
          <w:b/>
          <w:color w:val="142233"/>
          <w:sz w:val="20"/>
        </w:rPr>
        <w:t>Texas health system or DIB supplier ransomware disclosure</w:t>
      </w:r>
      <w:r>
        <w:rPr>
          <w:i/>
          <w:color w:val="7A5A1E"/>
          <w:sz w:val="18"/>
        </w:rPr>
        <w:t xml:space="preserve">   [→ Sustained]</w:t>
      </w:r>
    </w:p>
    <w:p>
      <w:pPr>
        <w:spacing w:after="40"/>
        <w:ind w:left="283"/>
      </w:pPr>
      <w:r>
        <w:rPr>
          <w:color w:val="142233"/>
          <w:sz w:val="19"/>
        </w:rPr>
        <w:t>→ Watch for HHS OCR breach notifications, SEC 8-K filings, or local operational disruption reporting naming Texas-region health systems or defense subcontractors.</w:t>
      </w:r>
    </w:p>
    <w:p>
      <w:pPr>
        <w:spacing w:after="40"/>
        <w:ind w:left="283"/>
      </w:pPr>
      <w:r>
        <w:rPr>
          <w:color w:val="142233"/>
          <w:sz w:val="19"/>
        </w:rPr>
        <w:t>→ Would confirm threat actors are monetizing access locally rather than only holding access for future leverage.</w:t>
      </w:r>
    </w:p>
    <w:p>
      <w:pPr>
        <w:spacing w:after="40"/>
        <w:ind w:left="283"/>
      </w:pPr>
      <w:r>
        <w:rPr>
          <w:color w:val="142233"/>
          <w:sz w:val="19"/>
        </w:rPr>
        <w:t>→ Tied to: PIR 5, strategic vulnerability exposure across critical infrastructure.</w:t>
      </w:r>
    </w:p>
    <w:p>
      <w:pPr>
        <w:spacing w:before="160" w:after="40"/>
      </w:pPr>
      <w:r>
        <w:rPr>
          <w:b/>
          <w:color w:val="1F5C8C"/>
          <w:sz w:val="18"/>
        </w:rPr>
        <w:t xml:space="preserve">PIR 3 / I&amp;W 5  </w:t>
      </w:r>
      <w:r>
        <w:rPr>
          <w:b/>
          <w:color w:val="142233"/>
          <w:sz w:val="20"/>
        </w:rPr>
        <w:t>PRC or Iran geopolitical escalation signals</w:t>
      </w:r>
      <w:r>
        <w:rPr>
          <w:i/>
          <w:color w:val="7A5A1E"/>
          <w:sz w:val="18"/>
        </w:rPr>
        <w:t xml:space="preserve">   [→ Sustained]</w:t>
      </w:r>
    </w:p>
    <w:p>
      <w:pPr>
        <w:spacing w:after="40"/>
        <w:ind w:left="283"/>
      </w:pPr>
      <w:r>
        <w:rPr>
          <w:color w:val="142233"/>
          <w:sz w:val="19"/>
        </w:rPr>
        <w:t>→ Watch for material escalation in Taiwan Strait military posturing, expanded Iranian OT targeting disclosures, or federal advisories expanding CI Fortify framing to name Texas sectors.</w:t>
      </w:r>
    </w:p>
    <w:p>
      <w:pPr>
        <w:spacing w:after="40"/>
        <w:ind w:left="283"/>
      </w:pPr>
      <w:r>
        <w:rPr>
          <w:color w:val="142233"/>
          <w:sz w:val="19"/>
        </w:rPr>
        <w:t>→ Would shift Liberty CTI’s posture from competition monitoring toward crisis preparation for affected sectors.</w:t>
      </w:r>
    </w:p>
    <w:p>
      <w:pPr>
        <w:spacing w:after="40"/>
        <w:ind w:left="283"/>
      </w:pPr>
      <w:r>
        <w:rPr>
          <w:color w:val="142233"/>
          <w:sz w:val="19"/>
        </w:rPr>
        <w:t>→ Tied to: PIR 3 and PIR 7, escalation indicators and geopolitical-cyber acceleration.</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your organization’s continuity and recovery assumptions remain valid under simultaneous infrastructure degradation — power, telecom, cloud, identity, finance, and vendor dependencies failing in combination rather than in isolation.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Board risk committee / CEO / COO / CISO / General Counsel. CFO ownership is required where payment recovery, insurance, liquidity, or vendor payment timing affects restoration.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Extended downtime, patient or operational safety consequences, CIRCIA regulatory exposure, insurance disputes, litigation posture weakness, contract-performance risk, public scrutiny, and loss of executive credibility if leadership cannot show it considered the dependency risk before the event.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Ask which external dependency fails first. Approve a 90-minute dependency mapping session. Assign CIRCIA ownership. Rehearse one combined cyber/physical continuity scenario before peak summer demand.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Board minutes, risk committee notes, counsel-led documentation, dependency maps, accepted-risk decisions, continuity planning assumptions, CIRCIA ownership assignment, and tabletop findings. If regulatory inquiry, insurance claim, or litigation follows an incident, the absence of this record is itself a governance finding.</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ATB-2026-9 assessed that DPRK IT-worker activity was shifting from isolated fraud toward a recurring supply-chain governance risk.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Unchanged. No new current-week Texas-named case was identified, but enforcement cadence remains elevated and the supply-chain governance issue remains active.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week’s dominant movement was not DPRK. It was the convergence of ERCOT demand pressure, CISA ICS exposure, healthcare ransomware reporting, and CI Fortify governance interpretation.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Confidence in Texas cross-sector cascade exposure increased from Moderate to High because multiple independent reporting streams now point to the same dependency problem.</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Texas-named victim, sector-specific CI Fortify follow-on guidance, major ERCOT summer reliability warning, confirmed exploitation of one of the 14 May ICS vulnerabilities, or geopolitical escalation involving PRC or Iran would raise escalation posture.</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ATB-2026-10 — COVERAGE WEEK 10–16 MAY 2026 AND CONTINUING BASELINE</w:t>
      </w:r>
    </w:p>
    <w:p>
      <w:pPr>
        <w:spacing w:before="120" w:after="20"/>
      </w:pPr>
      <w:r>
        <w:rPr>
          <w:rFonts w:ascii="Calibri" w:hAnsi="Calibri"/>
          <w:b/>
          <w:color w:val="7A5A1E"/>
          <w:sz w:val="15"/>
        </w:rPr>
        <w:t>GOVERNMENT / REGULATORY</w:t>
        <w:br/>
      </w:r>
      <w:r>
        <w:rPr>
          <w:b/>
          <w:color w:val="142233"/>
          <w:sz w:val="20"/>
        </w:rPr>
        <w:t>CISA — CI Fortify Initiative</w:t>
      </w:r>
    </w:p>
    <w:p>
      <w:pPr>
        <w:spacing w:after="20"/>
      </w:pPr>
      <w:hyperlink r:id="rId11">
        <w:r>
          <w:rPr>
            <w:color w:val="1F5C8C"/>
            <w:u w:val="single"/>
            <w:sz w:val="17"/>
            <w:rFonts w:ascii="Consolas"/>
          </w:rPr>
          <w:t>cisa.gov/news-events/news/cisa-unveils-new-initiative-fortify-americas-critical-infrastructure</w:t>
        </w:r>
      </w:hyperlink>
    </w:p>
    <w:p>
      <w:pPr>
        <w:spacing w:after="40"/>
      </w:pPr>
      <w:r>
        <w:rPr>
          <w:i/>
          <w:color w:val="5C5C5C"/>
          <w:sz w:val="17"/>
        </w:rPr>
        <w:t>Published 5 May 2026. Carried forward as continuing baseline, not counted as current-week reporting. Used for Executive Warning, Dominant Judgment, and Governance Implication Block.</w:t>
      </w:r>
    </w:p>
    <w:p>
      <w:pPr>
        <w:spacing w:before="120" w:after="20"/>
      </w:pPr>
      <w:r>
        <w:rPr>
          <w:rFonts w:ascii="Calibri" w:hAnsi="Calibri"/>
          <w:b/>
          <w:color w:val="7A5A1E"/>
          <w:sz w:val="15"/>
        </w:rPr>
        <w:t>GOVERNMENT / REGULATORY</w:t>
        <w:br/>
      </w:r>
      <w:r>
        <w:rPr>
          <w:b/>
          <w:color w:val="142233"/>
          <w:sz w:val="20"/>
        </w:rPr>
        <w:t>CISA/NSA/FBI — Advisory AA24-038A: PRC State-Sponsored Actors &amp; U.S. Critical Infrastructure</w:t>
      </w:r>
    </w:p>
    <w:p>
      <w:pPr>
        <w:spacing w:after="20"/>
      </w:pPr>
      <w:hyperlink r:id="rId12">
        <w:r>
          <w:rPr>
            <w:color w:val="1F5C8C"/>
            <w:u w:val="single"/>
            <w:sz w:val="17"/>
            <w:rFonts w:ascii="Consolas"/>
          </w:rPr>
          <w:t>cisa.gov/news-events/cybersecurity-advisories/aa24-038a</w:t>
        </w:r>
      </w:hyperlink>
    </w:p>
    <w:p>
      <w:pPr>
        <w:spacing w:after="40"/>
      </w:pPr>
      <w:r>
        <w:rPr>
          <w:i/>
          <w:color w:val="5C5C5C"/>
          <w:sz w:val="17"/>
        </w:rPr>
        <w:t>Basis for Volt Typhoon pre-positioning assessment. Reaffirmed in ODNI 2026 Annual Threat Assessment.</w:t>
      </w:r>
    </w:p>
    <w:p>
      <w:pPr>
        <w:spacing w:before="120" w:after="20"/>
      </w:pPr>
      <w:r>
        <w:rPr>
          <w:rFonts w:ascii="Calibri" w:hAnsi="Calibri"/>
          <w:b/>
          <w:color w:val="7A5A1E"/>
          <w:sz w:val="15"/>
        </w:rPr>
        <w:t>GOVERNMENT / REGULATORY</w:t>
        <w:br/>
      </w:r>
      <w:r>
        <w:rPr>
          <w:b/>
          <w:color w:val="142233"/>
          <w:sz w:val="20"/>
        </w:rPr>
        <w:t>EPA/FBI/CISA/NSA — Joint Advisory: Iranian-Affiliated Cyber Attacks on U.S. Critical Infrastructure</w:t>
      </w:r>
    </w:p>
    <w:p>
      <w:pPr>
        <w:spacing w:after="20"/>
      </w:pPr>
      <w:hyperlink r:id="rId13">
        <w:r>
          <w:rPr>
            <w:color w:val="1F5C8C"/>
            <w:u w:val="single"/>
            <w:sz w:val="17"/>
            <w:rFonts w:ascii="Consolas"/>
          </w:rPr>
          <w:t>epa.gov/newsreleases/epa-fbi-cisa-nsa-issue-joint-cybersecurity-advisory-water-system-regarding-iranian</w:t>
        </w:r>
      </w:hyperlink>
    </w:p>
    <w:p>
      <w:pPr>
        <w:spacing w:after="40"/>
      </w:pPr>
      <w:r>
        <w:rPr>
          <w:i/>
          <w:color w:val="5C5C5C"/>
          <w:sz w:val="17"/>
        </w:rPr>
        <w:t>Published 7 April 2026. Basis for Iranian OT targeting assessment.</w:t>
      </w:r>
    </w:p>
    <w:p>
      <w:pPr>
        <w:spacing w:before="120" w:after="20"/>
      </w:pPr>
      <w:r>
        <w:rPr>
          <w:rFonts w:ascii="Calibri" w:hAnsi="Calibri"/>
          <w:b/>
          <w:color w:val="7A5A1E"/>
          <w:sz w:val="15"/>
        </w:rPr>
        <w:t>GOVERNMENT / REGULATORY</w:t>
        <w:br/>
      </w:r>
      <w:r>
        <w:rPr>
          <w:b/>
          <w:color w:val="142233"/>
          <w:sz w:val="20"/>
        </w:rPr>
        <w:t>CISA — ICS Advisories ICSA-26-134-01 through ICSA-26-134-16</w:t>
      </w:r>
    </w:p>
    <w:p>
      <w:pPr>
        <w:spacing w:after="20"/>
      </w:pPr>
      <w:hyperlink r:id="rId14">
        <w:r>
          <w:rPr>
            <w:color w:val="1F5C8C"/>
            <w:u w:val="single"/>
            <w:sz w:val="17"/>
            <w:rFonts w:ascii="Consolas"/>
          </w:rPr>
          <w:t>cisa.gov/news-events/ics-advisories</w:t>
        </w:r>
      </w:hyperlink>
    </w:p>
    <w:p>
      <w:pPr>
        <w:spacing w:after="40"/>
      </w:pPr>
      <w:r>
        <w:rPr>
          <w:i/>
          <w:color w:val="5C5C5C"/>
          <w:sz w:val="17"/>
        </w:rPr>
        <w:t>Published 14 May 2026. Basis for energy and healthcare OT attack surface assessment.</w:t>
      </w:r>
    </w:p>
    <w:p>
      <w:pPr>
        <w:spacing w:before="120" w:after="20"/>
      </w:pPr>
      <w:r>
        <w:rPr>
          <w:rFonts w:ascii="Calibri" w:hAnsi="Calibri"/>
          <w:b/>
          <w:color w:val="7A5A1E"/>
          <w:sz w:val="15"/>
        </w:rPr>
        <w:t>GRID / REGULATORY</w:t>
        <w:br/>
      </w:r>
      <w:r>
        <w:rPr>
          <w:b/>
          <w:color w:val="142233"/>
          <w:sz w:val="20"/>
        </w:rPr>
        <w:t>ERCOT — April 2026 Long-Term Load Forecast (PUCT Filing)</w:t>
      </w:r>
    </w:p>
    <w:p>
      <w:pPr>
        <w:spacing w:after="20"/>
      </w:pPr>
      <w:hyperlink r:id="rId15">
        <w:r>
          <w:rPr>
            <w:color w:val="1F5C8C"/>
            <w:u w:val="single"/>
            <w:sz w:val="17"/>
            <w:rFonts w:ascii="Consolas"/>
          </w:rPr>
          <w:t>Data Center Knowledge coverage, 14 May 2026 (ERCOT/PUCT primary filing)</w:t>
        </w:r>
      </w:hyperlink>
    </w:p>
    <w:p>
      <w:pPr>
        <w:spacing w:after="40"/>
      </w:pPr>
      <w:r>
        <w:rPr>
          <w:i/>
          <w:color w:val="5C5C5C"/>
          <w:sz w:val="17"/>
        </w:rPr>
        <w:t>Basis for ERCOT demand concentration and grid vulnerability assessment.</w:t>
      </w:r>
    </w:p>
    <w:p>
      <w:pPr>
        <w:spacing w:before="120" w:after="20"/>
      </w:pPr>
      <w:r>
        <w:rPr>
          <w:rFonts w:ascii="Calibri" w:hAnsi="Calibri"/>
          <w:b/>
          <w:color w:val="7A5A1E"/>
          <w:sz w:val="15"/>
        </w:rPr>
        <w:t>LEGAL / GOVERNANCE</w:t>
        <w:br/>
      </w:r>
      <w:r>
        <w:rPr>
          <w:b/>
          <w:color w:val="142233"/>
          <w:sz w:val="20"/>
        </w:rPr>
        <w:t>Crowell &amp; Moring — CI Fortify Client Alert</w:t>
      </w:r>
    </w:p>
    <w:p>
      <w:pPr>
        <w:spacing w:after="20"/>
      </w:pPr>
      <w:hyperlink r:id="rId16">
        <w:r>
          <w:rPr>
            <w:color w:val="1F5C8C"/>
            <w:u w:val="single"/>
            <w:sz w:val="17"/>
            <w:rFonts w:ascii="Consolas"/>
          </w:rPr>
          <w:t>crowell.com/en/insights/client-alerts/cisas-ci-fortify-initiative-signals-new-expectations</w:t>
        </w:r>
      </w:hyperlink>
    </w:p>
    <w:p>
      <w:pPr>
        <w:spacing w:after="40"/>
      </w:pPr>
      <w:r>
        <w:rPr>
          <w:i/>
          <w:color w:val="5C5C5C"/>
          <w:sz w:val="17"/>
        </w:rPr>
        <w:t>14 May 2026. Cited for legal and governance framing of post-incident liability only.</w:t>
      </w:r>
    </w:p>
    <w:p>
      <w:pPr>
        <w:spacing w:before="120" w:after="20"/>
      </w:pPr>
      <w:r>
        <w:rPr>
          <w:rFonts w:ascii="Calibri" w:hAnsi="Calibri"/>
          <w:b/>
          <w:color w:val="7A5A1E"/>
          <w:sz w:val="15"/>
        </w:rPr>
        <w:t>INDUSTRY / SURVEY</w:t>
        <w:br/>
      </w:r>
      <w:r>
        <w:rPr>
          <w:b/>
          <w:color w:val="142233"/>
          <w:sz w:val="20"/>
        </w:rPr>
        <w:t>Healthcare IT Today — Healthcare Execs Under Siege Due to Ransomware Attacks</w:t>
      </w:r>
    </w:p>
    <w:p>
      <w:pPr>
        <w:spacing w:after="20"/>
      </w:pPr>
      <w:hyperlink r:id="rId17">
        <w:r>
          <w:rPr>
            <w:color w:val="1F5C8C"/>
            <w:u w:val="single"/>
            <w:sz w:val="17"/>
            <w:rFonts w:ascii="Consolas"/>
          </w:rPr>
          <w:t>healthcareittoday.com/2026/05/15/healthcare-execs-under-siege-due-to-ransomware-attacks/</w:t>
        </w:r>
      </w:hyperlink>
    </w:p>
    <w:p>
      <w:pPr>
        <w:spacing w:after="40"/>
      </w:pPr>
      <w:r>
        <w:rPr>
          <w:i/>
          <w:color w:val="5C5C5C"/>
          <w:sz w:val="17"/>
        </w:rPr>
        <w:t>15 May 2026. Survey data from Censuswide 2025. Cited for ransomware prevalence data only.</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news-events/news/cisa-unveils-new-initiative-fortify-americas-critical-infrastructure" TargetMode="External"/><Relationship Id="rId12" Type="http://schemas.openxmlformats.org/officeDocument/2006/relationships/hyperlink" Target="https://www.cisa.gov/news-events/cybersecurity-advisories/aa24-038a" TargetMode="External"/><Relationship Id="rId13" Type="http://schemas.openxmlformats.org/officeDocument/2006/relationships/hyperlink" Target="https://www.epa.gov/newsreleases/epa-fbi-cisa-nsa-issue-joint-cybersecurity-advisory-water-system-regarding-iranian" TargetMode="External"/><Relationship Id="rId14" Type="http://schemas.openxmlformats.org/officeDocument/2006/relationships/hyperlink" Target="https://www.cisa.gov/news-events/ics-advisories" TargetMode="External"/><Relationship Id="rId15" Type="http://schemas.openxmlformats.org/officeDocument/2006/relationships/hyperlink" Target="https://www.datacenterknowledge.com/energy-power-supply/gridlock-or-growth-ercot-warns-texas-ai-power-boom-may-not-materialize" TargetMode="External"/><Relationship Id="rId16" Type="http://schemas.openxmlformats.org/officeDocument/2006/relationships/hyperlink" Target="https://www.crowell.com/en/insights/client-alerts/cisas-ci-fortify-initiative-signals-new-expectations" TargetMode="External"/><Relationship Id="rId17" Type="http://schemas.openxmlformats.org/officeDocument/2006/relationships/hyperlink" Target="https://www.healthcareittoday.com/2026/05/15/healthcare-execs-under-siege-due-to-ransomware-att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