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7A5A1E"/>
          <w:sz w:val="19"/>
        </w:rPr>
        <w:t>LIBERTY CYBER THREAT INTELLIGENCE</w:t>
      </w:r>
    </w:p>
    <w:p>
      <w:pPr>
        <w:spacing w:after="80"/>
        <w:jc w:val="center"/>
      </w:pPr>
      <w:r>
        <w:rPr>
          <w:rFonts w:ascii="Calibri" w:hAnsi="Calibri"/>
          <w:b/>
          <w:color w:val="142233"/>
          <w:sz w:val="48"/>
        </w:rPr>
        <w:t>THE ALAMO THREAT BRIEF™</w:t>
      </w:r>
    </w:p>
    <w:p>
      <w:pPr>
        <w:spacing w:after="200"/>
        <w:jc w:val="center"/>
      </w:pPr>
      <w:r>
        <w:rPr>
          <w:rFonts w:ascii="Consolas" w:hAnsi="Consolas"/>
          <w:color w:val="5C5C5C"/>
          <w:sz w:val="16"/>
        </w:rPr>
        <w:t>OPEN SOURCE INTELLIGENCE</w:t>
      </w:r>
    </w:p>
    <w:tbl>
      <w:tblPr>
        <w:tblW w:type="auto" w:w="0"/>
        <w:jc w:val="center"/>
        <w:tblLook w:firstColumn="1" w:firstRow="1" w:lastColumn="0" w:lastRow="0" w:noHBand="0" w:noVBand="1" w:val="04A0"/>
      </w:tblPr>
      <w:tblGrid>
        <w:gridCol w:w="1928"/>
        <w:gridCol w:w="7200"/>
      </w:tblGrid>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ISSUE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ATB-2026-13</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COVERAGE PERIOD</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31 MAY–6 JUN 2026</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PUBLICATION DATE</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2026-06-07</w:t>
            </w:r>
          </w:p>
        </w:tc>
      </w:tr>
      <w:tr>
        <w:tc>
          <w:tcPr>
            <w:tcW w:type="dxa" w:w="4873"/>
            <w:tcBorders>
              <w:top w:val="single" w:sz="4" w:color="E0DACB"/>
              <w:left w:val="single" w:sz="4" w:color="E0DACB"/>
              <w:bottom w:val="single" w:sz="4" w:color="E0DACB"/>
              <w:right w:val="single" w:sz="4" w:color="E0DACB"/>
            </w:tcBorders>
            <w:shd w:val="clear" w:fill="F5F1E8"/>
          </w:tcPr>
          <w:p>
            <w:r>
              <w:rPr>
                <w:rFonts w:ascii="Calibri" w:hAnsi="Calibri"/>
                <w:b/>
                <w:color w:val="7A5A1E"/>
                <w:sz w:val="16"/>
              </w:rPr>
              <w:t>DOMINANT JUDGMENT</w:t>
            </w:r>
          </w:p>
        </w:tc>
        <w:tc>
          <w:tcPr>
            <w:tcW w:type="dxa" w:w="4873"/>
            <w:tcBorders>
              <w:top w:val="single" w:sz="4" w:color="E0DACB"/>
              <w:left w:val="single" w:sz="4" w:color="E0DACB"/>
              <w:bottom w:val="single" w:sz="4" w:color="E0DACB"/>
              <w:right w:val="single" w:sz="4" w:color="E0DACB"/>
            </w:tcBorders>
          </w:tcPr>
          <w:p>
            <w:r>
              <w:rPr>
                <w:rFonts w:ascii="Calibri" w:hAnsi="Calibri"/>
                <w:color w:val="142233"/>
                <w:sz w:val="19"/>
              </w:rPr>
              <w:t>THE GRID IS THE ATTACK SURFACE</w:t>
            </w:r>
          </w:p>
        </w:tc>
      </w:tr>
    </w:tbl>
    <w:p>
      <w:pPr>
        <w:spacing w:after="80"/>
      </w:pPr>
    </w:p>
    <w:p>
      <w:pPr>
        <w:jc w:val="center"/>
      </w:pPr>
      <w:r>
        <w:rPr>
          <w:i/>
          <w:color w:val="5C5C5C"/>
          <w:sz w:val="20"/>
        </w:rPr>
        <w:t>Executive decision intelligence for Texas critical infrastructure.</w:t>
      </w:r>
    </w:p>
    <w:p>
      <w:pPr>
        <w:pBdr>
          <w:bottom w:val="single" w:sz="10" w:space="4" w:color="A67C2E"/>
        </w:pBdr>
        <w:spacing w:after="200"/>
      </w:pPr>
    </w:p>
    <w:p>
      <w:pPr>
        <w:spacing w:before="160" w:after="40"/>
      </w:pPr>
      <w:r>
        <w:rPr>
          <w:b/>
          <w:color w:val="7A5A1E"/>
          <w:sz w:val="20"/>
        </w:rPr>
        <w:t>Isolate ATG Systems Now</w:t>
      </w:r>
    </w:p>
    <w:p>
      <w:pPr>
        <w:spacing w:after="40"/>
      </w:pPr>
      <w:r>
        <w:rPr>
          <w:rFonts w:ascii="Georgia" w:hAnsi="Georgia"/>
          <w:b w:val="0"/>
          <w:i w:val="0"/>
          <w:color w:val="142233"/>
          <w:sz w:val="19"/>
        </w:rPr>
        <w:t>Eight agencies confirmed active exploitation of internet-exposed automatic tank gauges in fuel, chemical, and transport infrastructure. Password changes are insufficient. Network isolation is the required action.</w:t>
      </w:r>
    </w:p>
    <w:p>
      <w:pPr>
        <w:spacing w:before="160" w:after="40"/>
      </w:pPr>
      <w:r>
        <w:rPr>
          <w:b/>
          <w:color w:val="7A5A1E"/>
          <w:sz w:val="20"/>
        </w:rPr>
        <w:t>Register for CIRCIA Town Halls</w:t>
      </w:r>
    </w:p>
    <w:p>
      <w:pPr>
        <w:spacing w:after="40"/>
      </w:pPr>
      <w:r>
        <w:rPr>
          <w:rFonts w:ascii="Georgia" w:hAnsi="Georgia"/>
          <w:b w:val="0"/>
          <w:i w:val="0"/>
          <w:color w:val="142233"/>
          <w:sz w:val="19"/>
        </w:rPr>
        <w:t>Sector-specific input sessions run June 15–18. Energy, finance, healthcare, and DIB sessions each cover different scope thresholds. This is the last structured window before the final rule sets compliance obligations.</w:t>
      </w:r>
    </w:p>
    <w:p>
      <w:pPr>
        <w:spacing w:before="160" w:after="40"/>
      </w:pPr>
      <w:r>
        <w:rPr>
          <w:b/>
          <w:color w:val="7A5A1E"/>
          <w:sz w:val="20"/>
        </w:rPr>
        <w:t>Brief the Board on Grid Risk</w:t>
      </w:r>
    </w:p>
    <w:p>
      <w:pPr>
        <w:spacing w:after="40"/>
      </w:pPr>
      <w:r>
        <w:rPr>
          <w:rFonts w:ascii="Georgia" w:hAnsi="Georgia"/>
          <w:b w:val="0"/>
          <w:i w:val="0"/>
          <w:color w:val="142233"/>
          <w:sz w:val="19"/>
        </w:rPr>
        <w:t>ERCOT confirmed peak demand could exceed 92 GW this summer—a new record. Four large load groups already failed voltage tests. Continuity plans that assume grid stability are no longer defensible.</w:t>
      </w:r>
    </w:p>
    <w:p>
      <w:pPr>
        <w:spacing w:after="160"/>
      </w:pPr>
      <w:r>
        <w:rPr>
          <w:rFonts w:ascii="Georgia" w:hAnsi="Georgia"/>
          <w:b w:val="0"/>
          <w:i w:val="0"/>
          <w:color w:val="142233"/>
          <w:sz w:val="21"/>
        </w:rPr>
        <w:t>Section I</w:t>
      </w:r>
    </w:p>
    <w:p>
      <w:pPr>
        <w:spacing w:before="320" w:after="120"/>
        <w:pBdr>
          <w:bottom w:val="single" w:sz="6" w:space="4" w:color="A67C2E"/>
        </w:pBdr>
      </w:pPr>
      <w:r>
        <w:rPr>
          <w:rFonts w:ascii="Calibri" w:hAnsi="Calibri"/>
          <w:b/>
          <w:color w:val="7A5A1E"/>
          <w:sz w:val="27"/>
        </w:rPr>
        <w:t>Key Judgments</w:t>
      </w:r>
    </w:p>
    <w:p>
      <w:pPr>
        <w:spacing w:after="40" w:before="200"/>
      </w:pPr>
      <w:r>
        <w:rPr>
          <w:rFonts w:ascii="Calibri" w:hAnsi="Calibri"/>
          <w:b/>
          <w:color w:val="1F5C8C"/>
          <w:sz w:val="19"/>
        </w:rPr>
        <w:t xml:space="preserve">KJ-1  </w:t>
      </w:r>
      <w:r>
        <w:rPr>
          <w:rFonts w:ascii="Georgia" w:hAnsi="Georgia"/>
          <w:b w:val="0"/>
          <w:i w:val="0"/>
          <w:color w:val="142233"/>
          <w:sz w:val="21"/>
        </w:rPr>
        <w:br/>
        <w:t xml:space="preserve"> Texas energy and logistics infrastructure faces elevated operational risk this summer from the intersection of confirmed adversary OT targeting, ERCOT grid instability pressure, and the dependency gap between how fast AI and crypto load is connecting and how its grid behavior is modeled. </w:t>
      </w:r>
      <w:r>
        <w:rPr>
          <w:rFonts w:ascii="Consolas" w:hAnsi="Consolas"/>
          <w:b w:val="0"/>
          <w:i w:val="0"/>
          <w:color w:val="7A5A1E"/>
          <w:sz w:val="16"/>
        </w:rPr>
        <w:t>HIGH CONFIDENCE</w:t>
      </w:r>
      <w:r>
        <w:br/>
      </w:r>
      <w:r>
        <w:br/>
      </w:r>
      <w:r>
        <w:br/>
      </w:r>
    </w:p>
    <w:p>
      <w:pPr>
        <w:spacing w:after="40"/>
        <w:ind w:left="283"/>
      </w:pPr>
      <w:r>
        <w:rPr>
          <w:i/>
          <w:color w:val="5C5C5C"/>
          <w:sz w:val="18"/>
        </w:rPr>
        <w:t>Source basis / uncertainty: Basis: CISA/FBI/NSA/DOE/EPA/TSA/DOT/USDA joint ATG advisory (June 2); ERCOT May 21 internal report; ERCOT Board statements June 3 (Jeff Billo on record). Primary uncertainty: no confirmed Texas ATG compromise identified this week; this is an analytic inference from confirmed national-level exploitation and local infrastructure density.</w:t>
      </w:r>
    </w:p>
    <w:p>
      <w:pPr>
        <w:spacing w:after="120"/>
        <w:ind w:left="283"/>
      </w:pPr>
      <w:r>
        <w:rPr>
          <w:color w:val="7A5A1E"/>
          <w:sz w:val="19"/>
        </w:rPr>
        <w:t>Decision implication: Decision Implication: Continuity plans built on grid stability and uninterrupted fuel supply must be stress-tested before July 4.</w:t>
      </w:r>
    </w:p>
    <w:p>
      <w:pPr>
        <w:spacing w:after="40" w:before="200"/>
      </w:pPr>
      <w:r>
        <w:rPr>
          <w:rFonts w:ascii="Calibri" w:hAnsi="Calibri"/>
          <w:b/>
          <w:color w:val="1F5C8C"/>
          <w:sz w:val="19"/>
        </w:rPr>
        <w:t xml:space="preserve">KJ-2  </w:t>
      </w:r>
      <w:r>
        <w:rPr>
          <w:rFonts w:ascii="Georgia" w:hAnsi="Georgia"/>
          <w:b w:val="0"/>
          <w:i w:val="0"/>
          <w:color w:val="142233"/>
          <w:sz w:val="21"/>
        </w:rPr>
        <w:br/>
        <w:t xml:space="preserve"> China and North Korea are running structurally identical human access operations through professional networking platforms simultaneously. Texas DIB contractors, AI developers, and cleared personnel face a multi-adversary insider threat environment that a single vetting policy must address. </w:t>
      </w:r>
      <w:r>
        <w:rPr>
          <w:rFonts w:ascii="Consolas" w:hAnsi="Consolas"/>
          <w:b w:val="0"/>
          <w:i w:val="0"/>
          <w:color w:val="7A5A1E"/>
          <w:sz w:val="16"/>
        </w:rPr>
        <w:t>HIGH CONFIDENCE</w:t>
      </w:r>
      <w:r>
        <w:br/>
      </w:r>
      <w:r>
        <w:br/>
      </w:r>
      <w:r>
        <w:br/>
      </w:r>
    </w:p>
    <w:p>
      <w:pPr>
        <w:spacing w:after="40"/>
        <w:ind w:left="283"/>
      </w:pPr>
      <w:r>
        <w:rPr>
          <w:i/>
          <w:color w:val="5C5C5C"/>
          <w:sz w:val="18"/>
        </w:rPr>
        <w:t>Source basis / uncertainty: Basis: Five Eyes “Safeguarding Our Secrets” bulletin (June 3, 2026); DOJ DPRK RevGen Initiative sentencing records (April 2026). No Texas-named victim identified this week.</w:t>
      </w:r>
    </w:p>
    <w:p>
      <w:pPr>
        <w:spacing w:after="120"/>
        <w:ind w:left="283"/>
      </w:pPr>
      <w:r>
        <w:rPr>
          <w:color w:val="7A5A1E"/>
          <w:sz w:val="19"/>
        </w:rPr>
        <w:t>Decision implication: Decision Implication: Pre-hire vetting and contractor access reviews should be elevated for any role touching classified programs, AI development, or crypto custody.</w:t>
      </w:r>
    </w:p>
    <w:p>
      <w:pPr>
        <w:spacing w:after="40" w:before="200"/>
      </w:pPr>
      <w:r>
        <w:rPr>
          <w:rFonts w:ascii="Calibri" w:hAnsi="Calibri"/>
          <w:b/>
          <w:color w:val="1F5C8C"/>
          <w:sz w:val="19"/>
        </w:rPr>
        <w:t xml:space="preserve">KJ-3  </w:t>
      </w:r>
      <w:r>
        <w:rPr>
          <w:rFonts w:ascii="Georgia" w:hAnsi="Georgia"/>
          <w:b w:val="0"/>
          <w:i w:val="0"/>
          <w:color w:val="142233"/>
          <w:sz w:val="21"/>
        </w:rPr>
        <w:br/>
        <w:t xml:space="preserve"> The April 8 U.S.-Iran ceasefire is fraying. Iran’s active OT disruption campaign against U.S. critical infrastructure (confirmed since March 2026) has not stood down. A ceasefire collapse would </w:t>
      </w:r>
      <w:r>
        <w:rPr>
          <w:rFonts w:ascii="Georgia" w:hAnsi="Georgia"/>
          <w:b/>
          <w:i w:val="0"/>
          <w:color w:val="142233"/>
          <w:sz w:val="21"/>
        </w:rPr>
        <w:t>almost certainly</w:t>
      </w:r>
      <w:r>
        <w:rPr>
          <w:rFonts w:ascii="Georgia" w:hAnsi="Georgia"/>
          <w:b w:val="0"/>
          <w:i w:val="0"/>
          <w:color w:val="142233"/>
          <w:sz w:val="21"/>
        </w:rPr>
        <w:t xml:space="preserve"> produce an immediate surge in Iranian cyber operations against energy, water, and fuel infrastructure. </w:t>
      </w:r>
      <w:r>
        <w:rPr>
          <w:rFonts w:ascii="Consolas" w:hAnsi="Consolas"/>
          <w:b w:val="0"/>
          <w:i w:val="0"/>
          <w:color w:val="7A5A1E"/>
          <w:sz w:val="16"/>
        </w:rPr>
        <w:t>HIGH CONFIDENCE</w:t>
      </w:r>
      <w:r>
        <w:rPr>
          <w:rFonts w:ascii="Georgia" w:hAnsi="Georgia"/>
          <w:b w:val="0"/>
          <w:i w:val="0"/>
          <w:color w:val="142233"/>
          <w:sz w:val="21"/>
        </w:rPr>
        <w:t xml:space="preserve"> on intent; </w:t>
      </w:r>
      <w:r>
        <w:rPr>
          <w:rFonts w:ascii="Consolas" w:hAnsi="Consolas"/>
          <w:b w:val="0"/>
          <w:i w:val="0"/>
          <w:color w:val="7A5A1E"/>
          <w:sz w:val="16"/>
        </w:rPr>
        <w:t>MODERATE CONFIDENCE</w:t>
      </w:r>
      <w:r>
        <w:rPr>
          <w:rFonts w:ascii="Georgia" w:hAnsi="Georgia"/>
          <w:b w:val="0"/>
          <w:i w:val="0"/>
          <w:color w:val="142233"/>
          <w:sz w:val="21"/>
        </w:rPr>
        <w:t xml:space="preserve"> on timeline.</w:t>
        <w:br/>
        <w:t xml:space="preserve"> </w:t>
      </w:r>
      <w:r>
        <w:br/>
      </w:r>
      <w:r>
        <w:br/>
      </w:r>
    </w:p>
    <w:p>
      <w:pPr>
        <w:spacing w:after="40"/>
        <w:ind w:left="283"/>
      </w:pPr>
      <w:r>
        <w:rPr>
          <w:i/>
          <w:color w:val="5C5C5C"/>
          <w:sz w:val="18"/>
        </w:rPr>
        <w:t>Source basis / uncertainty: Basis: CISA advisory AA26-097A (April 7, 2026); CENTCOM public statement June 5; CNN/Gulf News live coverage of Gulf of Oman incident. ATG campaign attribution to Iran not formally established—treated as plausible, not confirmed.</w:t>
      </w:r>
    </w:p>
    <w:p>
      <w:pPr>
        <w:spacing w:after="120"/>
        <w:ind w:left="283"/>
      </w:pPr>
      <w:r>
        <w:rPr>
          <w:color w:val="7A5A1E"/>
          <w:sz w:val="19"/>
        </w:rPr>
        <w:t>Decision implication: Decision Implication: Texas energy and fuel operators should treat the ceasefire as temporary and maintain elevated OT monitoring posture.</w:t>
      </w:r>
    </w:p>
    <w:p>
      <w:pPr>
        <w:spacing w:after="160"/>
      </w:pPr>
      <w:r>
        <w:rPr>
          <w:rFonts w:ascii="Georgia" w:hAnsi="Georgia"/>
          <w:b w:val="0"/>
          <w:i w:val="0"/>
          <w:color w:val="142233"/>
          <w:sz w:val="21"/>
        </w:rPr>
        <w:t>Section II</w:t>
      </w:r>
    </w:p>
    <w:p>
      <w:pPr>
        <w:spacing w:before="320" w:after="120"/>
        <w:pBdr>
          <w:bottom w:val="single" w:sz="6" w:space="4" w:color="A67C2E"/>
        </w:pBdr>
      </w:pPr>
      <w:r>
        <w:rPr>
          <w:rFonts w:ascii="Calibri" w:hAnsi="Calibri"/>
          <w:b/>
          <w:color w:val="7A5A1E"/>
          <w:sz w:val="27"/>
        </w:rPr>
        <w:t>Geopolitical Environment — The Four Actors</w:t>
      </w:r>
    </w:p>
    <w:p>
      <w:pPr>
        <w:spacing w:after="160"/>
      </w:pPr>
      <w:r>
        <w:rPr>
          <w:rFonts w:ascii="Georgia" w:hAnsi="Georgia"/>
          <w:b w:val="0"/>
          <w:i w:val="0"/>
          <w:color w:val="142233"/>
          <w:sz w:val="21"/>
        </w:rPr>
        <w:t>Developments from 31 May–6 June 2026 assessed for secondary and tertiary implications to Texas operators. Strategic signal only—no tactical detail.</w:t>
      </w:r>
    </w:p>
    <w:p>
      <w:pPr>
        <w:spacing w:before="200" w:after="120"/>
      </w:pPr>
      <w:r>
        <w:rPr>
          <w:rFonts w:ascii="Calibri" w:hAnsi="Calibri"/>
          <w:b/>
          <w:color w:val="142233"/>
          <w:sz w:val="23"/>
        </w:rPr>
        <w:t>China — Human Intelligence Pivot at Scale</w:t>
      </w:r>
    </w:p>
    <w:p>
      <w:pPr>
        <w:spacing w:after="160"/>
      </w:pPr>
      <w:r>
        <w:rPr>
          <w:rFonts w:ascii="Georgia" w:hAnsi="Georgia"/>
          <w:b w:val="0"/>
          <w:i w:val="0"/>
          <w:color w:val="142233"/>
          <w:sz w:val="21"/>
        </w:rPr>
        <w:t>On June 3, the Five Eyes alliance issued its first-ever joint public bulletin warning that Chinese military intelligence is systematically recruiting government, military, and defense personnel through LinkedIn, Indeed, and Upwork using fake HR firms and bogus analyst roles. The joint, public character of this advisory is the signal: Five Eyes agencies coordinate publicly only when a campaign has reached sufficient scale to require collective deterrence. For Texas, JBSA-area contractors, cleared veterans, and defense-adjacent researchers are the target profile. This campaign runs parallel to Volt Typhoon’s confirmed pre-positioning in U.S. critical infrastructure—one collects credentials and human intelligence; the other maintains persistent technical access. Both are part of the same collection architecture.</w:t>
      </w:r>
    </w:p>
    <w:p>
      <w:pPr>
        <w:spacing w:before="200" w:after="120"/>
      </w:pPr>
      <w:r>
        <w:rPr>
          <w:rFonts w:ascii="Calibri" w:hAnsi="Calibri"/>
          <w:b/>
          <w:color w:val="142233"/>
          <w:sz w:val="23"/>
        </w:rPr>
        <w:t>Russia — Stalemate Preserves Pre-Positioning Incentive</w:t>
      </w:r>
    </w:p>
    <w:p>
      <w:pPr>
        <w:spacing w:after="160"/>
      </w:pPr>
      <w:r>
        <w:rPr>
          <w:rFonts w:ascii="Georgia" w:hAnsi="Georgia"/>
          <w:b w:val="0"/>
          <w:i w:val="0"/>
          <w:color w:val="142233"/>
          <w:sz w:val="21"/>
        </w:rPr>
        <w:t>No new Russian advisory was issued this week. Diplomatic efforts toward a Ukraine ceasefire remain stalled; brief holiday truces (April, May) were violated by both sides. The structural conditions driving Russian cyber escalation are unchanged. GRU-linked Sandworm (APT44) continues a confirmed, multi-year campaign targeting Western energy sector edge devices and cloud infrastructure, documented through 2026 by Amazon threat intelligence. Texas LNG export terminals and pipeline operators remain inside the assessed target set. No current-week escalation indicator—but no peace framework either.</w:t>
      </w:r>
    </w:p>
    <w:p>
      <w:pPr>
        <w:spacing w:before="200" w:after="120"/>
      </w:pPr>
      <w:r>
        <w:rPr>
          <w:rFonts w:ascii="Calibri" w:hAnsi="Calibri"/>
          <w:b/>
          <w:color w:val="142233"/>
          <w:sz w:val="23"/>
        </w:rPr>
        <w:t>Iran — Ceasefire Fraying; OT Campaign Active</w:t>
      </w:r>
    </w:p>
    <w:p>
      <w:pPr>
        <w:spacing w:after="160"/>
      </w:pPr>
      <w:r>
        <w:rPr>
          <w:rFonts w:ascii="Georgia" w:hAnsi="Georgia"/>
          <w:b w:val="0"/>
          <w:i w:val="0"/>
          <w:color w:val="142233"/>
          <w:sz w:val="21"/>
        </w:rPr>
        <w:t>The April 8 ceasefire is visibly stressed. On June 5, Iran’s navy claimed it fired warning shots at U.S. destroyers in the Gulf of Oman; CENTCOM denied the vessels were fired upon and called any such action a “gross violation of the ceasefire.” Israeli operations against Hezbollah in Lebanon are intensifying; Hezbollah rejected the Lebanon ceasefire and is not party to the U.S.-Iran agreement. A permanent deal remains contingent on disputed frozen asset terms. Iranian-affiliated APT actors have been confirmed disrupting U.S. OT since March 2026 (CISA AA26-097A). FBI and CISA have specifically warned that Iranian-affiliated groups may act independently of ceasefire terms. Texas petroleum storage, pipeline OT, and fuel distribution are inside the assessed Iranian targeting envelope. A ceasefire collapse is the key escalation signal to watch.</w:t>
      </w:r>
    </w:p>
    <w:p>
      <w:pPr>
        <w:spacing w:before="200" w:after="120"/>
      </w:pPr>
      <w:r>
        <w:rPr>
          <w:rFonts w:ascii="Calibri" w:hAnsi="Calibri"/>
          <w:b/>
          <w:color w:val="142233"/>
          <w:sz w:val="23"/>
        </w:rPr>
        <w:t>North Korea — Financial Warfare and Platform Overlap</w:t>
      </w:r>
    </w:p>
    <w:p>
      <w:pPr>
        <w:spacing w:after="160"/>
      </w:pPr>
      <w:r>
        <w:rPr>
          <w:rFonts w:ascii="Georgia" w:hAnsi="Georgia"/>
          <w:b w:val="0"/>
          <w:i w:val="0"/>
          <w:color w:val="142233"/>
          <w:sz w:val="21"/>
        </w:rPr>
        <w:t>DPRK-attributed actors stole approximately $577 million in cryptocurrency through April 2026, accounting for 76% of global recorded crypto losses, driven by two high-value attacks (Drift Protocol and KelpDAO). DOJ’s April 2026 sentencing records from the RevGen Initiative confirmed DPRK IT workers successfully penetrated military contractors and AI companies. The structural overlap with China’s LinkedIn campaign is not coincidental—professional platform recruitment is now the dominant human access vector across multiple adversaries simultaneously. Texas financial institutions with crypto asset exposure, fintech operators, and any organization with DPRK-attractive remote work structures should treat this as an active targeting environment, not a theoretical risk.</w:t>
      </w:r>
    </w:p>
    <w:p>
      <w:pPr>
        <w:spacing w:after="160"/>
      </w:pPr>
      <w:r>
        <w:rPr>
          <w:rFonts w:ascii="Georgia" w:hAnsi="Georgia"/>
          <w:b w:val="0"/>
          <w:i w:val="0"/>
          <w:color w:val="142233"/>
          <w:sz w:val="21"/>
        </w:rPr>
        <w:t>Section III</w:t>
      </w:r>
    </w:p>
    <w:p>
      <w:pPr>
        <w:spacing w:before="320" w:after="120"/>
        <w:pBdr>
          <w:bottom w:val="single" w:sz="6" w:space="4" w:color="A67C2E"/>
        </w:pBdr>
      </w:pPr>
      <w:r>
        <w:rPr>
          <w:rFonts w:ascii="Calibri" w:hAnsi="Calibri"/>
          <w:b/>
          <w:color w:val="7A5A1E"/>
          <w:sz w:val="27"/>
        </w:rPr>
        <w:t>Cross-Sector Implications</w:t>
      </w:r>
    </w:p>
    <w:tbl>
      <w:tblPr>
        <w:tblW w:type="auto" w:w="0"/>
        <w:jc w:val="center"/>
        <w:tblLook w:firstColumn="1" w:firstRow="1" w:lastColumn="0" w:lastRow="0" w:noHBand="0" w:noVBand="1" w:val="04A0"/>
      </w:tblPr>
      <w:tblGrid>
        <w:gridCol w:w="1814"/>
        <w:gridCol w:w="7370"/>
      </w:tblGrid>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Energy OT &amp; Grid Stability</w:t>
            </w:r>
          </w:p>
        </w:tc>
        <w:tc>
          <w:tcPr>
            <w:tcW w:type="dxa" w:w="4873"/>
            <w:tcBorders>
              <w:top w:val="single" w:sz="4" w:color="CCCCCC"/>
              <w:left w:val="single" w:sz="4" w:color="CCCCCC"/>
              <w:bottom w:val="single" w:sz="4" w:color="CCCCCC"/>
              <w:right w:val="single" w:sz="4" w:color="CCCCCC"/>
            </w:tcBorders>
          </w:tcPr>
          <w:p>
            <w:r>
              <w:br/>
            </w:r>
            <w:r>
              <w:rPr>
                <w:rFonts w:ascii="Georgia" w:hAnsi="Georgia"/>
                <w:b w:val="0"/>
                <w:i w:val="0"/>
                <w:color w:val="142233"/>
                <w:sz w:val="19"/>
              </w:rPr>
              <w:t>The ATG advisory is a network architecture problem, not a patch advisory. Systems that should never have been internet-connected are reachable on port 10001. Shadowserver confirmed 909 U.S. exposures on June 5. A compromised ATG can mask fuel levels, generate false leak alerts, or create safety incidents. Isolation is the required action. Separately, ERCOT has documented 26 abrupt data center disconnection events since 2023. Four more failed voltage ride-through tests in May. If an adversary induces a grid disturbance during peak summer demand, these facilities become instability amplifiers. Grid stability cannot be assumed as a continuity planning input this summer.</w:t>
            </w:r>
            <w:r>
              <w:br/>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Finance CIRCIA &amp; Macro Risk</w:t>
            </w:r>
          </w:p>
        </w:tc>
        <w:tc>
          <w:tcPr>
            <w:tcW w:type="dxa" w:w="4873"/>
            <w:tcBorders>
              <w:top w:val="single" w:sz="4" w:color="CCCCCC"/>
              <w:left w:val="single" w:sz="4" w:color="CCCCCC"/>
              <w:bottom w:val="single" w:sz="4" w:color="CCCCCC"/>
              <w:right w:val="single" w:sz="4" w:color="CCCCCC"/>
            </w:tcBorders>
          </w:tcPr>
          <w:p>
            <w:r>
              <w:br/>
            </w:r>
            <w:r>
              <w:rPr>
                <w:rFonts w:ascii="Georgia" w:hAnsi="Georgia"/>
                <w:b w:val="0"/>
                <w:i w:val="0"/>
                <w:color w:val="142233"/>
                <w:sz w:val="19"/>
              </w:rPr>
              <w:t>The May jobs report (172,000 added; BLS, June 6) drove the 10-year Treasury above 4.54% and the Nasdaq down over 4%. Rising rates historically correlate with deferred security investment and reduced third-party vendor oversight—directly compounding CIRCIA compliance risk. The June 18 CIRCIA town hall covers financial services. This is the final structured opportunity to shape scope, burden, and reporting thresholds before the final rule sets obligations. Texas banks, credit unions, and insurance carriers that have not engaged should treat this week as the last actionable window. DPRK is an active adversary for any Texas institution with crypto asset exposure or digital custody services.</w:t>
            </w:r>
            <w:r>
              <w:br/>
            </w:r>
          </w:p>
        </w:tc>
      </w:tr>
      <w:tr>
        <w:tc>
          <w:tcPr>
            <w:tcW w:type="dxa" w:w="4873"/>
            <w:shd w:val="clear" w:fill="EAF0F6"/>
            <w:tcBorders>
              <w:top w:val="single" w:sz="4" w:color="CCCCCC"/>
              <w:left w:val="single" w:sz="4" w:color="CCCCCC"/>
              <w:bottom w:val="single" w:sz="4" w:color="CCCCCC"/>
              <w:right w:val="single" w:sz="4" w:color="CCCCCC"/>
            </w:tcBorders>
          </w:tcPr>
          <w:p>
            <w:r>
              <w:rPr>
                <w:rFonts w:ascii="Calibri" w:hAnsi="Calibri"/>
                <w:b/>
                <w:color w:val="1F5C8C"/>
                <w:sz w:val="18"/>
              </w:rPr>
              <w:t>Healthcare / DIB / AI CIRCIA, Insider Threat, Grid</w:t>
            </w:r>
          </w:p>
        </w:tc>
        <w:tc>
          <w:tcPr>
            <w:tcW w:type="dxa" w:w="4873"/>
            <w:tcBorders>
              <w:top w:val="single" w:sz="4" w:color="CCCCCC"/>
              <w:left w:val="single" w:sz="4" w:color="CCCCCC"/>
              <w:bottom w:val="single" w:sz="4" w:color="CCCCCC"/>
              <w:right w:val="single" w:sz="4" w:color="CCCCCC"/>
            </w:tcBorders>
          </w:tcPr>
          <w:p>
            <w:r>
              <w:br/>
            </w:r>
            <w:r>
              <w:rPr>
                <w:rFonts w:ascii="Georgia" w:hAnsi="Georgia"/>
                <w:b w:val="0"/>
                <w:i w:val="0"/>
                <w:color w:val="142233"/>
                <w:sz w:val="19"/>
              </w:rPr>
              <w:t>Healthcare ransomware pressure remains elevated (per ATB-2026-10, ATB-2026-11; no new Texas-named incident this week). The June 16 CIRCIA session covers healthcare and public health. The threshold question for health system leadership: does a ransomware event affecting your revenue cycle clearinghouse constitute a “covered cyber incident”—and who is your designated reporter? For DIB contractors: the June 18 session covers defense industrial base. DFARS obligations may impose more stringent CIRCIA requirements. JBSA-area contractors should treat the Five Eyes China advisory as a direct personnel security requirement, not background noise. For AI infrastructure operators: the ERCOT voltage test failures are a current-cycle interconnection risk, not a future planning issue. Expect redesign requirements, delayed timelines, and heightened PUCT scrutiny as Batch Zero rules advance toward a June 18 vote.</w:t>
            </w:r>
            <w:r>
              <w:br/>
            </w:r>
          </w:p>
        </w:tc>
      </w:tr>
    </w:tbl>
    <w:p>
      <w:pPr>
        <w:spacing w:after="120"/>
      </w:pPr>
    </w:p>
    <w:p>
      <w:pPr>
        <w:spacing w:after="160"/>
      </w:pPr>
      <w:r>
        <w:rPr>
          <w:rFonts w:ascii="Georgia" w:hAnsi="Georgia"/>
          <w:b w:val="0"/>
          <w:i w:val="0"/>
          <w:color w:val="142233"/>
          <w:sz w:val="21"/>
        </w:rPr>
        <w:t>Section IV</w:t>
      </w:r>
    </w:p>
    <w:p>
      <w:pPr>
        <w:spacing w:before="320" w:after="120"/>
        <w:pBdr>
          <w:bottom w:val="single" w:sz="6" w:space="4" w:color="A67C2E"/>
        </w:pBdr>
      </w:pPr>
      <w:r>
        <w:rPr>
          <w:rFonts w:ascii="Calibri" w:hAnsi="Calibri"/>
          <w:b/>
          <w:color w:val="7A5A1E"/>
          <w:sz w:val="27"/>
        </w:rPr>
        <w:t>Indicators to Watch</w:t>
      </w:r>
    </w:p>
    <w:p>
      <w:pPr>
        <w:spacing w:before="160" w:after="40"/>
      </w:pPr>
      <w:r>
        <w:rPr>
          <w:b/>
          <w:color w:val="1F5C8C"/>
          <w:sz w:val="18"/>
        </w:rPr>
        <w:t xml:space="preserve">IND 1  </w:t>
      </w:r>
      <w:r>
        <w:rPr>
          <w:b/>
          <w:color w:val="142233"/>
          <w:sz w:val="20"/>
        </w:rPr>
        <w:t>ATG Operational Impact</w:t>
      </w:r>
      <w:r>
        <w:rPr>
          <w:i/>
          <w:color w:val="7A5A1E"/>
          <w:sz w:val="18"/>
        </w:rPr>
        <w:t xml:space="preserve">   [↑ Rising]</w:t>
      </w:r>
    </w:p>
    <w:p>
      <w:pPr>
        <w:spacing w:after="40"/>
        <w:ind w:left="283"/>
      </w:pPr>
      <w:r>
        <w:rPr>
          <w:color w:val="142233"/>
          <w:sz w:val="19"/>
        </w:rPr>
        <w:t>→ CISA or FBI confirms operational disruption at a U.S. fuel or chemical facility linked to ATG compromise—masked fuel levels, false leak alerts, or regulatory shutdown. Transitions the campaign from access to harm. Timeframe: 1–2 weeks.</w:t>
      </w:r>
    </w:p>
    <w:p>
      <w:pPr>
        <w:spacing w:before="160" w:after="40"/>
      </w:pPr>
      <w:r>
        <w:rPr>
          <w:b/>
          <w:color w:val="1F5C8C"/>
          <w:sz w:val="18"/>
        </w:rPr>
        <w:t xml:space="preserve">IND 2  </w:t>
      </w:r>
      <w:r>
        <w:rPr>
          <w:b/>
          <w:color w:val="142233"/>
          <w:sz w:val="20"/>
        </w:rPr>
        <w:t>ERCOT Summer Reliability Action</w:t>
      </w:r>
      <w:r>
        <w:rPr>
          <w:i/>
          <w:color w:val="7A5A1E"/>
          <w:sz w:val="18"/>
        </w:rPr>
        <w:t xml:space="preserve">   [↑ Rising]</w:t>
      </w:r>
    </w:p>
    <w:p>
      <w:pPr>
        <w:spacing w:after="40"/>
        <w:ind w:left="283"/>
      </w:pPr>
      <w:r>
        <w:rPr>
          <w:color w:val="142233"/>
          <w:sz w:val="19"/>
        </w:rPr>
        <w:t>→ ERCOT issues Conservation Appeal, Emergency Alert, or EEA Level 1 before July 4—particularly if coinciding with abrupt large-load disconnection. Watch also for PUCT finalizing Batch Zero ride-through rules at its June 18 vote, which could force data center disconnections. Timeframe: 2–6 weeks.</w:t>
      </w:r>
    </w:p>
    <w:p>
      <w:pPr>
        <w:spacing w:before="160" w:after="40"/>
      </w:pPr>
      <w:r>
        <w:rPr>
          <w:b/>
          <w:color w:val="1F5C8C"/>
          <w:sz w:val="18"/>
        </w:rPr>
        <w:t xml:space="preserve">IND 3  </w:t>
      </w:r>
      <w:r>
        <w:rPr>
          <w:b/>
          <w:color w:val="142233"/>
          <w:sz w:val="20"/>
        </w:rPr>
        <w:t>ATG Attribution</w:t>
      </w:r>
      <w:r>
        <w:rPr>
          <w:i/>
          <w:color w:val="7A5A1E"/>
          <w:sz w:val="18"/>
        </w:rPr>
        <w:t xml:space="preserve">   [→ Sustained]</w:t>
      </w:r>
    </w:p>
    <w:p>
      <w:pPr>
        <w:spacing w:after="40"/>
        <w:ind w:left="283"/>
      </w:pPr>
      <w:r>
        <w:rPr>
          <w:color w:val="142233"/>
          <w:sz w:val="19"/>
        </w:rPr>
        <w:t>→ Federal agencies formally attribute the ATG campaign to a nation-state actor. Iran is the assessed leading suspect based on prior multi-state ATG investigation reporting. Formal attribution shifts the threat from opportunistic exploitation to deliberate infrastructure coercion. Timeframe: 2–4 weeks.</w:t>
      </w:r>
    </w:p>
    <w:p>
      <w:pPr>
        <w:spacing w:before="160" w:after="40"/>
      </w:pPr>
      <w:r>
        <w:rPr>
          <w:b/>
          <w:color w:val="1F5C8C"/>
          <w:sz w:val="18"/>
        </w:rPr>
        <w:t xml:space="preserve">IND 4  </w:t>
      </w:r>
      <w:r>
        <w:rPr>
          <w:b/>
          <w:color w:val="142233"/>
          <w:sz w:val="20"/>
        </w:rPr>
        <w:t>Iran Ceasefire Status</w:t>
      </w:r>
      <w:r>
        <w:rPr>
          <w:i/>
          <w:color w:val="7A5A1E"/>
          <w:sz w:val="18"/>
        </w:rPr>
        <w:t xml:space="preserve">   [↑ Rising]</w:t>
      </w:r>
    </w:p>
    <w:p>
      <w:pPr>
        <w:spacing w:after="40"/>
        <w:ind w:left="283"/>
      </w:pPr>
      <w:r>
        <w:rPr>
          <w:color w:val="142233"/>
          <w:sz w:val="19"/>
        </w:rPr>
        <w:t>→ Gulf of Oman naval incident (June 5) represents active ceasefire stress. Watch for CENTCOM-confirmed hostile fire, Israeli strikes on Iranian territory, or Iranian-affiliated hacktivist escalation claims against U.S. energy targets. Any of these would signal transition from competition to crisis-phase OT operations. Timeframe: 1–3 weeks.</w:t>
      </w:r>
    </w:p>
    <w:p>
      <w:pPr>
        <w:spacing w:before="160" w:after="40"/>
      </w:pPr>
      <w:r>
        <w:rPr>
          <w:b/>
          <w:color w:val="1F5C8C"/>
          <w:sz w:val="18"/>
        </w:rPr>
        <w:t xml:space="preserve">IND 5  </w:t>
      </w:r>
      <w:r>
        <w:rPr>
          <w:b/>
          <w:color w:val="142233"/>
          <w:sz w:val="20"/>
        </w:rPr>
        <w:t>CIRCIA Final Rule Signal</w:t>
      </w:r>
      <w:r>
        <w:rPr>
          <w:i/>
          <w:color w:val="7A5A1E"/>
          <w:sz w:val="18"/>
        </w:rPr>
        <w:t xml:space="preserve">   [→ Sustained]</w:t>
      </w:r>
    </w:p>
    <w:p>
      <w:pPr>
        <w:spacing w:after="40"/>
        <w:ind w:left="283"/>
      </w:pPr>
      <w:r>
        <w:rPr>
          <w:color w:val="142233"/>
          <w:sz w:val="19"/>
        </w:rPr>
        <w:t>→ Post-town-hall CISA communications (June 15–18) signaling scope expansion or contraction for covered entities. Expanded definitions trigger immediate compliance escalation inside Texas operators. Narrowed definitions reduce near-term burden but reduce incident visibility. Either outcome reshapes the governance posture of every Texas critical infrastructure operator. Timeframe: 4–8 weeks.</w:t>
      </w:r>
    </w:p>
    <w:p>
      <w:pPr>
        <w:spacing w:after="160"/>
      </w:pPr>
      <w:r>
        <w:rPr>
          <w:rFonts w:ascii="Georgia" w:hAnsi="Georgia"/>
          <w:b w:val="0"/>
          <w:i w:val="0"/>
          <w:color w:val="142233"/>
          <w:sz w:val="21"/>
        </w:rPr>
        <w:t>Section V</w:t>
      </w:r>
    </w:p>
    <w:p>
      <w:pPr>
        <w:spacing w:before="320" w:after="120"/>
        <w:pBdr>
          <w:bottom w:val="single" w:sz="6" w:space="4" w:color="A67C2E"/>
        </w:pBdr>
      </w:pPr>
      <w:r>
        <w:rPr>
          <w:rFonts w:ascii="Calibri" w:hAnsi="Calibri"/>
          <w:b/>
          <w:color w:val="7A5A1E"/>
          <w:sz w:val="27"/>
        </w:rPr>
        <w:t>Governance Implication Block</w:t>
      </w:r>
    </w:p>
    <w:tbl>
      <w:tblPr>
        <w:tblW w:type="auto" w:w="0"/>
        <w:jc w:val="center"/>
        <w:tblLayout w:type="fixed"/>
        <w:tblLook w:firstColumn="1" w:firstRow="1" w:lastColumn="0" w:lastRow="0" w:noHBand="0" w:noVBand="1" w:val="04A0"/>
      </w:tblPr>
      <w:tblGrid>
        <w:gridCol w:w="2041"/>
        <w:gridCol w:w="7087"/>
      </w:tblGrid>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Decision at risk</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Whether ATG systems have been isolated from internet access and CIRCIA reporting obligations have been assigned before the June 15–18 town halls close the stakeholder input window.</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Owner</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CISO / COO / General Counsel, jointly. ATG isolation is an OT operations decision. CIRCIA designation is a legal and compliance decision. Neither can be delegated to IT alone.</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Consequence of delay</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ATG systems that remain internet-exposed after a confirmed active exploitation campaign have no defensible posture in a regulatory inquiry or liability proceeding following an incident. Organizations that miss CIRCIA town halls waive their most direct opportunity to shape compliance thresholds before they are fixed.</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Action this week</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br/>
              <w:t xml:space="preserve"> 1. Direct OT team to confirm internet exposure status of all ATG systems and isolate any exposed systems from internet access—isolation, not password hardening.</w:t>
            </w:r>
            <w:r>
              <w:br/>
            </w:r>
            <w:r>
              <w:rPr>
                <w:rFonts w:ascii="Georgia" w:hAnsi="Georgia"/>
                <w:b w:val="0"/>
                <w:i w:val="0"/>
                <w:color w:val="142233"/>
                <w:sz w:val="19"/>
              </w:rPr>
              <w:br/>
              <w:t xml:space="preserve"> 2. Register for the applicable CIRCIA town hall before June 13 (two-business-day registration deadline).</w:t>
            </w:r>
            <w:r>
              <w:br/>
            </w:r>
            <w:r>
              <w:rPr>
                <w:rFonts w:ascii="Georgia" w:hAnsi="Georgia"/>
                <w:b w:val="0"/>
                <w:i w:val="0"/>
                <w:color w:val="142233"/>
                <w:sz w:val="19"/>
              </w:rPr>
              <w:br/>
              <w:t xml:space="preserve"> 3. Assign CIRCIA reporting designate in writing before June 18.</w:t>
            </w:r>
            <w:r>
              <w:br/>
            </w:r>
            <w:r>
              <w:rPr>
                <w:rFonts w:ascii="Georgia" w:hAnsi="Georgia"/>
                <w:b w:val="0"/>
                <w:i w:val="0"/>
                <w:color w:val="142233"/>
                <w:sz w:val="19"/>
              </w:rPr>
              <w:br/>
              <w:t xml:space="preserve"> 4. Brief board or risk committee on ERCOT voltage failures and summer continuity assumptions this week.</w:t>
              <w:br/>
              <w:t xml:space="preserve"> </w:t>
            </w:r>
          </w:p>
        </w:tc>
      </w:tr>
      <w:tr>
        <w:tc>
          <w:tcPr>
            <w:tcW w:type="dxa" w:w="2041"/>
            <w:shd w:val="clear" w:fill="F1ECDD"/>
            <w:tcBorders>
              <w:top w:val="single" w:sz="4" w:color="CCCCCC"/>
              <w:left w:val="single" w:sz="4" w:color="CCCCCC"/>
              <w:bottom w:val="single" w:sz="4" w:color="CCCCCC"/>
              <w:right w:val="single" w:sz="4" w:color="CCCCCC"/>
            </w:tcBorders>
          </w:tcPr>
          <w:p>
            <w:r>
              <w:rPr>
                <w:rFonts w:ascii="Calibri" w:hAnsi="Calibri"/>
                <w:b/>
                <w:color w:val="7A5A1E"/>
                <w:sz w:val="18"/>
              </w:rPr>
              <w:t>Record to preserve</w:t>
            </w:r>
          </w:p>
        </w:tc>
        <w:tc>
          <w:tcPr>
            <w:tcW w:type="dxa" w:w="4873"/>
            <w:tcBorders>
              <w:top w:val="single" w:sz="4" w:color="CCCCCC"/>
              <w:left w:val="single" w:sz="4" w:color="CCCCCC"/>
              <w:bottom w:val="single" w:sz="4" w:color="CCCCCC"/>
              <w:right w:val="single" w:sz="4" w:color="CCCCCC"/>
            </w:tcBorders>
          </w:tcPr>
          <w:p>
            <w:r>
              <w:rPr>
                <w:rFonts w:ascii="Georgia" w:hAnsi="Georgia"/>
                <w:b w:val="0"/>
                <w:i w:val="0"/>
                <w:color w:val="142233"/>
                <w:sz w:val="19"/>
              </w:rPr>
              <w:t>Board minutes documenting awareness of the June 2 ATG advisory and ERCOT findings. Written CIRCIA reporting authority assignment. ATG isolation assessment or accepted-risk documentation. CIRCIA town hall registration or participation records.</w:t>
            </w:r>
          </w:p>
        </w:tc>
      </w:tr>
    </w:tbl>
    <w:p>
      <w:pPr>
        <w:spacing w:after="120"/>
      </w:pPr>
    </w:p>
    <w:p>
      <w:pPr>
        <w:spacing w:after="160"/>
      </w:pPr>
      <w:r>
        <w:rPr>
          <w:rFonts w:ascii="Georgia" w:hAnsi="Georgia"/>
          <w:b w:val="0"/>
          <w:i w:val="0"/>
          <w:color w:val="142233"/>
          <w:sz w:val="21"/>
        </w:rPr>
        <w:t>Section VI</w:t>
      </w:r>
    </w:p>
    <w:p>
      <w:pPr>
        <w:spacing w:before="320" w:after="120"/>
        <w:pBdr>
          <w:bottom w:val="single" w:sz="6" w:space="4" w:color="A67C2E"/>
        </w:pBdr>
      </w:pPr>
      <w:r>
        <w:rPr>
          <w:rFonts w:ascii="Calibri" w:hAnsi="Calibri"/>
          <w:b/>
          <w:color w:val="7A5A1E"/>
          <w:sz w:val="27"/>
        </w:rPr>
        <w:t>Open Source Basis</w:t>
      </w:r>
    </w:p>
    <w:p>
      <w:pPr>
        <w:spacing w:before="200"/>
      </w:pPr>
      <w:r>
        <w:rPr>
          <w:rFonts w:ascii="Calibri" w:hAnsi="Calibri"/>
          <w:b/>
          <w:color w:val="1F5C8C"/>
          <w:sz w:val="18"/>
        </w:rPr>
        <w:t>PRIMARY SOURCES — ATB-2026-13 — COVERAGE WEEK 31 MAY–6 JUNE 2026</w:t>
      </w:r>
    </w:p>
    <w:p>
      <w:pPr>
        <w:spacing w:before="120" w:after="20"/>
      </w:pPr>
      <w:r>
        <w:rPr>
          <w:rFonts w:ascii="Calibri" w:hAnsi="Calibri"/>
          <w:b/>
          <w:color w:val="7A5A1E"/>
          <w:sz w:val="15"/>
        </w:rPr>
        <w:t>GOVERNMENT / REGULATORY</w:t>
        <w:br/>
      </w:r>
      <w:r>
        <w:rPr>
          <w:b/>
          <w:color w:val="142233"/>
          <w:sz w:val="20"/>
        </w:rPr>
        <w:t>CISA/FBI/NSA/DOE/EPA/TSA/DOT/USDA — Joint Fact Sheet: Hardening Automatic Tank Gauge Systems</w:t>
      </w:r>
    </w:p>
    <w:p>
      <w:pPr>
        <w:spacing w:after="20"/>
      </w:pPr>
      <w:hyperlink r:id="rId11">
        <w:r>
          <w:rPr>
            <w:color w:val="1F5C8C"/>
            <w:u w:val="single"/>
            <w:sz w:val="17"/>
            <w:rFonts w:ascii="Consolas"/>
          </w:rPr>
          <w:t>cisa.gov/resources-tools/resources/cisa-and-partners-urge-hardening-automatic-tank-gauge-systems</w:t>
        </w:r>
      </w:hyperlink>
    </w:p>
    <w:p>
      <w:pPr>
        <w:spacing w:after="40"/>
      </w:pPr>
      <w:r>
        <w:rPr>
          <w:i/>
          <w:color w:val="5C5C5C"/>
          <w:sz w:val="17"/>
        </w:rPr>
        <w:t>June 2, 2026. Basis for Executive Warning, Dominant Judgment, Energy Implication, IND-1, IND-3, and Governance Block.</w:t>
      </w:r>
    </w:p>
    <w:p>
      <w:pPr>
        <w:spacing w:before="120" w:after="20"/>
      </w:pPr>
      <w:r>
        <w:rPr>
          <w:rFonts w:ascii="Calibri" w:hAnsi="Calibri"/>
          <w:b/>
          <w:color w:val="7A5A1E"/>
          <w:sz w:val="15"/>
        </w:rPr>
        <w:t>GOVERNMENT / REGULATORY</w:t>
        <w:br/>
      </w:r>
      <w:r>
        <w:rPr>
          <w:b/>
          <w:color w:val="142233"/>
          <w:sz w:val="20"/>
        </w:rPr>
        <w:t>NSA — Press Release: Guidance on Hardening Automatic Tank Gauge Systems</w:t>
      </w:r>
    </w:p>
    <w:p>
      <w:pPr>
        <w:spacing w:after="20"/>
      </w:pPr>
      <w:hyperlink r:id="rId12">
        <w:r>
          <w:rPr>
            <w:color w:val="1F5C8C"/>
            <w:u w:val="single"/>
            <w:sz w:val="17"/>
            <w:rFonts w:ascii="Consolas"/>
          </w:rPr>
          <w:t>nsa.gov/Press-Room/Press-Releases-Statements/Press-Release-View/Article/4507204/</w:t>
        </w:r>
      </w:hyperlink>
    </w:p>
    <w:p>
      <w:pPr>
        <w:spacing w:after="40"/>
      </w:pPr>
      <w:r>
        <w:rPr>
          <w:i/>
          <w:color w:val="5C5C5C"/>
          <w:sz w:val="17"/>
        </w:rPr>
        <w:t>June 3, 2026. Confirms joint intelligence community engagement on ATG advisory.</w:t>
      </w:r>
    </w:p>
    <w:p>
      <w:pPr>
        <w:spacing w:before="120" w:after="20"/>
      </w:pPr>
      <w:r>
        <w:rPr>
          <w:rFonts w:ascii="Calibri" w:hAnsi="Calibri"/>
          <w:b/>
          <w:color w:val="7A5A1E"/>
          <w:sz w:val="15"/>
        </w:rPr>
        <w:t>GOVERNMENT / REGULATORY</w:t>
        <w:br/>
      </w:r>
      <w:r>
        <w:rPr>
          <w:b/>
          <w:color w:val="142233"/>
          <w:sz w:val="20"/>
        </w:rPr>
        <w:t>CISA — Advisory AA26-097A: Iranian-Affiliated Actors Exploit PLCs Across U.S. Critical Infrastructure</w:t>
      </w:r>
    </w:p>
    <w:p>
      <w:pPr>
        <w:spacing w:after="20"/>
      </w:pPr>
      <w:hyperlink r:id="rId13">
        <w:r>
          <w:rPr>
            <w:color w:val="1F5C8C"/>
            <w:u w:val="single"/>
            <w:sz w:val="17"/>
            <w:rFonts w:ascii="Consolas"/>
          </w:rPr>
          <w:t>cisa.gov/news-events/cybersecurity-advisories/aa26-097a</w:t>
        </w:r>
      </w:hyperlink>
    </w:p>
    <w:p>
      <w:pPr>
        <w:spacing w:after="40"/>
      </w:pPr>
      <w:r>
        <w:rPr>
          <w:i/>
          <w:color w:val="5C5C5C"/>
          <w:sz w:val="17"/>
        </w:rPr>
        <w:t>April 7, 2026. Carried forward as continuing baseline; current-week ceasefire escalation is new development. Basis for KJ-3 and Iran section.</w:t>
      </w:r>
    </w:p>
    <w:p>
      <w:pPr>
        <w:spacing w:before="120" w:after="20"/>
      </w:pPr>
      <w:r>
        <w:rPr>
          <w:rFonts w:ascii="Calibri" w:hAnsi="Calibri"/>
          <w:b/>
          <w:color w:val="7A5A1E"/>
          <w:sz w:val="15"/>
        </w:rPr>
        <w:t>GOVERNMENT / REGULATORY</w:t>
        <w:br/>
      </w:r>
      <w:r>
        <w:rPr>
          <w:b/>
          <w:color w:val="142233"/>
          <w:sz w:val="20"/>
        </w:rPr>
        <w:t>CISA ICS Advisories — ICSA-26-155-01 through ICSA-26-155-05</w:t>
      </w:r>
    </w:p>
    <w:p>
      <w:pPr>
        <w:spacing w:after="20"/>
      </w:pPr>
      <w:hyperlink r:id="rId14">
        <w:r>
          <w:rPr>
            <w:color w:val="1F5C8C"/>
            <w:u w:val="single"/>
            <w:sz w:val="17"/>
            <w:rFonts w:ascii="Consolas"/>
          </w:rPr>
          <w:t>cisa.gov/news-events/ics-advisories</w:t>
        </w:r>
      </w:hyperlink>
    </w:p>
    <w:p>
      <w:pPr>
        <w:spacing w:after="40"/>
      </w:pPr>
      <w:r>
        <w:rPr>
          <w:i/>
          <w:color w:val="5C5C5C"/>
          <w:sz w:val="17"/>
        </w:rPr>
        <w:t>June 4, 2026. Five ICS advisories including Hitachi Energy MACH HiDraw (Energy, Dams, Transportation). Background context for OT vulnerability environment.</w:t>
      </w:r>
    </w:p>
    <w:p>
      <w:pPr>
        <w:spacing w:before="120" w:after="20"/>
      </w:pPr>
      <w:r>
        <w:rPr>
          <w:rFonts w:ascii="Calibri" w:hAnsi="Calibri"/>
          <w:b/>
          <w:color w:val="7A5A1E"/>
          <w:sz w:val="15"/>
        </w:rPr>
        <w:t>GOVERNMENT / REGULATORY</w:t>
        <w:br/>
      </w:r>
      <w:r>
        <w:rPr>
          <w:b/>
          <w:color w:val="142233"/>
          <w:sz w:val="20"/>
        </w:rPr>
        <w:t>Federal Register — CIRCIA Town Hall Meetings Rulemaking Notice</w:t>
      </w:r>
    </w:p>
    <w:p>
      <w:pPr>
        <w:spacing w:after="20"/>
      </w:pPr>
      <w:hyperlink r:id="rId15">
        <w:r>
          <w:rPr>
            <w:color w:val="1F5C8C"/>
            <w:u w:val="single"/>
            <w:sz w:val="17"/>
            <w:rFonts w:ascii="Consolas"/>
          </w:rPr>
          <w:t>federalregister.gov/documents/2026/05/26/2026-10417/</w:t>
        </w:r>
      </w:hyperlink>
    </w:p>
    <w:p>
      <w:pPr>
        <w:spacing w:after="40"/>
      </w:pPr>
      <w:r>
        <w:rPr>
          <w:i/>
          <w:color w:val="5C5C5C"/>
          <w:sz w:val="17"/>
        </w:rPr>
        <w:t>May 26, 2026. Basis for Finance, Healthcare, DIB implications; IND-5; Governance Block.</w:t>
      </w:r>
    </w:p>
    <w:p>
      <w:pPr>
        <w:spacing w:before="120" w:after="20"/>
      </w:pPr>
      <w:r>
        <w:rPr>
          <w:rFonts w:ascii="Calibri" w:hAnsi="Calibri"/>
          <w:b/>
          <w:color w:val="7A5A1E"/>
          <w:sz w:val="15"/>
        </w:rPr>
        <w:t>GOVERNMENT / REGULATORY</w:t>
        <w:br/>
      </w:r>
      <w:r>
        <w:rPr>
          <w:b/>
          <w:color w:val="142233"/>
          <w:sz w:val="20"/>
        </w:rPr>
        <w:t>U.S. Bureau of Labor Statistics — Employment Situation, May 2026</w:t>
      </w:r>
    </w:p>
    <w:p>
      <w:pPr>
        <w:spacing w:after="20"/>
      </w:pPr>
      <w:hyperlink r:id="rId16">
        <w:r>
          <w:rPr>
            <w:color w:val="1F5C8C"/>
            <w:u w:val="single"/>
            <w:sz w:val="17"/>
            <w:rFonts w:ascii="Consolas"/>
          </w:rPr>
          <w:t>bls.gov/news.release/empsit.nr0.htm</w:t>
        </w:r>
      </w:hyperlink>
    </w:p>
    <w:p>
      <w:pPr>
        <w:spacing w:after="40"/>
      </w:pPr>
      <w:r>
        <w:rPr>
          <w:i/>
          <w:color w:val="5C5C5C"/>
          <w:sz w:val="17"/>
        </w:rPr>
        <w:t>June 6, 2026. 172,000 jobs added; 4.3% unemployment. Basis for Finance macro context.</w:t>
      </w:r>
    </w:p>
    <w:p>
      <w:pPr>
        <w:spacing w:before="120" w:after="20"/>
      </w:pPr>
      <w:r>
        <w:rPr>
          <w:rFonts w:ascii="Calibri" w:hAnsi="Calibri"/>
          <w:b/>
          <w:color w:val="7A5A1E"/>
          <w:sz w:val="15"/>
        </w:rPr>
        <w:t>GOVERNMENT / REGULATORY</w:t>
        <w:br/>
      </w:r>
      <w:r>
        <w:rPr>
          <w:b/>
          <w:color w:val="142233"/>
          <w:sz w:val="20"/>
        </w:rPr>
        <w:t>ERCOT — NOGRR 282 / NPRR 1308: Large Electronic Load Ride-Through Requirements</w:t>
      </w:r>
    </w:p>
    <w:p>
      <w:pPr>
        <w:spacing w:after="20"/>
      </w:pPr>
      <w:hyperlink r:id="rId17">
        <w:r>
          <w:rPr>
            <w:color w:val="1F5C8C"/>
            <w:u w:val="single"/>
            <w:sz w:val="17"/>
            <w:rFonts w:ascii="Consolas"/>
          </w:rPr>
          <w:t>ercot.com — NOGRR 282 / NPRR 1308</w:t>
        </w:r>
      </w:hyperlink>
    </w:p>
    <w:p>
      <w:pPr>
        <w:spacing w:after="40"/>
      </w:pPr>
      <w:r>
        <w:rPr>
          <w:i/>
          <w:color w:val="5C5C5C"/>
          <w:sz w:val="17"/>
        </w:rPr>
        <w:t>Board-approved June 3, 2026. PUC vote on Batch Zero rules scheduled June 18. Basis for Energy implication and IND-2.</w:t>
      </w:r>
    </w:p>
    <w:p>
      <w:pPr>
        <w:spacing w:before="120" w:after="20"/>
      </w:pPr>
      <w:r>
        <w:rPr>
          <w:rFonts w:ascii="Calibri" w:hAnsi="Calibri"/>
          <w:b/>
          <w:color w:val="7A5A1E"/>
          <w:sz w:val="15"/>
        </w:rPr>
        <w:t>GOVERNMENT / REGULATORY</w:t>
        <w:br/>
      </w:r>
      <w:r>
        <w:rPr>
          <w:b/>
          <w:color w:val="142233"/>
          <w:sz w:val="20"/>
        </w:rPr>
        <w:t>ERCOT — Market Notice M-B062325-01: Large Load Voltage Ride-Through Survey</w:t>
      </w:r>
    </w:p>
    <w:p>
      <w:pPr>
        <w:spacing w:after="20"/>
      </w:pPr>
      <w:hyperlink r:id="rId18">
        <w:r>
          <w:rPr>
            <w:color w:val="1F5C8C"/>
            <w:u w:val="single"/>
            <w:sz w:val="17"/>
            <w:rFonts w:ascii="Consolas"/>
          </w:rPr>
          <w:t>ercot.com/services/comm/mkt_notices/M-B062325-01</w:t>
        </w:r>
      </w:hyperlink>
    </w:p>
    <w:p>
      <w:pPr>
        <w:spacing w:after="40"/>
      </w:pPr>
      <w:r>
        <w:rPr>
          <w:i/>
          <w:color w:val="5C5C5C"/>
          <w:sz w:val="17"/>
        </w:rPr>
        <w:t>June 23, 2025. Establishes 2,600 MW maximum sustainable load loss threshold. Carried forward as continuing baseline.</w:t>
      </w:r>
    </w:p>
    <w:p>
      <w:pPr>
        <w:spacing w:before="120" w:after="20"/>
      </w:pPr>
      <w:r>
        <w:rPr>
          <w:rFonts w:ascii="Calibri" w:hAnsi="Calibri"/>
          <w:b/>
          <w:color w:val="7A5A1E"/>
          <w:sz w:val="15"/>
        </w:rPr>
        <w:t>GOVERNMENT / REGULATORY</w:t>
        <w:br/>
      </w:r>
      <w:r>
        <w:rPr>
          <w:b/>
          <w:color w:val="142233"/>
          <w:sz w:val="20"/>
        </w:rPr>
        <w:t>Texas DIR — Cybersecurity Functions Transition to Texas Cyber Command</w:t>
      </w:r>
    </w:p>
    <w:p>
      <w:pPr>
        <w:spacing w:after="20"/>
      </w:pPr>
      <w:hyperlink r:id="rId19">
        <w:r>
          <w:rPr>
            <w:color w:val="1F5C8C"/>
            <w:u w:val="single"/>
            <w:sz w:val="17"/>
            <w:rFonts w:ascii="Consolas"/>
          </w:rPr>
          <w:t>dir.texas.gov/news/cybersecurity-functions-transition-texas-cyber-command</w:t>
        </w:r>
      </w:hyperlink>
    </w:p>
    <w:p>
      <w:pPr>
        <w:spacing w:after="40"/>
      </w:pPr>
      <w:r>
        <w:rPr>
          <w:i/>
          <w:color w:val="5C5C5C"/>
          <w:sz w:val="17"/>
        </w:rPr>
        <w:t>April 9, 2026. Confirms TXCC operational status and Dec. 31, 2026 full transfer deadline.</w:t>
      </w:r>
    </w:p>
    <w:p>
      <w:pPr>
        <w:spacing w:before="120" w:after="20"/>
      </w:pPr>
      <w:r>
        <w:rPr>
          <w:rFonts w:ascii="Calibri" w:hAnsi="Calibri"/>
          <w:b/>
          <w:color w:val="7A5A1E"/>
          <w:sz w:val="15"/>
        </w:rPr>
        <w:t>INTELLIGENCE COMMUNITY</w:t>
        <w:br/>
      </w:r>
      <w:r>
        <w:rPr>
          <w:b/>
          <w:color w:val="142233"/>
          <w:sz w:val="20"/>
        </w:rPr>
        <w:t>FBI/MI5/CSIS/ASIO/NZSIS — Joint Bulletin: “Safeguarding Our Secrets”</w:t>
      </w:r>
    </w:p>
    <w:p>
      <w:pPr>
        <w:spacing w:after="20"/>
      </w:pPr>
      <w:hyperlink r:id="rId20">
        <w:r>
          <w:rPr>
            <w:color w:val="1F5C8C"/>
            <w:u w:val="single"/>
            <w:sz w:val="17"/>
            <w:rFonts w:ascii="Consolas"/>
          </w:rPr>
          <w:t>fbi.gov — joint bulletin via Five Eyes partner agencies</w:t>
        </w:r>
      </w:hyperlink>
    </w:p>
    <w:p>
      <w:pPr>
        <w:spacing w:after="40"/>
      </w:pPr>
      <w:r>
        <w:rPr>
          <w:i/>
          <w:color w:val="5C5C5C"/>
          <w:sz w:val="17"/>
        </w:rPr>
        <w:t>June 3, 2026. First-ever joint Five Eyes public advisory on Chinese military intelligence LinkedIn recruitment. Basis for KJ-2 and China section.</w:t>
      </w:r>
    </w:p>
    <w:p>
      <w:pPr>
        <w:spacing w:before="120" w:after="20"/>
      </w:pPr>
      <w:r>
        <w:rPr>
          <w:rFonts w:ascii="Calibri" w:hAnsi="Calibri"/>
          <w:b/>
          <w:color w:val="7A5A1E"/>
          <w:sz w:val="15"/>
        </w:rPr>
        <w:t>SECONDARY</w:t>
        <w:br/>
      </w:r>
      <w:r>
        <w:rPr>
          <w:b/>
          <w:color w:val="142233"/>
          <w:sz w:val="20"/>
        </w:rPr>
        <w:t>ERCOT Board Meeting — Reported by E&amp;E News (Shelby Webb) / Reuters (Tim McLaughlin)</w:t>
      </w:r>
    </w:p>
    <w:p>
      <w:pPr>
        <w:spacing w:after="20"/>
      </w:pPr>
      <w:hyperlink r:id="rId21">
        <w:r>
          <w:rPr>
            <w:color w:val="1F5C8C"/>
            <w:u w:val="single"/>
            <w:sz w:val="17"/>
            <w:rFonts w:ascii="Consolas"/>
          </w:rPr>
          <w:t>eenews.net/articles/texas-advances-major-grid-rules-for-data-centers/</w:t>
        </w:r>
      </w:hyperlink>
    </w:p>
    <w:p>
      <w:pPr>
        <w:spacing w:after="40"/>
      </w:pPr>
      <w:r>
        <w:rPr>
          <w:i/>
          <w:color w:val="5C5C5C"/>
          <w:sz w:val="17"/>
        </w:rPr>
        <w:t>June 3–5, 2026. Cites ERCOT May 21 internal report and on-record statements by ERCOT VP Jeff Billo and CEO Pablo Vegas. Credible secondary citation of primary ERCOT filings.</w:t>
      </w:r>
    </w:p>
    <w:p>
      <w:pPr>
        <w:spacing w:before="120" w:after="20"/>
      </w:pPr>
      <w:r>
        <w:rPr>
          <w:rFonts w:ascii="Calibri" w:hAnsi="Calibri"/>
          <w:b/>
          <w:color w:val="7A5A1E"/>
          <w:sz w:val="15"/>
        </w:rPr>
        <w:t>SECONDARY</w:t>
        <w:br/>
      </w:r>
      <w:r>
        <w:rPr>
          <w:b/>
          <w:color w:val="142233"/>
          <w:sz w:val="20"/>
        </w:rPr>
        <w:t>TRM Labs — North Korea Crypto Theft Attribution 2026</w:t>
      </w:r>
    </w:p>
    <w:p>
      <w:pPr>
        <w:spacing w:after="20"/>
      </w:pPr>
      <w:hyperlink r:id="rId22">
        <w:r>
          <w:rPr>
            <w:color w:val="1F5C8C"/>
            <w:u w:val="single"/>
            <w:sz w:val="17"/>
            <w:rFonts w:ascii="Consolas"/>
          </w:rPr>
          <w:t>trmlabs.com/resources/blog/</w:t>
        </w:r>
      </w:hyperlink>
    </w:p>
    <w:p>
      <w:pPr>
        <w:spacing w:after="40"/>
      </w:pPr>
      <w:r>
        <w:rPr>
          <w:i/>
          <w:color w:val="5C5C5C"/>
          <w:sz w:val="17"/>
        </w:rPr>
        <w:t>April 30, 2026. DPRK attributed $577M through April 2026; 76% of global recorded crypto losses. TRM Labs is a recognized blockchain intelligence firm. Basis for DPRK section.</w:t>
      </w:r>
    </w:p>
    <w:p>
      <w:pPr>
        <w:pBdr>
          <w:bottom w:val="single" w:sz="4" w:space="4" w:color="CCCCCC"/>
        </w:pBdr>
      </w:pPr>
    </w:p>
    <w:p>
      <w:pPr>
        <w:spacing w:after="160"/>
      </w:pPr>
      <w:r>
        <w:rPr>
          <w:rFonts w:ascii="Georgia" w:hAnsi="Georgia"/>
          <w:b w:val="0"/>
          <w:i w:val="0"/>
          <w:color w:val="142233"/>
          <w:sz w:val="21"/>
        </w:rPr>
        <w:br/>
        <w:t xml:space="preserve"> Liberty CTI — San Antonio, Texas — </w:t>
      </w:r>
      <w:r>
        <w:rPr>
          <w:rFonts w:ascii="Georgia" w:hAnsi="Georgia"/>
          <w:b w:val="0"/>
          <w:i w:val="0"/>
          <w:color w:val="1F5C8C"/>
          <w:sz w:val="21"/>
          <w:u w:val="single"/>
        </w:rPr>
        <w:t>libertycti.com</w:t>
      </w:r>
      <w:r>
        <w:rPr>
          <w:rFonts w:ascii="Georgia" w:hAnsi="Georgia"/>
          <w:b w:val="0"/>
          <w:i w:val="0"/>
          <w:color w:val="142233"/>
          <w:sz w:val="21"/>
        </w:rPr>
        <w:t xml:space="preserve"> — ATB-2026-13 — 7 June 2026</w:t>
        <w:br/>
        <w:t xml:space="preserve"> </w:t>
      </w:r>
    </w:p>
    <w:p>
      <w:pPr>
        <w:spacing w:after="160"/>
        <w:jc w:val="center"/>
      </w:pPr>
      <w:r>
        <w:rPr>
          <w:rFonts w:ascii="Georgia" w:hAnsi="Georgia"/>
          <w:b w:val="0"/>
          <w:i w:val="0"/>
          <w:color w:val="5C5C5C"/>
          <w:sz w:val="16"/>
        </w:rPr>
        <w:t>© 2026 Liberty CTI LLC. All rights reserved. The Alamo Threat Brief and its original analysis may not be reproduced or redistributed without permission.</w:t>
      </w:r>
    </w:p>
    <w:p>
      <w:pPr>
        <w:spacing w:after="160"/>
        <w:jc w:val="center"/>
      </w:pPr>
      <w:r>
        <w:rPr>
          <w:rFonts w:ascii="Georgia" w:hAnsi="Georgia"/>
          <w:b w:val="0"/>
          <w:i w:val="0"/>
          <w:color w:val="5C5C5C"/>
          <w:sz w:val="16"/>
        </w:rPr>
        <w:t xml:space="preserve">Liberty CTI assessments reflect analytical judgments based on information available at the time of publication. Forecasts and warning judgments involve uncertainty and may change as new information becomes available. The Alamo Threat Brief provides intelligence decision support and does not constitute legal, financial, investment, or technical cybersecurity advice. See </w:t>
      </w:r>
      <w:r>
        <w:rPr>
          <w:rFonts w:ascii="Georgia" w:hAnsi="Georgia"/>
          <w:b w:val="0"/>
          <w:i w:val="0"/>
          <w:color w:val="1F5C8C"/>
          <w:sz w:val="16"/>
          <w:u w:val="single"/>
        </w:rPr>
        <w:t>Terms of Use</w:t>
      </w:r>
      <w:r>
        <w:rPr>
          <w:rFonts w:ascii="Georgia" w:hAnsi="Georgia"/>
          <w:b w:val="0"/>
          <w:i w:val="0"/>
          <w:color w:val="5C5C5C"/>
          <w:sz w:val="16"/>
        </w:rPr>
        <w:t>.</w:t>
      </w:r>
    </w:p>
    <w:p>
      <w:pPr>
        <w:spacing w:after="160"/>
        <w:jc w:val="center"/>
      </w:pPr>
      <w:r>
        <w:rPr>
          <w:rFonts w:ascii="Georgia" w:hAnsi="Georgia"/>
          <w:b w:val="0"/>
          <w:i w:val="0"/>
          <w:color w:val="5C5C5C"/>
          <w:sz w:val="16"/>
        </w:rPr>
        <w:t>Third-party reporting cited in this brief remains the property of its respective owners; citation does not constitute endorsement. Liberty CTI’s original analytical judgments remain Liberty CTI intellectual property.</w:t>
      </w:r>
    </w:p>
    <w:p>
      <w:pPr>
        <w:spacing w:before="360"/>
        <w:jc w:val="center"/>
      </w:pPr>
      <w:r>
        <w:rPr>
          <w:color w:val="5C5C5C"/>
          <w:sz w:val="15"/>
        </w:rPr>
        <w:t>© 2026 Liberty CTI LLC. All rights reserved. The Alamo Threat Brief and its original analysis may not be reproduced or redistributed without permission. Alamo Threat Brief™ is a trademark of Liberty CTI LLC. This document is an archival companion to the published web issue and preserves the assessment as originally issued.</w:t>
      </w:r>
    </w:p>
    <w:sectPr w:rsidR="00FC693F" w:rsidRPr="0006063C" w:rsidSect="00034616">
      <w:headerReference w:type="default" r:id="rId9"/>
      <w:footerReference w:type="default" r:id="rId10"/>
      <w:pgSz w:w="12240" w:h="15840"/>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C5C5C"/>
        <w:sz w:val="15"/>
      </w:rPr>
      <w:t xml:space="preserve">OPEN SOURCE INTELLIGENCE   —   Page </w:t>
    </w:r>
    <w:r>
      <w:rPr>
        <w:color w:val="5C5C5C"/>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Calibri" w:hAnsi="Calibri"/>
        <w:color w:val="5C5C5C"/>
        <w:sz w:val="16"/>
      </w:rPr>
      <w:t>LIBERTY CTI  |  THE ALAMO THREAT BRIEF  |  ATB-2026-13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4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isa.gov/resources-tools/resources/cisa-and-partners-urge-hardening-automatic-tank-gauge-systems" TargetMode="External"/><Relationship Id="rId12" Type="http://schemas.openxmlformats.org/officeDocument/2006/relationships/hyperlink" Target="https://www.nsa.gov/Press-Room/Press-Releases-Statements/Press-Release-View/Article/4507204/" TargetMode="External"/><Relationship Id="rId13" Type="http://schemas.openxmlformats.org/officeDocument/2006/relationships/hyperlink" Target="https://www.cisa.gov/news-events/cybersecurity-advisories/aa26-097a" TargetMode="External"/><Relationship Id="rId14" Type="http://schemas.openxmlformats.org/officeDocument/2006/relationships/hyperlink" Target="https://www.cisa.gov/news-events/ics-advisories" TargetMode="External"/><Relationship Id="rId15" Type="http://schemas.openxmlformats.org/officeDocument/2006/relationships/hyperlink" Target="https://www.federalregister.gov/documents/2026/05/26/2026-10417/" TargetMode="External"/><Relationship Id="rId16" Type="http://schemas.openxmlformats.org/officeDocument/2006/relationships/hyperlink" Target="https://www.bls.gov/news.release/empsit.nr0.htm" TargetMode="External"/><Relationship Id="rId17" Type="http://schemas.openxmlformats.org/officeDocument/2006/relationships/hyperlink" Target="https://www.ercot.com/files/docs/2025/12/01/6.2-NOGRR282-Large-Electronic-Load-Ride-Through-Requirements-and-NPRR1308.pdf" TargetMode="External"/><Relationship Id="rId18" Type="http://schemas.openxmlformats.org/officeDocument/2006/relationships/hyperlink" Target="https://www.ercot.com/services/comm/mkt_notices/M-B062325-01" TargetMode="External"/><Relationship Id="rId19" Type="http://schemas.openxmlformats.org/officeDocument/2006/relationships/hyperlink" Target="https://dir.texas.gov/news/cybersecurity-functions-transition-texas-cyber-command" TargetMode="External"/><Relationship Id="rId20" Type="http://schemas.openxmlformats.org/officeDocument/2006/relationships/hyperlink" Target="https://www.fbi.gov" TargetMode="External"/><Relationship Id="rId21" Type="http://schemas.openxmlformats.org/officeDocument/2006/relationships/hyperlink" Target="https://www.eenews.net/articles/texas-advances-major-grid-rules-for-data-centers/" TargetMode="External"/><Relationship Id="rId22" Type="http://schemas.openxmlformats.org/officeDocument/2006/relationships/hyperlink" Target="https://www.trmlabs.com/resources/blog/north-korea-stole-76-of-all-crypto-hack-value-in-2026-with-just-two-attac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