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7A5A1E"/>
          <w:sz w:val="19"/>
        </w:rPr>
        <w:t>LIBERTY CYBER THREAT INTELLIGENCE</w:t>
      </w:r>
    </w:p>
    <w:p>
      <w:pPr>
        <w:spacing w:after="80"/>
        <w:jc w:val="center"/>
      </w:pPr>
      <w:r>
        <w:rPr>
          <w:rFonts w:ascii="Calibri" w:hAnsi="Calibri"/>
          <w:b/>
          <w:color w:val="142233"/>
          <w:sz w:val="48"/>
        </w:rPr>
        <w:t>THE ALAMO THREAT BRIEF™</w:t>
      </w:r>
    </w:p>
    <w:p>
      <w:pPr>
        <w:spacing w:after="200"/>
        <w:jc w:val="center"/>
      </w:pPr>
      <w:r>
        <w:rPr>
          <w:rFonts w:ascii="Consolas" w:hAnsi="Consolas"/>
          <w:color w:val="5C5C5C"/>
          <w:sz w:val="16"/>
        </w:rPr>
        <w:t>OPEN SOURCE INTELLIGENCE</w:t>
      </w:r>
    </w:p>
    <w:tbl>
      <w:tblPr>
        <w:tblW w:type="auto" w:w="0"/>
        <w:jc w:val="center"/>
        <w:tblLook w:firstColumn="1" w:firstRow="1" w:lastColumn="0" w:lastRow="0" w:noHBand="0" w:noVBand="1" w:val="04A0"/>
      </w:tblPr>
      <w:tblGrid>
        <w:gridCol w:w="1928"/>
        <w:gridCol w:w="7200"/>
      </w:tblGrid>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ISSUE</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ATB-2026-19</w:t>
            </w:r>
          </w:p>
        </w:tc>
      </w:tr>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COVERAGE PERIOD</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12–18 JULY 2026</w:t>
            </w:r>
          </w:p>
        </w:tc>
      </w:tr>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PUBLICATION DATE</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2026-07-18</w:t>
            </w:r>
          </w:p>
        </w:tc>
      </w:tr>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DOMINANT JUDGMENT</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BASIC HYGIENE IS THE BATTLESPACE</w:t>
            </w:r>
          </w:p>
        </w:tc>
      </w:tr>
    </w:tbl>
    <w:p>
      <w:pPr>
        <w:spacing w:after="80"/>
      </w:pPr>
    </w:p>
    <w:p>
      <w:pPr>
        <w:jc w:val="center"/>
      </w:pPr>
      <w:r>
        <w:rPr>
          <w:i/>
          <w:color w:val="5C5C5C"/>
          <w:sz w:val="20"/>
        </w:rPr>
        <w:t>Executive decision intelligence for Texas critical infrastructure.</w:t>
      </w:r>
    </w:p>
    <w:p>
      <w:pPr>
        <w:pBdr>
          <w:bottom w:val="single" w:sz="10" w:space="4" w:color="A67C2E"/>
        </w:pBdr>
        <w:spacing w:after="200"/>
      </w:pPr>
    </w:p>
    <w:p>
      <w:pPr>
        <w:spacing w:before="160" w:after="40"/>
      </w:pPr>
      <w:r>
        <w:rPr>
          <w:b/>
          <w:color w:val="7A5A1E"/>
          <w:sz w:val="20"/>
        </w:rPr>
        <w:t>Board Implications This Week — Ask</w:t>
      </w:r>
    </w:p>
    <w:p>
      <w:pPr>
        <w:spacing w:after="40"/>
      </w:pPr>
      <w:r>
        <w:rPr>
          <w:rFonts w:ascii="Georgia" w:hAnsi="Georgia"/>
          <w:b w:val="0"/>
          <w:i w:val="0"/>
          <w:color w:val="142233"/>
          <w:sz w:val="19"/>
        </w:rPr>
        <w:t>Can we name, right now, the one person who owns our list of internet-connected network equipment, and the one person who owns handling an outside security report? “IT handles it” is not a real answer.</w:t>
      </w:r>
    </w:p>
    <w:p>
      <w:pPr>
        <w:spacing w:before="160" w:after="40"/>
      </w:pPr>
      <w:r>
        <w:rPr>
          <w:b/>
          <w:color w:val="7A5A1E"/>
          <w:sz w:val="20"/>
        </w:rPr>
        <w:t>Board Implications This Week — Direct</w:t>
      </w:r>
    </w:p>
    <w:p>
      <w:pPr>
        <w:spacing w:after="40"/>
      </w:pPr>
      <w:r>
        <w:rPr>
          <w:rFonts w:ascii="Georgia" w:hAnsi="Georgia"/>
          <w:b w:val="0"/>
          <w:i w:val="0"/>
          <w:color w:val="142233"/>
          <w:sz w:val="19"/>
        </w:rPr>
        <w:t>Order a count of every router, firewall, and remote-access device connected to the internet this week, and confirm who has the authority to unplug one if it’s found compromised.</w:t>
      </w:r>
    </w:p>
    <w:p>
      <w:pPr>
        <w:spacing w:before="160" w:after="40"/>
      </w:pPr>
      <w:r>
        <w:rPr>
          <w:b/>
          <w:color w:val="7A5A1E"/>
          <w:sz w:val="20"/>
        </w:rPr>
        <w:t>Board Implications This Week — Document</w:t>
      </w:r>
    </w:p>
    <w:p>
      <w:pPr>
        <w:spacing w:after="40"/>
      </w:pPr>
      <w:r>
        <w:rPr>
          <w:rFonts w:ascii="Georgia" w:hAnsi="Georgia"/>
          <w:b w:val="0"/>
          <w:i w:val="0"/>
          <w:color w:val="142233"/>
          <w:sz w:val="19"/>
        </w:rPr>
        <w:t>Keep a written, dated record of who checked what and decided what — a paper trail showing leadership actually looked at this problem, with names attached.</w:t>
      </w:r>
    </w:p>
    <w:p>
      <w:pPr>
        <w:spacing w:before="160" w:after="40"/>
      </w:pPr>
      <w:r>
        <w:rPr>
          <w:b/>
          <w:color w:val="7A5A1E"/>
          <w:sz w:val="20"/>
        </w:rPr>
        <w:t>Board Implications This Week — Rehearse</w:t>
      </w:r>
    </w:p>
    <w:p>
      <w:pPr>
        <w:spacing w:after="40"/>
      </w:pPr>
      <w:r>
        <w:rPr>
          <w:rFonts w:ascii="Georgia" w:hAnsi="Georgia"/>
          <w:b w:val="0"/>
          <w:i w:val="0"/>
          <w:color w:val="142233"/>
          <w:sz w:val="19"/>
        </w:rPr>
        <w:t>Actually test your process for an outside person to report a security problem — don’t just publish an email address and assume it works. The federal government’s own version of that address didn’t work.</w:t>
      </w:r>
    </w:p>
    <w:p>
      <w:pPr>
        <w:spacing w:after="160"/>
      </w:pPr>
      <w:r>
        <w:rPr>
          <w:rFonts w:ascii="Georgia" w:hAnsi="Georgia"/>
          <w:b w:val="0"/>
          <w:i w:val="0"/>
          <w:color w:val="142233"/>
          <w:sz w:val="21"/>
        </w:rPr>
        <w:t>Section I</w:t>
      </w:r>
    </w:p>
    <w:p>
      <w:pPr>
        <w:spacing w:before="320" w:after="120"/>
        <w:pBdr>
          <w:bottom w:val="single" w:sz="6" w:space="4" w:color="A67C2E"/>
        </w:pBdr>
      </w:pPr>
      <w:r>
        <w:rPr>
          <w:rFonts w:ascii="Calibri" w:hAnsi="Calibri"/>
          <w:b/>
          <w:color w:val="7A5A1E"/>
          <w:sz w:val="27"/>
        </w:rPr>
        <w:t>What Changed This Week</w:t>
      </w:r>
    </w:p>
    <w:p>
      <w:pPr>
        <w:spacing w:before="200" w:after="120"/>
      </w:pPr>
      <w:r>
        <w:rPr>
          <w:rFonts w:ascii="Calibri" w:hAnsi="Calibri"/>
          <w:b/>
          <w:color w:val="142233"/>
          <w:sz w:val="23"/>
        </w:rPr>
        <w:t>Russian Intelligence Exploited Routers Left With Factory Passwords</w:t>
      </w:r>
    </w:p>
    <w:p>
      <w:pPr>
        <w:spacing w:after="160"/>
      </w:pPr>
      <w:r>
        <w:rPr>
          <w:rFonts w:ascii="Georgia" w:hAnsi="Georgia"/>
          <w:b w:val="0"/>
          <w:i w:val="0"/>
          <w:color w:val="142233"/>
          <w:sz w:val="21"/>
        </w:rPr>
        <w:t xml:space="preserve">On </w:t>
      </w:r>
      <w:r>
        <w:rPr>
          <w:rFonts w:ascii="Georgia" w:hAnsi="Georgia"/>
          <w:b/>
          <w:i w:val="0"/>
          <w:color w:val="142233"/>
          <w:sz w:val="21"/>
        </w:rPr>
        <w:t>13 July 2026</w:t>
      </w:r>
      <w:r>
        <w:rPr>
          <w:rFonts w:ascii="Georgia" w:hAnsi="Georgia"/>
          <w:b w:val="0"/>
          <w:i w:val="0"/>
          <w:color w:val="142233"/>
          <w:sz w:val="21"/>
        </w:rPr>
        <w:t>, the NSA, CISA, the FBI, and 19 partner agencies across 13 countries published a joint warning: Russian government hackers — the FSB, Russia’s intelligence service — have spent years breaking into routers and network equipment simply by trying the default password the device shipped with, then quietly copying the device’s settings to a remote server. No hacking tool, no malware, no sophistication required — just an unlocked door. The industries named directly include phone and internet providers, defense contractors, power companies, banks, government offices, and hospitals.</w:t>
      </w:r>
    </w:p>
    <w:p>
      <w:pPr>
        <w:spacing w:before="200" w:after="120"/>
      </w:pPr>
      <w:r>
        <w:rPr>
          <w:rFonts w:ascii="Calibri" w:hAnsi="Calibri"/>
          <w:b/>
          <w:color w:val="142233"/>
          <w:sz w:val="23"/>
        </w:rPr>
        <w:t>A Second, Separate Attack Hit Remote-Access Equipment</w:t>
      </w:r>
    </w:p>
    <w:p>
      <w:pPr>
        <w:spacing w:after="160"/>
      </w:pPr>
      <w:r>
        <w:rPr>
          <w:rFonts w:ascii="Georgia" w:hAnsi="Georgia"/>
          <w:b w:val="0"/>
          <w:i w:val="0"/>
          <w:color w:val="142233"/>
          <w:sz w:val="21"/>
        </w:rPr>
        <w:t xml:space="preserve">On </w:t>
      </w:r>
      <w:r>
        <w:rPr>
          <w:rFonts w:ascii="Georgia" w:hAnsi="Georgia"/>
          <w:b/>
          <w:i w:val="0"/>
          <w:color w:val="142233"/>
          <w:sz w:val="21"/>
        </w:rPr>
        <w:t>14 July 2026</w:t>
      </w:r>
      <w:r>
        <w:rPr>
          <w:rFonts w:ascii="Georgia" w:hAnsi="Georgia"/>
          <w:b w:val="0"/>
          <w:i w:val="0"/>
          <w:color w:val="142233"/>
          <w:sz w:val="21"/>
        </w:rPr>
        <w:t>, SonicWall — a maker of equipment many businesses use to let employees connect securely from home — confirmed that attackers were actively exploiting a serious flaw in that equipment, letting them take full control of the device. This is a different, unrelated attacker from the Russian router campaign above. The significance: two separate attackers, in the same week, both got in through the same kind of weak spot — equipment sitting on the edge of the network that wasn’t locked down.</w:t>
      </w:r>
    </w:p>
    <w:p>
      <w:pPr>
        <w:spacing w:before="200" w:after="120"/>
      </w:pPr>
      <w:r>
        <w:rPr>
          <w:rFonts w:ascii="Calibri" w:hAnsi="Calibri"/>
          <w:b/>
          <w:color w:val="142233"/>
          <w:sz w:val="23"/>
        </w:rPr>
        <w:t>Feds Charged the Landlords Behind Major Ransomware Gangs</w:t>
      </w:r>
    </w:p>
    <w:p>
      <w:pPr>
        <w:spacing w:after="160"/>
      </w:pPr>
      <w:r>
        <w:rPr>
          <w:rFonts w:ascii="Georgia" w:hAnsi="Georgia"/>
          <w:b w:val="0"/>
          <w:i w:val="0"/>
          <w:color w:val="142233"/>
          <w:sz w:val="21"/>
        </w:rPr>
        <w:t xml:space="preserve">On </w:t>
      </w:r>
      <w:r>
        <w:rPr>
          <w:rFonts w:ascii="Georgia" w:hAnsi="Georgia"/>
          <w:b/>
          <w:i w:val="0"/>
          <w:color w:val="142233"/>
          <w:sz w:val="21"/>
        </w:rPr>
        <w:t>14 July 2026</w:t>
      </w:r>
      <w:r>
        <w:rPr>
          <w:rFonts w:ascii="Georgia" w:hAnsi="Georgia"/>
          <w:b w:val="0"/>
          <w:i w:val="0"/>
          <w:color w:val="142233"/>
          <w:sz w:val="21"/>
        </w:rPr>
        <w:t>, the Department of Justice charged three Russian nationals and two Russia-based companies with running what security professionals call “bulletproof hosting” — essentially, renting out server space to criminals and refusing to shut it down no matter who complains, the internet equivalent of a landlord who rents rooms to a crime ring and looks the other way. This hosting operation is tied to more than $62 million in losses and supported several of the ransomware gangs behind major hospital, school, and bank attacks over the past few years.</w:t>
      </w:r>
    </w:p>
    <w:p>
      <w:pPr>
        <w:spacing w:before="200" w:after="120"/>
      </w:pPr>
      <w:r>
        <w:rPr>
          <w:rFonts w:ascii="Calibri" w:hAnsi="Calibri"/>
          <w:b/>
          <w:color w:val="142233"/>
          <w:sz w:val="23"/>
        </w:rPr>
        <w:t>The Government Told Everyone to Fix a Problem It Had Just Failed at Itself</w:t>
      </w:r>
    </w:p>
    <w:p>
      <w:pPr>
        <w:spacing w:after="160"/>
      </w:pPr>
      <w:r>
        <w:rPr>
          <w:rFonts w:ascii="Georgia" w:hAnsi="Georgia"/>
          <w:b w:val="0"/>
          <w:i w:val="0"/>
          <w:color w:val="142233"/>
          <w:sz w:val="21"/>
        </w:rPr>
        <w:t xml:space="preserve">On </w:t>
      </w:r>
      <w:r>
        <w:rPr>
          <w:rFonts w:ascii="Georgia" w:hAnsi="Georgia"/>
          <w:b/>
          <w:i w:val="0"/>
          <w:color w:val="142233"/>
          <w:sz w:val="21"/>
        </w:rPr>
        <w:t>15 July 2026</w:t>
      </w:r>
      <w:r>
        <w:rPr>
          <w:rFonts w:ascii="Georgia" w:hAnsi="Georgia"/>
          <w:b w:val="0"/>
          <w:i w:val="0"/>
          <w:color w:val="142233"/>
          <w:sz w:val="21"/>
        </w:rPr>
        <w:t>, CISA and several international partners published guidance telling organizations to set up a real, working process for outside security researchers to report problems. Six days earlier, CISA admitted that a researcher who found the agency’s own cloud passwords sitting exposed online had to send nine emails, with no response, before anyone at CISA acted. In its own words, the agency’s reporting channels “were not well defined.” It is a real-world example, at the highest level, of exactly the mistake the new guidance is meant to prevent.</w:t>
      </w:r>
    </w:p>
    <w:p>
      <w:pPr>
        <w:spacing w:before="200" w:after="120"/>
      </w:pPr>
      <w:r>
        <w:rPr>
          <w:rFonts w:ascii="Calibri" w:hAnsi="Calibri"/>
          <w:b/>
          <w:color w:val="142233"/>
          <w:sz w:val="23"/>
        </w:rPr>
        <w:t>Iran-U.S. Conflict Escalation — Background, Not a New Cyber Finding</w:t>
      </w:r>
    </w:p>
    <w:p>
      <w:pPr>
        <w:spacing w:after="160"/>
      </w:pPr>
      <w:r>
        <w:rPr>
          <w:rFonts w:ascii="Georgia" w:hAnsi="Georgia"/>
          <w:b w:val="0"/>
          <w:i w:val="0"/>
          <w:color w:val="142233"/>
          <w:sz w:val="21"/>
        </w:rPr>
        <w:t xml:space="preserve">U.S. military officials confirmed two American service members killed in Jordan on </w:t>
      </w:r>
      <w:r>
        <w:rPr>
          <w:rFonts w:ascii="Georgia" w:hAnsi="Georgia"/>
          <w:b/>
          <w:i w:val="0"/>
          <w:color w:val="142233"/>
          <w:sz w:val="21"/>
        </w:rPr>
        <w:t>17 July</w:t>
      </w:r>
      <w:r>
        <w:rPr>
          <w:rFonts w:ascii="Georgia" w:hAnsi="Georgia"/>
          <w:b w:val="0"/>
          <w:i w:val="0"/>
          <w:color w:val="142233"/>
          <w:sz w:val="21"/>
        </w:rPr>
        <w:t xml:space="preserve"> and a third killed in Iraq on </w:t>
      </w:r>
      <w:r>
        <w:rPr>
          <w:rFonts w:ascii="Georgia" w:hAnsi="Georgia"/>
          <w:b/>
          <w:i w:val="0"/>
          <w:color w:val="142233"/>
          <w:sz w:val="21"/>
        </w:rPr>
        <w:t>18–19 July</w:t>
      </w:r>
      <w:r>
        <w:rPr>
          <w:rFonts w:ascii="Georgia" w:hAnsi="Georgia"/>
          <w:b w:val="0"/>
          <w:i w:val="0"/>
          <w:color w:val="142233"/>
          <w:sz w:val="21"/>
        </w:rPr>
        <w:t>, with a fourth death still being confirmed. This is a serious escalation of the U.S.-Iran conflict we flagged last issue, and it makes an Iranian cyberattack somewhat more likely as a matter of motive. But motive is not evidence — nothing this week points to an actual Iranian cyberattack against U.S. infrastructure, so we are not raising our threat rating on that specific question yet.</w:t>
      </w:r>
    </w:p>
    <w:p>
      <w:pPr>
        <w:spacing w:after="160"/>
      </w:pPr>
      <w:r>
        <w:rPr>
          <w:rFonts w:ascii="Georgia" w:hAnsi="Georgia"/>
          <w:b w:val="0"/>
          <w:i w:val="0"/>
          <w:color w:val="142233"/>
          <w:sz w:val="21"/>
        </w:rPr>
        <w:t>Section II</w:t>
      </w:r>
    </w:p>
    <w:p>
      <w:pPr>
        <w:spacing w:before="320" w:after="120"/>
        <w:pBdr>
          <w:bottom w:val="single" w:sz="6" w:space="4" w:color="A67C2E"/>
        </w:pBdr>
      </w:pPr>
      <w:r>
        <w:rPr>
          <w:rFonts w:ascii="Calibri" w:hAnsi="Calibri"/>
          <w:b/>
          <w:color w:val="7A5A1E"/>
          <w:sz w:val="27"/>
        </w:rPr>
        <w:t>Key Judgments</w:t>
      </w:r>
    </w:p>
    <w:p>
      <w:pPr>
        <w:spacing w:after="40" w:before="200"/>
      </w:pPr>
      <w:r>
        <w:rPr>
          <w:rFonts w:ascii="Calibri" w:hAnsi="Calibri"/>
          <w:b/>
          <w:color w:val="1F5C8C"/>
          <w:sz w:val="19"/>
        </w:rPr>
        <w:t xml:space="preserve">KJ-1  </w:t>
      </w:r>
      <w:r>
        <w:rPr>
          <w:rFonts w:ascii="Georgia" w:hAnsi="Georgia"/>
          <w:b w:val="0"/>
          <w:i w:val="0"/>
          <w:color w:val="142233"/>
          <w:sz w:val="21"/>
        </w:rPr>
        <w:br/>
        <w:t xml:space="preserve"> Russian government hackers will keep breaking into routers and network equipment that still have factory-default settings, and Texas organizations with older equipment or informal IT management carry the same risk demonstrated this week. </w:t>
      </w:r>
      <w:r>
        <w:rPr>
          <w:rFonts w:ascii="Consolas" w:hAnsi="Consolas"/>
          <w:b w:val="0"/>
          <w:i w:val="0"/>
          <w:color w:val="7A5A1E"/>
          <w:sz w:val="16"/>
        </w:rPr>
        <w:t>HIGH CONFIDENCE</w:t>
      </w:r>
      <w:r>
        <w:br/>
      </w:r>
      <w:r>
        <w:br/>
      </w:r>
      <w:r>
        <w:br/>
      </w:r>
    </w:p>
    <w:p>
      <w:pPr>
        <w:spacing w:after="40"/>
        <w:ind w:left="283"/>
      </w:pPr>
      <w:r>
        <w:rPr>
          <w:i/>
          <w:color w:val="5C5C5C"/>
          <w:sz w:val="18"/>
        </w:rPr>
        <w:t>Source basis / uncertainty: Source basis: CISA/NSA/FBI/DC3 joint advisory AA26-194A, 13 July 2026, co-signed by 19 agencies across 13 countries; same-day CISA Known Exploited Vulnerabilities catalog addition. Technical detail: unauthenticated SNMPv1/v2 default community-string abuse against public-facing router management interfaces, followed by TFTP-based configuration exfiltration — no CVE or malware required. Primary uncertainty: no confirmed Texas-named victim identified in open reporting this week; Texas-specific exposure is an analytic extrapolation from sector targeting, not a confirmed intrusion.</w:t>
      </w:r>
    </w:p>
    <w:p>
      <w:pPr>
        <w:spacing w:after="120"/>
        <w:ind w:left="283"/>
      </w:pPr>
      <w:r>
        <w:rPr>
          <w:color w:val="7A5A1E"/>
          <w:sz w:val="19"/>
        </w:rPr>
        <w:t>Decision implication: Decision Implication: This week, get a list of every router and network device your company owns that can be reached from the internet. Confirm someone has permission to shut one off immediately if it’s found compromised, even if it’s in daily use.</w:t>
      </w:r>
    </w:p>
    <w:p>
      <w:pPr>
        <w:spacing w:after="40" w:before="200"/>
      </w:pPr>
      <w:r>
        <w:rPr>
          <w:rFonts w:ascii="Calibri" w:hAnsi="Calibri"/>
          <w:b/>
          <w:color w:val="1F5C8C"/>
          <w:sz w:val="19"/>
        </w:rPr>
        <w:t xml:space="preserve">KJ-2  </w:t>
      </w:r>
      <w:r>
        <w:rPr>
          <w:rFonts w:ascii="Georgia" w:hAnsi="Georgia"/>
          <w:b w:val="0"/>
          <w:i w:val="0"/>
          <w:color w:val="142233"/>
          <w:sz w:val="21"/>
        </w:rPr>
        <w:br/>
        <w:t xml:space="preserve"> The weak point isn’t routers alone — it’s any piece of equipment that sits on the edge of the network and connects to the internet, including the systems employees use for remote access. A second, unrelated attacker proved this the same week by breaking into different equipment the same way. </w:t>
      </w:r>
      <w:r>
        <w:rPr>
          <w:rFonts w:ascii="Consolas" w:hAnsi="Consolas"/>
          <w:b w:val="0"/>
          <w:i w:val="0"/>
          <w:color w:val="7A5A1E"/>
          <w:sz w:val="16"/>
        </w:rPr>
        <w:t>HIGH CONFIDENCE</w:t>
      </w:r>
      <w:r>
        <w:br/>
      </w:r>
      <w:r>
        <w:br/>
      </w:r>
      <w:r>
        <w:br/>
      </w:r>
    </w:p>
    <w:p>
      <w:pPr>
        <w:spacing w:after="40"/>
        <w:ind w:left="283"/>
      </w:pPr>
      <w:r>
        <w:rPr>
          <w:i/>
          <w:color w:val="5C5C5C"/>
          <w:sz w:val="18"/>
        </w:rPr>
        <w:t>Source basis / uncertainty: Source basis: SonicWall PSIRT advisory SNWLID-2026-0008, 14 July 2026, covering CVE-2026-15409 (unauthenticated SSRF, CVSS 10.0) and CVE-2026-15410 (post-authentication code injection); CISA KEV catalog addition, 14 July 2026, under BOD 26-04. Primary uncertainty: no attribution to a specific threat actor or group has been published for this exploitation; treat as criminal or unknown-actor activity, distinct from the Russian government attribution in KJ-1.</w:t>
      </w:r>
    </w:p>
    <w:p>
      <w:pPr>
        <w:spacing w:after="120"/>
        <w:ind w:left="283"/>
      </w:pPr>
      <w:r>
        <w:rPr>
          <w:color w:val="7A5A1E"/>
          <w:sz w:val="19"/>
        </w:rPr>
        <w:t>Decision implication: Decision Implication: Extend this week’s equipment inventory beyond routers to include any remote-access or VPN equipment. If your company uses SonicWall SMA1000 devices, update or disconnect them now — don’t wait for the next maintenance window.</w:t>
      </w:r>
    </w:p>
    <w:p>
      <w:pPr>
        <w:spacing w:after="40" w:before="200"/>
      </w:pPr>
      <w:r>
        <w:rPr>
          <w:rFonts w:ascii="Calibri" w:hAnsi="Calibri"/>
          <w:b/>
          <w:color w:val="1F5C8C"/>
          <w:sz w:val="19"/>
        </w:rPr>
        <w:t xml:space="preserve">KJ-3  </w:t>
      </w:r>
      <w:r>
        <w:rPr>
          <w:rFonts w:ascii="Georgia" w:hAnsi="Georgia"/>
          <w:b w:val="0"/>
          <w:i w:val="0"/>
          <w:color w:val="142233"/>
          <w:sz w:val="21"/>
        </w:rPr>
        <w:br/>
        <w:t xml:space="preserve"> Having a security-contact email posted on a website is not the same as having a working process. Organizations that haven’t actually tested how an outside report reaches a real decision-maker are at risk of the same failure that just happened to the federal government itself. </w:t>
      </w:r>
      <w:r>
        <w:rPr>
          <w:rFonts w:ascii="Consolas" w:hAnsi="Consolas"/>
          <w:b w:val="0"/>
          <w:i w:val="0"/>
          <w:color w:val="7A5A1E"/>
          <w:sz w:val="16"/>
        </w:rPr>
        <w:t>HIGH CONFIDENCE</w:t>
      </w:r>
      <w:r>
        <w:br/>
      </w:r>
      <w:r>
        <w:br/>
      </w:r>
      <w:r>
        <w:br/>
      </w:r>
    </w:p>
    <w:p>
      <w:pPr>
        <w:spacing w:after="40"/>
        <w:ind w:left="283"/>
      </w:pPr>
      <w:r>
        <w:rPr>
          <w:i/>
          <w:color w:val="5C5C5C"/>
          <w:sz w:val="18"/>
        </w:rPr>
        <w:t>Source basis / uncertainty: Source basis: CISA/NSA/JPCERT/NCSC-NL/NCSC-UK joint guidance on coordinated vulnerability disclosure programs, 15 July 2026; CISA’s own disclosure of its GovCloud-key incident, reported 9 July 2026. Primary uncertainty: this is a directly observed governance pattern at CISA itself, not an inference about adversary behavior; whether the pattern is widespread among Texas critical infrastructure operators remains an assessment pending client verification.</w:t>
      </w:r>
    </w:p>
    <w:p>
      <w:pPr>
        <w:spacing w:after="120"/>
        <w:ind w:left="283"/>
      </w:pPr>
      <w:r>
        <w:rPr>
          <w:color w:val="7A5A1E"/>
          <w:sz w:val="19"/>
        </w:rPr>
        <w:t>Decision implication: Decision Implication: This week, confirm your organization has a security-contact address, and actually send it a test message to see how long it takes a real person to respond. If nobody answers within a day or two, that’s the gap CISA just demonstrated.</w:t>
      </w:r>
    </w:p>
    <w:p>
      <w:pPr>
        <w:spacing w:after="40" w:before="200"/>
      </w:pPr>
      <w:r>
        <w:rPr>
          <w:rFonts w:ascii="Calibri" w:hAnsi="Calibri"/>
          <w:b/>
          <w:color w:val="1F5C8C"/>
          <w:sz w:val="19"/>
        </w:rPr>
        <w:t xml:space="preserve">KJ-4  </w:t>
      </w:r>
      <w:r>
        <w:rPr>
          <w:rFonts w:ascii="Georgia" w:hAnsi="Georgia"/>
          <w:b w:val="0"/>
          <w:i w:val="0"/>
          <w:color w:val="142233"/>
          <w:sz w:val="21"/>
        </w:rPr>
        <w:br/>
        <w:t xml:space="preserve"> Carried forward from ATB-2026-17/18: Iran likely still wants to retaliate against U.S. infrastructure with a cyberattack, and this week’s combat deaths make that motive stronger — but there is still no evidence an actual cyberattack has happened. </w:t>
      </w:r>
      <w:r>
        <w:rPr>
          <w:rFonts w:ascii="Consolas" w:hAnsi="Consolas"/>
          <w:b w:val="0"/>
          <w:i w:val="0"/>
          <w:color w:val="7A5A1E"/>
          <w:sz w:val="16"/>
        </w:rPr>
        <w:t>MODERATE CONFIDENCE, UNCHANGED</w:t>
      </w:r>
      <w:r>
        <w:br/>
      </w:r>
      <w:r>
        <w:br/>
      </w:r>
      <w:r>
        <w:br/>
      </w:r>
    </w:p>
    <w:p>
      <w:pPr>
        <w:spacing w:after="40"/>
        <w:ind w:left="283"/>
      </w:pPr>
      <w:r>
        <w:rPr>
          <w:i/>
          <w:color w:val="5C5C5C"/>
          <w:sz w:val="18"/>
        </w:rPr>
        <w:t>Source basis / uncertainty: Source basis: CENTCOM statements reported by CNN, NPR, Axios, Stars and Stripes, and Al Jazeera, 17–19 July 2026 (multi-source wire reporting, high reliability on the kinetic fact). Primary uncertainty: no CISA/FBI/NSA advisory or named-victim disclosure has corroborated Iranian cyber intensification — the specific evidence needed to raise this assessment remains outstanding. This is the fourth consecutive issue without that confirming evidence.</w:t>
      </w:r>
    </w:p>
    <w:p>
      <w:pPr>
        <w:spacing w:after="120"/>
        <w:ind w:left="283"/>
      </w:pPr>
      <w:r>
        <w:rPr>
          <w:color w:val="7A5A1E"/>
          <w:sz w:val="19"/>
        </w:rPr>
        <w:t>Decision implication: Decision Implication: No change to your security posture is required based on this week’s combat news alone. Keep your existing precautions in place around industrial systems and vendor connections — don’t relax them because the news feels quieter, and don’t tighten them further based on battlefield news that hasn’t produced any actual cyber evidence.</w:t>
      </w:r>
    </w:p>
    <w:p>
      <w:pPr>
        <w:spacing w:after="160"/>
      </w:pPr>
      <w:r>
        <w:rPr>
          <w:rFonts w:ascii="Georgia" w:hAnsi="Georgia"/>
          <w:b w:val="0"/>
          <w:i w:val="0"/>
          <w:color w:val="142233"/>
          <w:sz w:val="21"/>
        </w:rPr>
        <w:t>Section III</w:t>
      </w:r>
    </w:p>
    <w:p>
      <w:pPr>
        <w:spacing w:before="320" w:after="120"/>
        <w:pBdr>
          <w:bottom w:val="single" w:sz="6" w:space="4" w:color="A67C2E"/>
        </w:pBdr>
      </w:pPr>
      <w:r>
        <w:rPr>
          <w:rFonts w:ascii="Calibri" w:hAnsi="Calibri"/>
          <w:b/>
          <w:color w:val="7A5A1E"/>
          <w:sz w:val="27"/>
        </w:rPr>
        <w:t>Geopolitical Driver</w:t>
      </w:r>
    </w:p>
    <w:p>
      <w:pPr>
        <w:spacing w:after="160"/>
      </w:pPr>
      <w:r>
        <w:rPr>
          <w:rFonts w:ascii="Georgia" w:hAnsi="Georgia"/>
          <w:b w:val="0"/>
          <w:i w:val="0"/>
          <w:color w:val="142233"/>
          <w:sz w:val="21"/>
        </w:rPr>
        <w:t>Two different countries are creating risk right now, but on very different levels of certainty, and it’s important not to blur them together. Russia’s router campaign is proven — confirmed by 19 government agencies with technical detail to back it up. The likely goal is quiet, long-term access they can use later, not an immediate attack. Iran is the opposite case: the real-world conflict is confirmed and getting worse, but no one has shown evidence of an actual Iranian cyberattack yet. Treating both threats the same way would be a mistake in either direction — underestimating what Russia has already proven it can do, or overreacting to an Iranian cyberattack that, so far, hasn’t happened.</w:t>
      </w:r>
    </w:p>
    <w:p>
      <w:pPr>
        <w:spacing w:after="160"/>
      </w:pPr>
      <w:r>
        <w:rPr>
          <w:rFonts w:ascii="Georgia" w:hAnsi="Georgia"/>
          <w:b w:val="0"/>
          <w:i w:val="0"/>
          <w:color w:val="142233"/>
          <w:sz w:val="21"/>
        </w:rPr>
        <w:t>Section IV</w:t>
      </w:r>
    </w:p>
    <w:p>
      <w:pPr>
        <w:spacing w:before="320" w:after="120"/>
        <w:pBdr>
          <w:bottom w:val="single" w:sz="6" w:space="4" w:color="A67C2E"/>
        </w:pBdr>
      </w:pPr>
      <w:r>
        <w:rPr>
          <w:rFonts w:ascii="Calibri" w:hAnsi="Calibri"/>
          <w:b/>
          <w:color w:val="7A5A1E"/>
          <w:sz w:val="27"/>
        </w:rPr>
        <w:t>Why This Matters to Texas</w:t>
      </w:r>
    </w:p>
    <w:p>
      <w:pPr>
        <w:spacing w:after="160"/>
      </w:pPr>
      <w:r>
        <w:rPr>
          <w:rFonts w:ascii="Georgia" w:hAnsi="Georgia"/>
          <w:b w:val="0"/>
          <w:i w:val="0"/>
          <w:color w:val="142233"/>
          <w:sz w:val="21"/>
        </w:rPr>
        <w:t>The equipment named in this week’s warnings — routers, remote-access boxes, VPN equipment — sits underneath every sector Texas leadership tracks, but it’s rarely discussed at the board level because it’s treated as an IT detail rather than a business risk. This week says that framing is wrong: three separate incidents, three different attackers, one shared weak spot.</w:t>
      </w:r>
    </w:p>
    <w:p>
      <w:pPr>
        <w:spacing w:before="320" w:after="120"/>
        <w:pBdr>
          <w:bottom w:val="single" w:sz="6" w:space="4" w:color="A67C2E"/>
        </w:pBdr>
      </w:pPr>
      <w:r>
        <w:rPr>
          <w:rFonts w:ascii="Calibri" w:hAnsi="Calibri"/>
          <w:b/>
          <w:color w:val="7A5A1E"/>
          <w:sz w:val="27"/>
        </w:rPr>
        <w:t>Cross-Sector Cascade Assessment</w:t>
      </w:r>
    </w:p>
    <w:tbl>
      <w:tblPr>
        <w:tblW w:type="auto" w:w="0"/>
        <w:jc w:val="center"/>
        <w:tblLook w:firstColumn="1" w:firstRow="1" w:lastColumn="0" w:lastRow="0" w:noHBand="0" w:noVBand="1" w:val="04A0"/>
      </w:tblPr>
      <w:tblGrid>
        <w:gridCol w:w="1814"/>
        <w:gridCol w:w="7370"/>
      </w:tblGrid>
      <w:tr>
        <w:tc>
          <w:tcPr>
            <w:tcW w:type="dxa" w:w="4873"/>
            <w:shd w:val="clear" w:fill="EAF0F6"/>
            <w:tcBorders>
              <w:top w:val="single" w:sz="4" w:color="CCCCCC"/>
              <w:left w:val="single" w:sz="4" w:color="CCCCCC"/>
              <w:bottom w:val="single" w:sz="4" w:color="CCCCCC"/>
              <w:right w:val="single" w:sz="4" w:color="CCCCCC"/>
            </w:tcBorders>
          </w:tcPr>
          <w:p>
            <w:r>
              <w:rPr>
                <w:rFonts w:ascii="Calibri" w:hAnsi="Calibri"/>
                <w:b/>
                <w:color w:val="1F5C8C"/>
                <w:sz w:val="18"/>
              </w:rPr>
              <w:t>Energy Power / Vendor Connections</w:t>
            </w:r>
          </w:p>
        </w:tc>
        <w:tc>
          <w:tcPr>
            <w:tcW w:type="dxa" w:w="4873"/>
            <w:tcBorders>
              <w:top w:val="single" w:sz="4" w:color="CCCCCC"/>
              <w:left w:val="single" w:sz="4" w:color="CCCCCC"/>
              <w:bottom w:val="single" w:sz="4" w:color="CCCCCC"/>
              <w:right w:val="single" w:sz="4" w:color="CCCCCC"/>
            </w:tcBorders>
          </w:tcPr>
          <w:p>
            <w:r>
              <w:br/>
            </w:r>
            <w:r>
              <w:rPr>
                <w:rFonts w:ascii="Georgia" w:hAnsi="Georgia"/>
                <w:b/>
                <w:i w:val="0"/>
                <w:color w:val="142233"/>
                <w:sz w:val="19"/>
              </w:rPr>
              <w:t>What changed:</w:t>
            </w:r>
            <w:r>
              <w:rPr>
                <w:rFonts w:ascii="Georgia" w:hAnsi="Georgia"/>
                <w:b w:val="0"/>
                <w:i w:val="0"/>
                <w:color w:val="142233"/>
                <w:sz w:val="19"/>
              </w:rPr>
              <w:t xml:space="preserve"> The power sector is named directly in this week’s Russian router warning. </w:t>
            </w:r>
            <w:r>
              <w:rPr>
                <w:rFonts w:ascii="Georgia" w:hAnsi="Georgia"/>
                <w:b/>
                <w:i w:val="0"/>
                <w:color w:val="142233"/>
                <w:sz w:val="19"/>
              </w:rPr>
              <w:t>Why it matters locally:</w:t>
            </w:r>
            <w:r>
              <w:rPr>
                <w:rFonts w:ascii="Georgia" w:hAnsi="Georgia"/>
                <w:b w:val="0"/>
                <w:i w:val="0"/>
                <w:color w:val="142233"/>
                <w:sz w:val="19"/>
              </w:rPr>
              <w:t xml:space="preserve"> A compromised router or remote-access box can knock out the connections vendors and technicians use to monitor and respond to outages — without ever touching the actual power equipment. Texas energy companies should treat “who owns our network equipment list” as a board question this week, not an IT ticket. </w:t>
            </w:r>
            <w:r>
              <w:rPr>
                <w:rFonts w:ascii="Georgia" w:hAnsi="Georgia"/>
                <w:b/>
                <w:i w:val="0"/>
                <w:color w:val="142233"/>
                <w:sz w:val="19"/>
              </w:rPr>
              <w:t>Cascade risk:</w:t>
            </w:r>
            <w:r>
              <w:rPr>
                <w:rFonts w:ascii="Georgia" w:hAnsi="Georgia"/>
                <w:b w:val="0"/>
                <w:i w:val="0"/>
                <w:color w:val="142233"/>
                <w:sz w:val="19"/>
              </w:rPr>
              <w:t xml:space="preserve"> A power disruption ripples into hospitals, banks, and shipping within hours.</w:t>
              <w:br/>
              <w:t xml:space="preserve"> </w:t>
            </w:r>
          </w:p>
        </w:tc>
      </w:tr>
      <w:tr>
        <w:tc>
          <w:tcPr>
            <w:tcW w:type="dxa" w:w="4873"/>
            <w:shd w:val="clear" w:fill="EAF0F6"/>
            <w:tcBorders>
              <w:top w:val="single" w:sz="4" w:color="CCCCCC"/>
              <w:left w:val="single" w:sz="4" w:color="CCCCCC"/>
              <w:bottom w:val="single" w:sz="4" w:color="CCCCCC"/>
              <w:right w:val="single" w:sz="4" w:color="CCCCCC"/>
            </w:tcBorders>
          </w:tcPr>
          <w:p>
            <w:r>
              <w:rPr>
                <w:rFonts w:ascii="Calibri" w:hAnsi="Calibri"/>
                <w:b/>
                <w:color w:val="1F5C8C"/>
                <w:sz w:val="18"/>
              </w:rPr>
              <w:t>Financial Branch Networks / Vendor Risk</w:t>
            </w:r>
          </w:p>
        </w:tc>
        <w:tc>
          <w:tcPr>
            <w:tcW w:type="dxa" w:w="4873"/>
            <w:tcBorders>
              <w:top w:val="single" w:sz="4" w:color="CCCCCC"/>
              <w:left w:val="single" w:sz="4" w:color="CCCCCC"/>
              <w:bottom w:val="single" w:sz="4" w:color="CCCCCC"/>
              <w:right w:val="single" w:sz="4" w:color="CCCCCC"/>
            </w:tcBorders>
          </w:tcPr>
          <w:p>
            <w:r>
              <w:br/>
            </w:r>
            <w:r>
              <w:rPr>
                <w:rFonts w:ascii="Georgia" w:hAnsi="Georgia"/>
                <w:b/>
                <w:i w:val="0"/>
                <w:color w:val="142233"/>
                <w:sz w:val="19"/>
              </w:rPr>
              <w:t>What changed:</w:t>
            </w:r>
            <w:r>
              <w:rPr>
                <w:rFonts w:ascii="Georgia" w:hAnsi="Georgia"/>
                <w:b w:val="0"/>
                <w:i w:val="0"/>
                <w:color w:val="142233"/>
                <w:sz w:val="19"/>
              </w:rPr>
              <w:t xml:space="preserve"> Banking is named directly in the Russian router warning; the same week, federal charges confirmed banks were among the victims of the ransomware gangs tied to the indicted hosting operation. </w:t>
            </w:r>
            <w:r>
              <w:rPr>
                <w:rFonts w:ascii="Georgia" w:hAnsi="Georgia"/>
                <w:b/>
                <w:i w:val="0"/>
                <w:color w:val="142233"/>
                <w:sz w:val="19"/>
              </w:rPr>
              <w:t>Why it matters locally:</w:t>
            </w:r>
            <w:r>
              <w:rPr>
                <w:rFonts w:ascii="Georgia" w:hAnsi="Georgia"/>
                <w:b w:val="0"/>
                <w:i w:val="0"/>
                <w:color w:val="142233"/>
                <w:sz w:val="19"/>
              </w:rPr>
              <w:t xml:space="preserve"> This is a double exposure — a foreign government and criminal ransomware gangs are both exploiting the same kind of weak spot. </w:t>
            </w:r>
            <w:r>
              <w:rPr>
                <w:rFonts w:ascii="Georgia" w:hAnsi="Georgia"/>
                <w:b/>
                <w:i w:val="0"/>
                <w:color w:val="142233"/>
                <w:sz w:val="19"/>
              </w:rPr>
              <w:t>Cascade risk:</w:t>
            </w:r>
            <w:r>
              <w:rPr>
                <w:rFonts w:ascii="Georgia" w:hAnsi="Georgia"/>
                <w:b w:val="0"/>
                <w:i w:val="0"/>
                <w:color w:val="142233"/>
                <w:sz w:val="19"/>
              </w:rPr>
              <w:t xml:space="preserve"> Leadership should pre-approve a plan to quickly disconnect a compromised branch or vendor connection without losing the records needed for a later investigation.</w:t>
              <w:br/>
              <w:t xml:space="preserve"> </w:t>
            </w:r>
          </w:p>
        </w:tc>
      </w:tr>
      <w:tr>
        <w:tc>
          <w:tcPr>
            <w:tcW w:type="dxa" w:w="4873"/>
            <w:shd w:val="clear" w:fill="EAF0F6"/>
            <w:tcBorders>
              <w:top w:val="single" w:sz="4" w:color="CCCCCC"/>
              <w:left w:val="single" w:sz="4" w:color="CCCCCC"/>
              <w:bottom w:val="single" w:sz="4" w:color="CCCCCC"/>
              <w:right w:val="single" w:sz="4" w:color="CCCCCC"/>
            </w:tcBorders>
          </w:tcPr>
          <w:p>
            <w:r>
              <w:rPr>
                <w:rFonts w:ascii="Calibri" w:hAnsi="Calibri"/>
                <w:b/>
                <w:color w:val="1F5C8C"/>
                <w:sz w:val="18"/>
              </w:rPr>
              <w:t>Healthcare / Defense Contractors / AI Continuity / Suppliers</w:t>
            </w:r>
          </w:p>
        </w:tc>
        <w:tc>
          <w:tcPr>
            <w:tcW w:type="dxa" w:w="4873"/>
            <w:tcBorders>
              <w:top w:val="single" w:sz="4" w:color="CCCCCC"/>
              <w:left w:val="single" w:sz="4" w:color="CCCCCC"/>
              <w:bottom w:val="single" w:sz="4" w:color="CCCCCC"/>
              <w:right w:val="single" w:sz="4" w:color="CCCCCC"/>
            </w:tcBorders>
          </w:tcPr>
          <w:p>
            <w:r>
              <w:br/>
            </w:r>
            <w:r>
              <w:rPr>
                <w:rFonts w:ascii="Georgia" w:hAnsi="Georgia"/>
                <w:b/>
                <w:i w:val="0"/>
                <w:color w:val="142233"/>
                <w:sz w:val="19"/>
              </w:rPr>
              <w:t>Healthcare:</w:t>
            </w:r>
            <w:r>
              <w:rPr>
                <w:rFonts w:ascii="Georgia" w:hAnsi="Georgia"/>
                <w:b w:val="0"/>
                <w:i w:val="0"/>
                <w:color w:val="142233"/>
                <w:sz w:val="19"/>
              </w:rPr>
              <w:t xml:space="preserve"> Named in the Russian router warning and among this week’s federal indictment victims. Hospitals often rely on outside IT vendors and can’t easily tolerate downtime, which makes this exposure worse. </w:t>
            </w:r>
            <w:r>
              <w:rPr>
                <w:rFonts w:ascii="Georgia" w:hAnsi="Georgia"/>
                <w:b/>
                <w:i w:val="0"/>
                <w:color w:val="142233"/>
                <w:sz w:val="19"/>
              </w:rPr>
              <w:t>Defense contractors:</w:t>
            </w:r>
            <w:r>
              <w:rPr>
                <w:rFonts w:ascii="Georgia" w:hAnsi="Georgia"/>
                <w:b w:val="0"/>
                <w:i w:val="0"/>
                <w:color w:val="142233"/>
                <w:sz w:val="19"/>
              </w:rPr>
              <w:t xml:space="preserve"> Also named directly. Smaller Texas-based suppliers with lean security teams are the likely weak link in the defense supply chain — a leadership and staffing gap fixable this week with a simple equipment count, not an expensive new purchase. </w:t>
            </w:r>
            <w:r>
              <w:rPr>
                <w:rFonts w:ascii="Georgia" w:hAnsi="Georgia"/>
                <w:b/>
                <w:i w:val="0"/>
                <w:color w:val="142233"/>
                <w:sz w:val="19"/>
              </w:rPr>
              <w:t>Cascade risk:</w:t>
            </w:r>
            <w:r>
              <w:rPr>
                <w:rFonts w:ascii="Georgia" w:hAnsi="Georgia"/>
                <w:b w:val="0"/>
                <w:i w:val="0"/>
                <w:color w:val="142233"/>
                <w:sz w:val="19"/>
              </w:rPr>
              <w:t xml:space="preserve"> A hospital outage creates immediate patient-safety risk; a defense-supplier outage creates contract and national-security risk.</w:t>
              <w:br/>
              <w:t xml:space="preserve"> </w:t>
            </w:r>
          </w:p>
        </w:tc>
      </w:tr>
    </w:tbl>
    <w:p>
      <w:pPr>
        <w:spacing w:after="120"/>
      </w:pPr>
    </w:p>
    <w:p>
      <w:pPr>
        <w:spacing w:after="160"/>
      </w:pPr>
      <w:r>
        <w:rPr>
          <w:rFonts w:ascii="Georgia" w:hAnsi="Georgia"/>
          <w:b w:val="0"/>
          <w:i w:val="0"/>
          <w:color w:val="142233"/>
          <w:sz w:val="21"/>
        </w:rPr>
        <w:t>Section V</w:t>
      </w:r>
    </w:p>
    <w:p>
      <w:pPr>
        <w:spacing w:before="320" w:after="120"/>
        <w:pBdr>
          <w:bottom w:val="single" w:sz="6" w:space="4" w:color="A67C2E"/>
        </w:pBdr>
      </w:pPr>
      <w:r>
        <w:rPr>
          <w:rFonts w:ascii="Calibri" w:hAnsi="Calibri"/>
          <w:b/>
          <w:color w:val="7A5A1E"/>
          <w:sz w:val="27"/>
        </w:rPr>
        <w:t>Indicators &amp; Warnings — What We’re Watching, Next 1 to 4 Weeks</w:t>
      </w:r>
    </w:p>
    <w:p>
      <w:pPr>
        <w:spacing w:before="160" w:after="40"/>
      </w:pPr>
      <w:r>
        <w:rPr>
          <w:b/>
          <w:color w:val="1F5C8C"/>
          <w:sz w:val="18"/>
        </w:rPr>
        <w:t xml:space="preserve">PIR 2 / IND 1  </w:t>
      </w:r>
      <w:r>
        <w:rPr>
          <w:b/>
          <w:color w:val="142233"/>
          <w:sz w:val="20"/>
        </w:rPr>
        <w:t>Actual proof of an Iranian cyberattack — not just motive</w:t>
      </w:r>
      <w:r>
        <w:rPr>
          <w:i/>
          <w:color w:val="7A5A1E"/>
          <w:sz w:val="18"/>
        </w:rPr>
        <w:t xml:space="preserve">   [↑ Rising]</w:t>
      </w:r>
    </w:p>
    <w:p>
      <w:pPr>
        <w:spacing w:after="40"/>
        <w:ind w:left="283"/>
      </w:pPr>
      <w:r>
        <w:rPr>
          <w:color w:val="142233"/>
          <w:sz w:val="19"/>
        </w:rPr>
        <w:t>→ We’re watching for a federal government warning, or a company publicly confirming it was hit, that specifically names Iran as the attacker.</w:t>
      </w:r>
    </w:p>
    <w:p>
      <w:pPr>
        <w:spacing w:after="40"/>
        <w:ind w:left="283"/>
      </w:pPr>
      <w:r>
        <w:rPr>
          <w:color w:val="142233"/>
          <w:sz w:val="19"/>
        </w:rPr>
        <w:t>→ That’s the specific evidence that would move our Iran assessment (KJ-4) from a “probably wants to” to a “confirmed doing it.”</w:t>
      </w:r>
    </w:p>
    <w:p>
      <w:pPr>
        <w:spacing w:after="40"/>
        <w:ind w:left="283"/>
      </w:pPr>
      <w:r>
        <w:rPr>
          <w:color w:val="142233"/>
          <w:sz w:val="19"/>
        </w:rPr>
        <w:t>→ Tied to: PIR 2, cross-sector risk.</w:t>
      </w:r>
    </w:p>
    <w:p>
      <w:pPr>
        <w:spacing w:before="160" w:after="40"/>
      </w:pPr>
      <w:r>
        <w:rPr>
          <w:b/>
          <w:color w:val="1F5C8C"/>
          <w:sz w:val="18"/>
        </w:rPr>
        <w:t xml:space="preserve">PIR 1 / IND 2  </w:t>
      </w:r>
      <w:r>
        <w:rPr>
          <w:b/>
          <w:color w:val="142233"/>
          <w:sz w:val="20"/>
        </w:rPr>
        <w:t>A Texas company or agency named as a victim of either this week’s router campaign or the SonicWall attack</w:t>
      </w:r>
      <w:r>
        <w:rPr>
          <w:i/>
          <w:color w:val="7A5A1E"/>
          <w:sz w:val="18"/>
        </w:rPr>
        <w:t xml:space="preserve">   [↑ Rising]</w:t>
      </w:r>
    </w:p>
    <w:p>
      <w:pPr>
        <w:spacing w:after="40"/>
        <w:ind w:left="283"/>
      </w:pPr>
      <w:r>
        <w:rPr>
          <w:color w:val="142233"/>
          <w:sz w:val="19"/>
        </w:rPr>
        <w:t>→ We’re watching for any breach notification or advisory that names a specific Texas organization.</w:t>
      </w:r>
    </w:p>
    <w:p>
      <w:pPr>
        <w:spacing w:after="40"/>
        <w:ind w:left="283"/>
      </w:pPr>
      <w:r>
        <w:rPr>
          <w:color w:val="142233"/>
          <w:sz w:val="19"/>
        </w:rPr>
        <w:t>→ That would turn this week’s general warning (KJ-1, KJ-2) into a confirmed, local problem.</w:t>
      </w:r>
    </w:p>
    <w:p>
      <w:pPr>
        <w:spacing w:after="40"/>
        <w:ind w:left="283"/>
      </w:pPr>
      <w:r>
        <w:rPr>
          <w:color w:val="142233"/>
          <w:sz w:val="19"/>
        </w:rPr>
        <w:t>→ Tied to: PIR 1, targeting of Texas organizations specifically.</w:t>
      </w:r>
    </w:p>
    <w:p>
      <w:pPr>
        <w:spacing w:before="160" w:after="40"/>
      </w:pPr>
      <w:r>
        <w:rPr>
          <w:b/>
          <w:color w:val="1F5C8C"/>
          <w:sz w:val="18"/>
        </w:rPr>
        <w:t xml:space="preserve">PIR 4 / IND 3  </w:t>
      </w:r>
      <w:r>
        <w:rPr>
          <w:b/>
          <w:color w:val="142233"/>
          <w:sz w:val="20"/>
        </w:rPr>
        <w:t>Whether the ransomware gangs find a new landlord</w:t>
      </w:r>
      <w:r>
        <w:rPr>
          <w:i/>
          <w:color w:val="7A5A1E"/>
          <w:sz w:val="18"/>
        </w:rPr>
        <w:t xml:space="preserve">   [→ Sustained]</w:t>
      </w:r>
    </w:p>
    <w:p>
      <w:pPr>
        <w:spacing w:after="40"/>
        <w:ind w:left="283"/>
      </w:pPr>
      <w:r>
        <w:rPr>
          <w:color w:val="142233"/>
          <w:sz w:val="19"/>
        </w:rPr>
        <w:t>→ We’re watching to see whether the ransomware gangs affected by this week’s federal charges simply move to new hosting providers.</w:t>
      </w:r>
    </w:p>
    <w:p>
      <w:pPr>
        <w:spacing w:after="40"/>
        <w:ind w:left="283"/>
      </w:pPr>
      <w:r>
        <w:rPr>
          <w:color w:val="142233"/>
          <w:sz w:val="19"/>
        </w:rPr>
        <w:t>→ Would tell us whether the charges actually disrupted them, or were just an inconvenience.</w:t>
      </w:r>
    </w:p>
    <w:p>
      <w:pPr>
        <w:spacing w:after="40"/>
        <w:ind w:left="283"/>
      </w:pPr>
      <w:r>
        <w:rPr>
          <w:color w:val="142233"/>
          <w:sz w:val="19"/>
        </w:rPr>
        <w:t>→ Tied to: PIR 4, criminal infrastructure resilience.</w:t>
      </w:r>
    </w:p>
    <w:p>
      <w:pPr>
        <w:spacing w:before="160" w:after="40"/>
      </w:pPr>
      <w:r>
        <w:rPr>
          <w:b/>
          <w:color w:val="1F5C8C"/>
          <w:sz w:val="18"/>
        </w:rPr>
        <w:t xml:space="preserve">PIR 6 / IND 4  </w:t>
      </w:r>
      <w:r>
        <w:rPr>
          <w:b/>
          <w:color w:val="142233"/>
          <w:sz w:val="20"/>
        </w:rPr>
        <w:t>Whether another organization repeats CISA’s mistake</w:t>
      </w:r>
      <w:r>
        <w:rPr>
          <w:i/>
          <w:color w:val="7A5A1E"/>
          <w:sz w:val="18"/>
        </w:rPr>
        <w:t xml:space="preserve">   [→ Sustained]</w:t>
      </w:r>
    </w:p>
    <w:p>
      <w:pPr>
        <w:spacing w:after="40"/>
        <w:ind w:left="283"/>
      </w:pPr>
      <w:r>
        <w:rPr>
          <w:color w:val="142233"/>
          <w:sz w:val="19"/>
        </w:rPr>
        <w:t>→ We’re watching for another case where a security researcher’s warning gets ignored or mishandled at a company or agency.</w:t>
      </w:r>
    </w:p>
    <w:p>
      <w:pPr>
        <w:spacing w:after="40"/>
        <w:ind w:left="283"/>
      </w:pPr>
      <w:r>
        <w:rPr>
          <w:color w:val="142233"/>
          <w:sz w:val="19"/>
        </w:rPr>
        <w:t>→ Would tell us whether this week’s failure was a one-time slip at CISA, or a widespread problem.</w:t>
      </w:r>
    </w:p>
    <w:p>
      <w:pPr>
        <w:spacing w:after="40"/>
        <w:ind w:left="283"/>
      </w:pPr>
      <w:r>
        <w:rPr>
          <w:color w:val="142233"/>
          <w:sz w:val="19"/>
        </w:rPr>
        <w:t>→ Tied to: PIR 6, leadership-relevant governance warning.</w:t>
      </w:r>
    </w:p>
    <w:p>
      <w:pPr>
        <w:spacing w:before="160" w:after="40"/>
      </w:pPr>
      <w:r>
        <w:rPr>
          <w:b/>
          <w:color w:val="1F5C8C"/>
          <w:sz w:val="18"/>
        </w:rPr>
        <w:t xml:space="preserve">PIR 3 / IND 5  </w:t>
      </w:r>
      <w:r>
        <w:rPr>
          <w:b/>
          <w:color w:val="142233"/>
          <w:sz w:val="20"/>
        </w:rPr>
        <w:t>Whether the Iran conflict spreads to places tied to Texas business</w:t>
      </w:r>
      <w:r>
        <w:rPr>
          <w:i/>
          <w:color w:val="7A5A1E"/>
          <w:sz w:val="18"/>
        </w:rPr>
        <w:t xml:space="preserve">   [↑ Rising]</w:t>
      </w:r>
    </w:p>
    <w:p>
      <w:pPr>
        <w:spacing w:after="40"/>
        <w:ind w:left="283"/>
      </w:pPr>
      <w:r>
        <w:rPr>
          <w:color w:val="142233"/>
          <w:sz w:val="19"/>
        </w:rPr>
        <w:t>→ We’re watching for strikes on Middle East infrastructure connected to Texas energy exports or defense contractors — a desalination plant in Kuwait has already been hit twice this week.</w:t>
      </w:r>
    </w:p>
    <w:p>
      <w:pPr>
        <w:spacing w:after="40"/>
        <w:ind w:left="283"/>
      </w:pPr>
      <w:r>
        <w:rPr>
          <w:color w:val="142233"/>
          <w:sz w:val="19"/>
        </w:rPr>
        <w:t>→ This would raise the urgency of the Iran story, though not by itself change our cyberattack confidence level in KJ-4.</w:t>
      </w:r>
    </w:p>
    <w:p>
      <w:pPr>
        <w:spacing w:after="40"/>
        <w:ind w:left="283"/>
      </w:pPr>
      <w:r>
        <w:rPr>
          <w:color w:val="142233"/>
          <w:sz w:val="19"/>
        </w:rPr>
        <w:t>→ Tied to: PIR 3 and PIR 7, escalation and conflict-driven cyber risk.</w:t>
      </w:r>
    </w:p>
    <w:p>
      <w:pPr>
        <w:spacing w:after="160"/>
      </w:pPr>
      <w:r>
        <w:rPr>
          <w:rFonts w:ascii="Georgia" w:hAnsi="Georgia"/>
          <w:b w:val="0"/>
          <w:i w:val="0"/>
          <w:color w:val="142233"/>
          <w:sz w:val="21"/>
        </w:rPr>
        <w:t>Section VI</w:t>
      </w:r>
    </w:p>
    <w:p>
      <w:pPr>
        <w:spacing w:before="320" w:after="120"/>
        <w:pBdr>
          <w:bottom w:val="single" w:sz="6" w:space="4" w:color="A67C2E"/>
        </w:pBdr>
      </w:pPr>
      <w:r>
        <w:rPr>
          <w:rFonts w:ascii="Calibri" w:hAnsi="Calibri"/>
          <w:b/>
          <w:color w:val="7A5A1E"/>
          <w:sz w:val="27"/>
        </w:rPr>
        <w:t>Governance Implication Block</w:t>
      </w:r>
    </w:p>
    <w:tbl>
      <w:tblPr>
        <w:tblW w:type="auto" w:w="0"/>
        <w:jc w:val="center"/>
        <w:tblLayout w:type="fixed"/>
        <w:tblLook w:firstColumn="1" w:firstRow="1" w:lastColumn="0" w:lastRow="0" w:noHBand="0" w:noVBand="1" w:val="04A0"/>
      </w:tblPr>
      <w:tblGrid>
        <w:gridCol w:w="2041"/>
        <w:gridCol w:w="7087"/>
      </w:tblGrid>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Decision at risk</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Whether your organization can name, in writing, one person who owns the list of internet-connected network equipment, and one person who owns handling an outside security report. Both gaps caused every incident described in this issue — including the federal government’s own.</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Owner</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Chief Information Security Officer, or whoever runs IT infrastructure, with the board’s risk committee kept in the loop given how many sectors this week’s warnings named.</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Consequence of delay</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An unlocked digital door stays open at the exact moment a second country’s motive to retaliate is getting stronger — and there’s no clear way for an outside researcher or partner to warn you about a problem before it becomes public.</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Action this week</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Count every router, firewall, and remote-access device connected to the internet, SonicWall SMA1000 devices included. Confirm who can disconnect one immediately. Test your security-contact process — don’t just publish it.</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Record to preserve</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A dated, named record of who reviewed this week’s warnings and what they decided about each piece of equipment found exposed. Proof that your security-contact process was actually tested, not just posted online.</w:t>
            </w:r>
          </w:p>
        </w:tc>
      </w:tr>
    </w:tbl>
    <w:p>
      <w:pPr>
        <w:spacing w:after="120"/>
      </w:pPr>
    </w:p>
    <w:p>
      <w:pPr>
        <w:spacing w:after="160"/>
      </w:pPr>
      <w:r>
        <w:rPr>
          <w:rFonts w:ascii="Georgia" w:hAnsi="Georgia"/>
          <w:b w:val="0"/>
          <w:i w:val="0"/>
          <w:color w:val="142233"/>
          <w:sz w:val="21"/>
        </w:rPr>
        <w:t>Section VII</w:t>
      </w:r>
    </w:p>
    <w:p>
      <w:pPr>
        <w:spacing w:before="320" w:after="120"/>
        <w:pBdr>
          <w:bottom w:val="single" w:sz="6" w:space="4" w:color="A67C2E"/>
        </w:pBdr>
      </w:pPr>
      <w:r>
        <w:rPr>
          <w:rFonts w:ascii="Calibri" w:hAnsi="Calibri"/>
          <w:b/>
          <w:color w:val="7A5A1E"/>
          <w:sz w:val="27"/>
        </w:rPr>
        <w:t>Actions This Week</w:t>
      </w:r>
    </w:p>
    <w:p>
      <w:pPr>
        <w:spacing w:after="160"/>
      </w:pPr>
      <w:r>
        <w:rPr>
          <w:rFonts w:ascii="Georgia" w:hAnsi="Georgia"/>
          <w:b w:val="0"/>
          <w:i w:val="0"/>
          <w:color w:val="142233"/>
          <w:sz w:val="21"/>
        </w:rPr>
        <w:t>Section VIII</w:t>
      </w:r>
    </w:p>
    <w:p>
      <w:pPr>
        <w:spacing w:before="320" w:after="120"/>
        <w:pBdr>
          <w:bottom w:val="single" w:sz="6" w:space="4" w:color="A67C2E"/>
        </w:pBdr>
      </w:pPr>
      <w:r>
        <w:rPr>
          <w:rFonts w:ascii="Calibri" w:hAnsi="Calibri"/>
          <w:b/>
          <w:color w:val="7A5A1E"/>
          <w:sz w:val="27"/>
        </w:rPr>
        <w:t>Prior Judgment Tracker</w:t>
      </w:r>
    </w:p>
    <w:tbl>
      <w:tblPr>
        <w:tblW w:type="auto" w:w="0"/>
        <w:jc w:val="center"/>
        <w:tblLayout w:type="fixed"/>
        <w:tblLook w:firstColumn="1" w:firstRow="1" w:lastColumn="0" w:lastRow="0" w:noHBand="0" w:noVBand="1" w:val="04A0"/>
      </w:tblPr>
      <w:tblGrid>
        <w:gridCol w:w="2041"/>
        <w:gridCol w:w="7087"/>
      </w:tblGrid>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Prior judgment</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Last issue (ATB-2026-18), we said Iran’s cyber-retaliation risk was “probably wants to but hasn’t yet,” and named “further U.S.-Iran fighting” as the specific event that would push us to treat this as an active crisis for Gulf-connected Texas industries.</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Current status</w:t>
            </w:r>
          </w:p>
        </w:tc>
        <w:tc>
          <w:tcPr>
            <w:tcW w:type="dxa" w:w="4873"/>
            <w:tcBorders>
              <w:top w:val="single" w:sz="4" w:color="CCCCCC"/>
              <w:left w:val="single" w:sz="4" w:color="CCCCCC"/>
              <w:bottom w:val="single" w:sz="4" w:color="CCCCCC"/>
              <w:right w:val="single" w:sz="4" w:color="CCCCCC"/>
            </w:tcBorders>
          </w:tcPr>
          <w:p>
            <w:r>
              <w:rPr>
                <w:rFonts w:ascii="Georgia" w:hAnsi="Georgia"/>
                <w:b/>
                <w:i w:val="0"/>
                <w:color w:val="142233"/>
                <w:sz w:val="19"/>
              </w:rPr>
              <w:t>That event happened.</w:t>
            </w:r>
            <w:r>
              <w:rPr>
                <w:rFonts w:ascii="Georgia" w:hAnsi="Georgia"/>
                <w:b w:val="0"/>
                <w:i w:val="0"/>
                <w:color w:val="142233"/>
                <w:sz w:val="19"/>
              </w:rPr>
              <w:t xml:space="preserve"> The U.S. military confirmed three American combat deaths in Jordan and Iraq this week, with a fourth pending confirmation. The fighting itself is confirmed and serious. But the specific thing we said would raise our cyberattack confidence — actual evidence of an Iranian cyberattack — still hasn’t shown up. We’re holding the line on that distinction this week.</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What changed</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The bigger story this week wasn’t Iran. It was three separate, unrelated incidents — the Russian router campaign, the SonicWall attack, and the federal government’s own security-reporting failure — all pointing to the same root problem: basic equipment and process management.</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Confidence movement</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Three new high-confidence findings this issue, all about the equipment and process problem (KJ-1, KJ-2, KJ-3). The Iran cyberattack assessment (KJ-4) stays exactly where it was — we’re not letting dramatic battlefield news push up a cyber-risk number without actual cyber evidence.</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Next indicator</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A government warning or a confirmed victim naming Iran specifically is still what would change our Iran assessment. A Texas organization named as a victim of this week’s router or remote-access attacks would turn a general warning into a local, confirmed problem.</w:t>
            </w:r>
          </w:p>
        </w:tc>
      </w:tr>
    </w:tbl>
    <w:p>
      <w:pPr>
        <w:spacing w:after="120"/>
      </w:pPr>
    </w:p>
    <w:p>
      <w:pPr>
        <w:spacing w:after="160"/>
      </w:pPr>
      <w:r>
        <w:rPr>
          <w:rFonts w:ascii="Georgia" w:hAnsi="Georgia"/>
          <w:b w:val="0"/>
          <w:i w:val="0"/>
          <w:color w:val="142233"/>
          <w:sz w:val="21"/>
        </w:rPr>
        <w:t>Section IX — Sourcing</w:t>
      </w:r>
    </w:p>
    <w:p>
      <w:pPr>
        <w:spacing w:before="320" w:after="120"/>
        <w:pBdr>
          <w:bottom w:val="single" w:sz="6" w:space="4" w:color="A67C2E"/>
        </w:pBdr>
      </w:pPr>
      <w:r>
        <w:rPr>
          <w:rFonts w:ascii="Calibri" w:hAnsi="Calibri"/>
          <w:b/>
          <w:color w:val="7A5A1E"/>
          <w:sz w:val="27"/>
        </w:rPr>
        <w:t>Open Source Basis</w:t>
      </w:r>
    </w:p>
    <w:p>
      <w:pPr>
        <w:spacing w:before="200"/>
      </w:pPr>
      <w:r>
        <w:rPr>
          <w:rFonts w:ascii="Calibri" w:hAnsi="Calibri"/>
          <w:b/>
          <w:color w:val="1F5C8C"/>
          <w:sz w:val="18"/>
        </w:rPr>
        <w:t>PRIMARY SOURCES — ATB-2026-19 — COVERAGE WEEK 12–18 JULY 2026 AND CONTINUING BASELINE</w:t>
      </w:r>
    </w:p>
    <w:p>
      <w:pPr>
        <w:spacing w:before="120" w:after="20"/>
      </w:pPr>
      <w:r>
        <w:rPr>
          <w:rFonts w:ascii="Calibri" w:hAnsi="Calibri"/>
          <w:b/>
          <w:color w:val="7A5A1E"/>
          <w:sz w:val="15"/>
        </w:rPr>
        <w:t>GOVERNMENT / REGULATORY</w:t>
        <w:br/>
      </w:r>
      <w:r>
        <w:rPr>
          <w:b/>
          <w:color w:val="142233"/>
          <w:sz w:val="20"/>
        </w:rPr>
        <w:t>CISA/NSA/FBI/DC3 and 19 International Partners — Joint Advisory AA26-194A: Improve Router Hygiene to Protect Against Russian State-Sponsored Targeting</w:t>
      </w:r>
    </w:p>
    <w:p>
      <w:pPr>
        <w:spacing w:after="20"/>
      </w:pPr>
      <w:hyperlink r:id="rId11">
        <w:r>
          <w:rPr>
            <w:color w:val="1F5C8C"/>
            <w:u w:val="single"/>
            <w:sz w:val="17"/>
            <w:rFonts w:ascii="Consolas"/>
          </w:rPr>
          <w:t>cisa.gov/news-events/news/cisa-joins-nsa-fbi-dc3-and-international-partners-warning-russian-cyber-threat-activity-targeting</w:t>
        </w:r>
      </w:hyperlink>
    </w:p>
    <w:p>
      <w:pPr>
        <w:spacing w:after="40"/>
      </w:pPr>
      <w:r>
        <w:rPr>
          <w:i/>
          <w:color w:val="5C5C5C"/>
          <w:sz w:val="17"/>
        </w:rPr>
        <w:t>Published 13 July 2026. Primary basis for KJ-1, Dominant Judgment, and Section I.</w:t>
      </w:r>
    </w:p>
    <w:p>
      <w:pPr>
        <w:spacing w:before="120" w:after="20"/>
      </w:pPr>
      <w:r>
        <w:rPr>
          <w:rFonts w:ascii="Calibri" w:hAnsi="Calibri"/>
          <w:b/>
          <w:color w:val="7A5A1E"/>
          <w:sz w:val="15"/>
        </w:rPr>
        <w:t>GOVERNMENT / REGULATORY</w:t>
        <w:br/>
      </w:r>
      <w:r>
        <w:rPr>
          <w:b/>
          <w:color w:val="142233"/>
          <w:sz w:val="20"/>
        </w:rPr>
        <w:t>U.S. Department of Justice — Three Russian Nationals and Two Companies Indicted for International Cybercrimes Resulting in More Than $62M in Victim Losses</w:t>
      </w:r>
    </w:p>
    <w:p>
      <w:pPr>
        <w:spacing w:after="20"/>
      </w:pPr>
      <w:hyperlink r:id="rId12">
        <w:r>
          <w:rPr>
            <w:color w:val="1F5C8C"/>
            <w:u w:val="single"/>
            <w:sz w:val="17"/>
            <w:rFonts w:ascii="Consolas"/>
          </w:rPr>
          <w:t>justice.gov/opa/pr/three-russian-nationals-and-two-companies-indicted-international-cybercrimes-resulting-more</w:t>
        </w:r>
      </w:hyperlink>
    </w:p>
    <w:p>
      <w:pPr>
        <w:spacing w:after="40"/>
      </w:pPr>
      <w:r>
        <w:rPr>
          <w:i/>
          <w:color w:val="5C5C5C"/>
          <w:sz w:val="17"/>
        </w:rPr>
        <w:t>Unsealed 14 July 2026. Primary basis for Section I and Financial/Healthcare cross-sector implications.</w:t>
      </w:r>
    </w:p>
    <w:p>
      <w:pPr>
        <w:spacing w:before="120" w:after="20"/>
      </w:pPr>
      <w:r>
        <w:rPr>
          <w:rFonts w:ascii="Calibri" w:hAnsi="Calibri"/>
          <w:b/>
          <w:color w:val="7A5A1E"/>
          <w:sz w:val="15"/>
        </w:rPr>
        <w:t>GOVERNMENT / REGULATORY</w:t>
        <w:br/>
      </w:r>
      <w:r>
        <w:rPr>
          <w:b/>
          <w:color w:val="142233"/>
          <w:sz w:val="20"/>
        </w:rPr>
        <w:t>CISA — Known Exploited Vulnerabilities Catalog Addition: SonicWall SMA1000 (CVE-2026-15409, CVE-2026-15410)</w:t>
      </w:r>
    </w:p>
    <w:p>
      <w:pPr>
        <w:spacing w:after="20"/>
      </w:pPr>
      <w:hyperlink r:id="rId13">
        <w:r>
          <w:rPr>
            <w:color w:val="1F5C8C"/>
            <w:u w:val="single"/>
            <w:sz w:val="17"/>
            <w:rFonts w:ascii="Consolas"/>
          </w:rPr>
          <w:t>cisa.gov/news-events/alerts/2026/07/14/cisa-adds-four-known-exploited-vulnerabilities-catalog</w:t>
        </w:r>
      </w:hyperlink>
    </w:p>
    <w:p>
      <w:pPr>
        <w:spacing w:after="40"/>
      </w:pPr>
      <w:r>
        <w:rPr>
          <w:i/>
          <w:color w:val="5C5C5C"/>
          <w:sz w:val="17"/>
        </w:rPr>
        <w:t>Published 14 July 2026, under BOD 26-04. Primary basis for KJ-2.</w:t>
      </w:r>
    </w:p>
    <w:p>
      <w:pPr>
        <w:spacing w:before="120" w:after="20"/>
      </w:pPr>
      <w:r>
        <w:rPr>
          <w:rFonts w:ascii="Calibri" w:hAnsi="Calibri"/>
          <w:b/>
          <w:color w:val="7A5A1E"/>
          <w:sz w:val="15"/>
        </w:rPr>
        <w:t>VENDOR / PSIRT</w:t>
        <w:br/>
      </w:r>
      <w:r>
        <w:rPr>
          <w:b/>
          <w:color w:val="142233"/>
          <w:sz w:val="20"/>
        </w:rPr>
        <w:t>SonicWall — PSIRT Advisory SNWLID-2026-0008</w:t>
      </w:r>
    </w:p>
    <w:p>
      <w:pPr>
        <w:spacing w:after="20"/>
      </w:pPr>
      <w:hyperlink r:id="rId14">
        <w:r>
          <w:rPr>
            <w:color w:val="1F5C8C"/>
            <w:u w:val="single"/>
            <w:sz w:val="17"/>
            <w:rFonts w:ascii="Consolas"/>
          </w:rPr>
          <w:t>psirt.global.sonicwall.com/vuln-detail/SNWLID-2026-0008</w:t>
        </w:r>
      </w:hyperlink>
    </w:p>
    <w:p>
      <w:pPr>
        <w:spacing w:after="40"/>
      </w:pPr>
      <w:r>
        <w:rPr>
          <w:i/>
          <w:color w:val="5C5C5C"/>
          <w:sz w:val="17"/>
        </w:rPr>
        <w:t>Published 14 July 2026. Vendor-primary technical basis for KJ-2, including indicators of compromise.</w:t>
      </w:r>
    </w:p>
    <w:p>
      <w:pPr>
        <w:spacing w:before="120" w:after="20"/>
      </w:pPr>
      <w:r>
        <w:rPr>
          <w:rFonts w:ascii="Calibri" w:hAnsi="Calibri"/>
          <w:b/>
          <w:color w:val="7A5A1E"/>
          <w:sz w:val="15"/>
        </w:rPr>
        <w:t>GOVERNMENT / REGULATORY</w:t>
        <w:br/>
      </w:r>
      <w:r>
        <w:rPr>
          <w:b/>
          <w:color w:val="142233"/>
          <w:sz w:val="20"/>
        </w:rPr>
        <w:t>CISA/NSA/JPCERT/CC/NCSC-NL/NCSC-UK — Establishing a Coordinated Vulnerability Disclosure Program to Work With Security Researchers</w:t>
      </w:r>
    </w:p>
    <w:p>
      <w:pPr>
        <w:spacing w:after="20"/>
      </w:pPr>
      <w:hyperlink r:id="rId15">
        <w:r>
          <w:rPr>
            <w:color w:val="1F5C8C"/>
            <w:u w:val="single"/>
            <w:sz w:val="17"/>
            <w:rFonts w:ascii="Consolas"/>
          </w:rPr>
          <w:t>cisa.gov/news-events/news/cisa-and-partners-publish-guidance-help-software-manufacturers-and-online-service-providers-work</w:t>
        </w:r>
      </w:hyperlink>
    </w:p>
    <w:p>
      <w:pPr>
        <w:spacing w:after="40"/>
      </w:pPr>
      <w:r>
        <w:rPr>
          <w:i/>
          <w:color w:val="5C5C5C"/>
          <w:sz w:val="17"/>
        </w:rPr>
        <w:t>Published 15 July 2026. Primary basis for KJ-3 and Governance Implication Block.</w:t>
      </w:r>
    </w:p>
    <w:p>
      <w:pPr>
        <w:spacing w:before="120" w:after="20"/>
      </w:pPr>
      <w:r>
        <w:rPr>
          <w:rFonts w:ascii="Calibri" w:hAnsi="Calibri"/>
          <w:b/>
          <w:color w:val="7A5A1E"/>
          <w:sz w:val="15"/>
        </w:rPr>
        <w:t>TRADE PRESS</w:t>
        <w:br/>
      </w:r>
      <w:r>
        <w:rPr>
          <w:b/>
          <w:color w:val="142233"/>
          <w:sz w:val="20"/>
        </w:rPr>
        <w:t>Help Net Security — CISA folds its own hard-won lessons into coordinated vulnerability disclosure guidance</w:t>
      </w:r>
    </w:p>
    <w:p>
      <w:pPr>
        <w:spacing w:after="20"/>
      </w:pPr>
      <w:hyperlink r:id="rId16">
        <w:r>
          <w:rPr>
            <w:color w:val="1F5C8C"/>
            <w:u w:val="single"/>
            <w:sz w:val="17"/>
            <w:rFonts w:ascii="Consolas"/>
          </w:rPr>
          <w:t>helpnetsecurity.com/2026/07/16/cisa-coordinated-vulnerability-disclosure-guidance/</w:t>
        </w:r>
      </w:hyperlink>
    </w:p>
    <w:p>
      <w:pPr>
        <w:spacing w:after="40"/>
      </w:pPr>
      <w:r>
        <w:rPr>
          <w:i/>
          <w:color w:val="5C5C5C"/>
          <w:sz w:val="17"/>
        </w:rPr>
        <w:t>16 July 2026. Cited for the CISA GovCloud-key disclosure-failure case study only; underlying incident acknowledged directly by CISA’s Acting CIO and Acting CISO on 9 July.</w:t>
      </w:r>
    </w:p>
    <w:p>
      <w:pPr>
        <w:spacing w:before="120" w:after="20"/>
      </w:pPr>
      <w:r>
        <w:rPr>
          <w:rFonts w:ascii="Calibri" w:hAnsi="Calibri"/>
          <w:b/>
          <w:color w:val="7A5A1E"/>
          <w:sz w:val="15"/>
        </w:rPr>
        <w:t>WIRE / MAJOR MEDIA</w:t>
        <w:br/>
      </w:r>
      <w:r>
        <w:rPr>
          <w:b/>
          <w:color w:val="142233"/>
          <w:sz w:val="20"/>
        </w:rPr>
        <w:t>CNN, NPR, Axios, Stars and Stripes, Al Jazeera — U.S. service members killed in Jordan and Iraq</w:t>
      </w:r>
    </w:p>
    <w:p>
      <w:pPr>
        <w:spacing w:after="20"/>
      </w:pPr>
      <w:hyperlink r:id="rId17">
        <w:r>
          <w:rPr>
            <w:color w:val="1F5C8C"/>
            <w:u w:val="single"/>
            <w:sz w:val="17"/>
            <w:rFonts w:ascii="Consolas"/>
          </w:rPr>
          <w:t>cnn.com/2026/07/18/politics/iran-war-us-service-members-killed-jordan</w:t>
        </w:r>
      </w:hyperlink>
    </w:p>
    <w:p>
      <w:pPr>
        <w:spacing w:after="40"/>
      </w:pPr>
      <w:r>
        <w:rPr>
          <w:i/>
          <w:color w:val="5C5C5C"/>
          <w:sz w:val="17"/>
        </w:rPr>
        <w:t>17–19 July 2026. Multi-source, high reliability on the kinetic fact, corroborating CENTCOM statements. Cited for KJ-4 and Section I context only; not cited as evidence of Iranian cyber activity.</w:t>
      </w:r>
    </w:p>
    <w:p>
      <w:pPr>
        <w:spacing w:before="120" w:after="20"/>
      </w:pPr>
      <w:r>
        <w:rPr>
          <w:rFonts w:ascii="Calibri" w:hAnsi="Calibri"/>
          <w:b/>
          <w:color w:val="7A5A1E"/>
          <w:sz w:val="15"/>
        </w:rPr>
        <w:t>TRADE PRESS</w:t>
        <w:br/>
      </w:r>
      <w:r>
        <w:rPr>
          <w:b/>
          <w:color w:val="142233"/>
          <w:sz w:val="20"/>
        </w:rPr>
        <w:t>BleepingComputer, TechTimes — DOJ indictment reporting: named ransomware clients and victim sectors</w:t>
      </w:r>
    </w:p>
    <w:p>
      <w:pPr>
        <w:spacing w:after="20"/>
      </w:pPr>
      <w:hyperlink r:id="rId18">
        <w:r>
          <w:rPr>
            <w:color w:val="1F5C8C"/>
            <w:u w:val="single"/>
            <w:sz w:val="17"/>
            <w:rFonts w:ascii="Consolas"/>
          </w:rPr>
          <w:t>bleepingcomputer.com/news/security/us-charges-alleged-russian-bulletproof-hosting-service-operators/</w:t>
        </w:r>
      </w:hyperlink>
    </w:p>
    <w:p>
      <w:pPr>
        <w:spacing w:after="40"/>
      </w:pPr>
      <w:r>
        <w:rPr>
          <w:i/>
          <w:color w:val="5C5C5C"/>
          <w:sz w:val="17"/>
        </w:rPr>
        <w:t>14–16 July 2026. Cited for ransomware-group naming (LockBit, Cl0p, BlackSuit, Play) and hospital/school/bank victim detail supplementing the DOJ press release.</w:t>
      </w:r>
    </w:p>
    <w:p>
      <w:pPr>
        <w:pBdr>
          <w:bottom w:val="single" w:sz="4" w:space="4" w:color="CCCCCC"/>
        </w:pBdr>
      </w:pPr>
    </w:p>
    <w:p>
      <w:pPr>
        <w:spacing w:after="160"/>
      </w:pPr>
      <w:r>
        <w:rPr>
          <w:rFonts w:ascii="Georgia" w:hAnsi="Georgia"/>
          <w:b w:val="0"/>
          <w:i w:val="0"/>
          <w:color w:val="142233"/>
          <w:sz w:val="21"/>
        </w:rPr>
        <w:t xml:space="preserve">For tailored executive briefings or advisory retainer inquiries: </w:t>
      </w:r>
      <w:r>
        <w:rPr>
          <w:rFonts w:ascii="Georgia" w:hAnsi="Georgia"/>
          <w:b/>
          <w:i w:val="0"/>
          <w:color w:val="142233"/>
          <w:sz w:val="21"/>
        </w:rPr>
        <w:t>intel@libertycti.com</w:t>
      </w:r>
      <w:r>
        <w:rPr>
          <w:rFonts w:ascii="Georgia" w:hAnsi="Georgia"/>
          <w:b w:val="0"/>
          <w:i w:val="0"/>
          <w:color w:val="142233"/>
          <w:sz w:val="21"/>
        </w:rPr>
        <w:t xml:space="preserve"> · </w:t>
      </w:r>
      <w:r>
        <w:rPr>
          <w:rFonts w:ascii="Georgia" w:hAnsi="Georgia"/>
          <w:b/>
          <w:i w:val="0"/>
          <w:color w:val="142233"/>
          <w:sz w:val="21"/>
        </w:rPr>
        <w:t>libertycti.com</w:t>
      </w:r>
    </w:p>
    <w:p>
      <w:pPr>
        <w:spacing w:after="160"/>
        <w:jc w:val="center"/>
      </w:pPr>
      <w:r>
        <w:rPr>
          <w:rFonts w:ascii="Georgia" w:hAnsi="Georgia"/>
          <w:b w:val="0"/>
          <w:i w:val="0"/>
          <w:color w:val="5C5C5C"/>
          <w:sz w:val="16"/>
        </w:rPr>
        <w:t>© 2026 Liberty CTI LLC. All rights reserved. The Alamo Threat Brief and its original analysis may not be reproduced or redistributed without permission.</w:t>
      </w:r>
    </w:p>
    <w:p>
      <w:pPr>
        <w:spacing w:after="160"/>
        <w:jc w:val="center"/>
      </w:pPr>
      <w:r>
        <w:rPr>
          <w:rFonts w:ascii="Georgia" w:hAnsi="Georgia"/>
          <w:b w:val="0"/>
          <w:i w:val="0"/>
          <w:color w:val="5C5C5C"/>
          <w:sz w:val="16"/>
        </w:rPr>
        <w:t xml:space="preserve">Liberty CTI assessments reflect analytical judgments based on information available at the time of publication. Forecasts and warning judgments involve uncertainty and may change as new information becomes available. The Alamo Threat Brief provides intelligence decision support and does not constitute legal, financial, investment, or technical cybersecurity advice. See </w:t>
      </w:r>
      <w:r>
        <w:rPr>
          <w:rFonts w:ascii="Georgia" w:hAnsi="Georgia"/>
          <w:b w:val="0"/>
          <w:i w:val="0"/>
          <w:color w:val="1F5C8C"/>
          <w:sz w:val="16"/>
          <w:u w:val="single"/>
        </w:rPr>
        <w:t>Terms of Use</w:t>
      </w:r>
      <w:r>
        <w:rPr>
          <w:rFonts w:ascii="Georgia" w:hAnsi="Georgia"/>
          <w:b w:val="0"/>
          <w:i w:val="0"/>
          <w:color w:val="5C5C5C"/>
          <w:sz w:val="16"/>
        </w:rPr>
        <w:t>.</w:t>
      </w:r>
    </w:p>
    <w:p>
      <w:pPr>
        <w:spacing w:after="160"/>
        <w:jc w:val="center"/>
      </w:pPr>
      <w:r>
        <w:rPr>
          <w:rFonts w:ascii="Georgia" w:hAnsi="Georgia"/>
          <w:b w:val="0"/>
          <w:i w:val="0"/>
          <w:color w:val="5C5C5C"/>
          <w:sz w:val="16"/>
        </w:rPr>
        <w:t>Third-party reporting cited in this brief remains the property of its respective owners; citation does not constitute endorsement. Liberty CTI’s original analytical judgments remain Liberty CTI intellectual property.</w:t>
      </w:r>
    </w:p>
    <w:p>
      <w:pPr>
        <w:spacing w:before="360"/>
        <w:jc w:val="center"/>
      </w:pPr>
      <w:r>
        <w:rPr>
          <w:color w:val="5C5C5C"/>
          <w:sz w:val="15"/>
        </w:rPr>
        <w:t>© 2026 Liberty CTI LLC. All rights reserved. The Alamo Threat Brief and its original analysis may not be reproduced or redistributed without permission. Alamo Threat Brief™ is a trademark of Liberty CTI LLC. This document is an archival companion to the published web issue and preserves the assessment as originally issued.</w:t>
      </w:r>
    </w:p>
    <w:sectPr w:rsidR="00FC693F" w:rsidRPr="0006063C" w:rsidSect="00034616">
      <w:headerReference w:type="default" r:id="rId9"/>
      <w:footerReference w:type="default" r:id="rId10"/>
      <w:pgSz w:w="12240" w:h="15840"/>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C5C5C"/>
        <w:sz w:val="15"/>
      </w:rPr>
      <w:t xml:space="preserve">OPEN SOURCE INTELLIGENCE   —   Page </w:t>
    </w:r>
    <w:r>
      <w:rPr>
        <w:color w:val="5C5C5C"/>
        <w:sz w:val="15"/>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Calibri" w:hAnsi="Calibri"/>
        <w:color w:val="5C5C5C"/>
        <w:sz w:val="16"/>
      </w:rPr>
      <w:t>LIBERTY CTI  |  THE ALAMO THREAT BRIEF  |  ATB-2026-19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4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cisa.gov/news-events/news/cisa-joins-nsa-fbi-dc3-and-international-partners-warning-russian-cyber-threat-activity-targeting" TargetMode="External"/><Relationship Id="rId12" Type="http://schemas.openxmlformats.org/officeDocument/2006/relationships/hyperlink" Target="https://www.justice.gov/opa/pr/three-russian-nationals-and-two-companies-indicted-international-cybercrimes-resulting-more" TargetMode="External"/><Relationship Id="rId13" Type="http://schemas.openxmlformats.org/officeDocument/2006/relationships/hyperlink" Target="https://www.cisa.gov/news-events/alerts/2026/07/14/cisa-adds-four-known-exploited-vulnerabilities-catalog" TargetMode="External"/><Relationship Id="rId14" Type="http://schemas.openxmlformats.org/officeDocument/2006/relationships/hyperlink" Target="https://psirt.global.sonicwall.com/vuln-detail/SNWLID-2026-0008" TargetMode="External"/><Relationship Id="rId15" Type="http://schemas.openxmlformats.org/officeDocument/2006/relationships/hyperlink" Target="https://www.cisa.gov/news-events/news/cisa-and-partners-publish-guidance-help-software-manufacturers-and-online-service-providers-work" TargetMode="External"/><Relationship Id="rId16" Type="http://schemas.openxmlformats.org/officeDocument/2006/relationships/hyperlink" Target="https://www.helpnetsecurity.com/2026/07/16/cisa-coordinated-vulnerability-disclosure-guidance/" TargetMode="External"/><Relationship Id="rId17" Type="http://schemas.openxmlformats.org/officeDocument/2006/relationships/hyperlink" Target="https://www.cnn.com/2026/07/18/politics/iran-war-us-service-members-killed-jordan" TargetMode="External"/><Relationship Id="rId18" Type="http://schemas.openxmlformats.org/officeDocument/2006/relationships/hyperlink" Target="https://www.bleepingcomputer.com/news/security/us-charges-alleged-russian-bulletproof-hosting-service-operato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