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ATB-2026-22</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02–08 AUGUST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2026-08-08</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ACCESS IS THE NEW PERIMETER</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Who is authorized, right now, to isolate OT remote access or lock down an identity/help-desk workflow during an active campaign — without waiting for a scheduled meeting?</w:t>
      </w:r>
    </w:p>
    <w:p>
      <w:pPr>
        <w:spacing w:before="160" w:after="40"/>
      </w:pPr>
      <w:r>
        <w:rPr>
          <w:b/>
          <w:color w:val="7A5A1E"/>
          <w:sz w:val="20"/>
        </w:rPr>
        <w:t>Board Implications This Week — Direct</w:t>
      </w:r>
    </w:p>
    <w:p>
      <w:pPr>
        <w:spacing w:after="40"/>
      </w:pPr>
      <w:r>
        <w:rPr>
          <w:rFonts w:ascii="Georgia" w:hAnsi="Georgia"/>
          <w:b w:val="0"/>
          <w:i w:val="0"/>
          <w:color w:val="142233"/>
          <w:sz w:val="19"/>
        </w:rPr>
        <w:t>Require a named executive for OT-isolation authority and a named executive for identity/help-desk lockdown authority, confirmed in writing this week.</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which vulnerability-remediation exceptions leadership has accepted this week and why, ahead of the 14 August federal remediation-policy milestone.</w:t>
      </w:r>
    </w:p>
    <w:p>
      <w:pPr>
        <w:spacing w:before="160" w:after="40"/>
      </w:pPr>
      <w:r>
        <w:rPr>
          <w:b/>
          <w:color w:val="7A5A1E"/>
          <w:sz w:val="20"/>
        </w:rPr>
        <w:t>Board Implications This Week — Rehearse</w:t>
      </w:r>
    </w:p>
    <w:p>
      <w:pPr>
        <w:spacing w:after="40"/>
      </w:pPr>
      <w:r>
        <w:rPr>
          <w:rFonts w:ascii="Georgia" w:hAnsi="Georgia"/>
          <w:b w:val="0"/>
          <w:i w:val="0"/>
          <w:color w:val="142233"/>
          <w:sz w:val="19"/>
        </w:rPr>
        <w:t>Run a five-minute tabletop: your help desk gets a call from someone with an employee’s real phone number, capable of capturing their MFA token live. Who do they call, and what can that person authorize without you?</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Water-Sector Campaign Widens to Michigan and New Jersey</w:t>
      </w:r>
    </w:p>
    <w:p>
      <w:pPr>
        <w:spacing w:after="160"/>
      </w:pPr>
      <w:r>
        <w:rPr>
          <w:rFonts w:ascii="Georgia" w:hAnsi="Georgia"/>
          <w:b w:val="0"/>
          <w:i w:val="0"/>
          <w:color w:val="142233"/>
          <w:sz w:val="21"/>
        </w:rPr>
        <w:t>Michigan confirmed cyber incidents affecting nine water systems, and New Jersey confirmed two affected utilities where operators shifted to manual operations without service disruption or contamination. Unconfirmed wire reporting (Axios, ABC News, anonymous sourcing) places the total number of affected states at twelve as of 4 August, alongside a separate finding that a volunteer cyber-defense corps has reached only 21 of roughly 50,000 small water utilities nationwide. Liberty CTI treats the twelve-state figure as directionally consistent with the confirmed trend but not yet corroborated to the standard of the named-official confirmations in Michigan and New Jersey.</w:t>
      </w:r>
    </w:p>
    <w:p>
      <w:pPr>
        <w:spacing w:before="200" w:after="120"/>
      </w:pPr>
      <w:r>
        <w:rPr>
          <w:rFonts w:ascii="Calibri" w:hAnsi="Calibri"/>
          <w:b/>
          <w:color w:val="142233"/>
          <w:sz w:val="23"/>
        </w:rPr>
        <w:t>Identity-Centric Extortion Pivots Into Major Financial and Private-Equity Firms</w:t>
      </w:r>
    </w:p>
    <w:p>
      <w:pPr>
        <w:spacing w:after="160"/>
      </w:pPr>
      <w:r>
        <w:rPr>
          <w:rFonts w:ascii="Georgia" w:hAnsi="Georgia"/>
          <w:b w:val="0"/>
          <w:i w:val="0"/>
          <w:color w:val="142233"/>
          <w:sz w:val="21"/>
        </w:rPr>
        <w:t>An extortion cluster tracked by primary vendor research rebranded from a retired public identity into several new fronts and shifted its primary targeting from retail and healthcare into private equity, hedge funds, law firms, and ratings agencies. Reporting names several large financial and private-equity firms among those targeted this month; some have confirmed attempted or blocked intrusions, most declined further comment. The technique bypasses multi-factor authentication by convincing an employee to authenticate the attacker, not by defeating the control technically. See Technical Annex for full TTP detail.</w:t>
      </w:r>
    </w:p>
    <w:p>
      <w:pPr>
        <w:spacing w:before="200" w:after="120"/>
      </w:pPr>
      <w:r>
        <w:rPr>
          <w:rFonts w:ascii="Calibri" w:hAnsi="Calibri"/>
          <w:b/>
          <w:color w:val="142233"/>
          <w:sz w:val="23"/>
        </w:rPr>
        <w:t>Texas Orders Audit of Entire Data-Center Interconnection Queue</w:t>
      </w:r>
    </w:p>
    <w:p>
      <w:pPr>
        <w:spacing w:after="160"/>
      </w:pPr>
      <w:r>
        <w:rPr>
          <w:rFonts w:ascii="Georgia" w:hAnsi="Georgia"/>
          <w:b w:val="0"/>
          <w:i w:val="0"/>
          <w:color w:val="142233"/>
          <w:sz w:val="21"/>
        </w:rPr>
        <w:t>On 3 August, Governor Abbott directed PUCT and ERCOT to audit every data-center project in the grid interconnection queue — roughly 1,800 projects, over 474 GW, approximately 90 percent data centers — before any further connections proceed. ERCOT has paused its Batch Zero classification notifications and will seek a good-cause exception at PUCT’s 20 August open meeting. This is a governance and timeline development, not a cyber incident, but it directly affects Energy and AI/cloud clients with projects in the queue and compounds the OT-exposure question raised by the water-sector campaign: audited interconnection means audited infrastructure.</w:t>
      </w:r>
    </w:p>
    <w:p>
      <w:pPr>
        <w:spacing w:before="200" w:after="120"/>
      </w:pPr>
      <w:r>
        <w:rPr>
          <w:rFonts w:ascii="Calibri" w:hAnsi="Calibri"/>
          <w:b/>
          <w:color w:val="142233"/>
          <w:sz w:val="23"/>
        </w:rPr>
        <w:t>CMMC Reform Window Closes in One Week</w:t>
      </w:r>
    </w:p>
    <w:p>
      <w:pPr>
        <w:spacing w:after="160"/>
      </w:pPr>
      <w:r>
        <w:rPr>
          <w:rFonts w:ascii="Georgia" w:hAnsi="Georgia"/>
          <w:b w:val="0"/>
          <w:i w:val="0"/>
          <w:color w:val="142233"/>
          <w:sz w:val="21"/>
        </w:rPr>
        <w:t>The Department of War’s CMMC Reform Task Force Request for Information closes 14 August, with recommendations due to the CMMC Reform Task Force by mid-September. Phase I self-assessment, DFARS 252.204-7012, and False Claims Act exposure remain fully in force regardless of the Phase II suspension. Defense contractors have one week left to shape the reformed program before the input window closes.</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that the exploited failure point across this week’s water-sector and financial-sector campaigns is the same: control over operational or identity systems is shifting to whoever can reach the access channel, not whoever holds the perimeter.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confirmed water-sector reporting (Michigan, New Jersey state officials); primary vendor threat research on the financial-sector extortion campaign; current wire reporting on named financial and private-equity targets. Primary uncertainty: this is a structural pattern judgment across two independently confirmed campaigns, not a claim that the two campaigns are operationally linked.</w:t>
      </w:r>
    </w:p>
    <w:p>
      <w:pPr>
        <w:spacing w:after="120"/>
        <w:ind w:left="283"/>
      </w:pPr>
      <w:r>
        <w:rPr>
          <w:color w:val="7A5A1E"/>
          <w:sz w:val="19"/>
        </w:rPr>
        <w:t>Decision implication: Decision Implication: Boards should treat OT-isolation authority and identity/help-desk lockdown authority as the same category of decision — pre-authorized, named, and exercised before an incident forces the question.</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unchanged from ATB-2026-21, that the water-sector campaign’s occurrence is confirmed at multi-state scale with operational effects requiring manual operations. </w:t>
      </w:r>
      <w:r>
        <w:rPr>
          <w:rFonts w:ascii="Consolas" w:hAnsi="Consolas"/>
          <w:b w:val="0"/>
          <w:i w:val="0"/>
          <w:color w:val="7A5A1E"/>
          <w:sz w:val="16"/>
        </w:rPr>
        <w:t>HIGH CONFIDENCE</w:t>
      </w:r>
      <w:r>
        <w:rPr>
          <w:rFonts w:ascii="Georgia" w:hAnsi="Georgia"/>
          <w:b w:val="0"/>
          <w:i w:val="0"/>
          <w:color w:val="142233"/>
          <w:sz w:val="21"/>
        </w:rPr>
        <w:t xml:space="preserve">. Iranian affiliation remains the leading hypothesis and is not a confirmed attribution.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Michigan and New Jersey state-official confirmations this week; ATB-2026-21’s FBI/EPA PSA I-073026-PSA and CISA companion-alert basis carried forward. Primary uncertainty: the unconfirmed twelve-state figure and any specific Iran attribution in current reporting rely on anonymous sourcing and do not meet Liberty CTI’s threshold for a confidence upgrade on either count.</w:t>
      </w:r>
    </w:p>
    <w:p>
      <w:pPr>
        <w:spacing w:after="120"/>
        <w:ind w:left="283"/>
      </w:pPr>
      <w:r>
        <w:rPr>
          <w:color w:val="7A5A1E"/>
          <w:sz w:val="19"/>
        </w:rPr>
        <w:t>Decision implication: Decision Implication: Communicate occurrence to boards and regulators as confirmed fact; communicate attribution as assessed likely origin, not confirmed fact. Overstating certainty on attribution is a credibility risk if it later shifts.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that identity-centric extortion targeting private equity, hedge funds, and law firms materially raises executive risk for any Texas enterprise running federated identity (Microsoft 365, Okta, SSO) with a human-staffed help desk.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primary vendor threat research documenting the TTP chain and rebrand; current wire reporting naming targeted firms. Primary uncertainty: the full victim list and total campaign scale rely on current media reporting; not every attempted intrusion succeeded, and no Texas-domiciled victim has been named.</w:t>
      </w:r>
    </w:p>
    <w:p>
      <w:pPr>
        <w:spacing w:after="120"/>
        <w:ind w:left="283"/>
      </w:pPr>
      <w:r>
        <w:rPr>
          <w:color w:val="7A5A1E"/>
          <w:sz w:val="19"/>
        </w:rPr>
        <w:t>Decision implication: Decision Implication: Confirm whether your help desk can independently verify an employee’s identity on an inbound call without relying on caller ID or a phone number the employee already appears to hold.</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The strategic backdrop remains Iranian OT targeting tied to retaliation capacity amid continued U.S.-Iran friction, layered onto a persistent baseline of criminal extortion ecosystems monetizing identity trust rather than technical exploits. What changed this week is not the underlying driver — it is the demonstrated reach of both patterns: OT compromise expanding geographically among under-resourced utilities, and identity compromise expanding upmarket into sophisticated, well-defended financial institutions.</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No Texas utility and no Texas-domiciled financial or legal firm has been named in either campaign. That is not the same as Texas being unexposed. The confirmed water-sector technique does not require a sophisticated or well-resourced target, and Texas has hundreds of small municipal water systems with comparable remote-access architecture. The confirmed finance-sector technique does not require a technical vulnerability at all — only a help desk willing to trust a caller. Texas energy trading desks, PE-backed operators, and law firms serving them carry the same exposure as their Wall Street counterparts.</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 AI ERCOT / OT / Data Centers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water-sector exposure pattern — internet-exposed control systems, vendor remote access — is directly transferable to small and distributed grid OT. Separately, Governor Abbott’s 3 August directive requires PUCT and ERCOT to audit the entire data-center interconnection queue before further grid connections proceed. </w:t>
            </w:r>
            <w:r>
              <w:rPr>
                <w:rFonts w:ascii="Georgia" w:hAnsi="Georgia"/>
                <w:b/>
                <w:i w:val="0"/>
                <w:color w:val="142233"/>
                <w:sz w:val="19"/>
              </w:rPr>
              <w:t>Why it matters locally:</w:t>
            </w:r>
            <w:r>
              <w:rPr>
                <w:rFonts w:ascii="Georgia" w:hAnsi="Georgia"/>
                <w:b w:val="0"/>
                <w:i w:val="0"/>
                <w:color w:val="142233"/>
                <w:sz w:val="19"/>
              </w:rPr>
              <w:t xml:space="preserve"> This is a governance and timeline risk, not a cyber incident, but it compounds the OT-exposure question for Energy and AI/cloud clients: audited infrastructure is infrastructure boards should already understand the security posture of. </w:t>
            </w:r>
            <w:r>
              <w:rPr>
                <w:rFonts w:ascii="Georgia" w:hAnsi="Georgia"/>
                <w:b/>
                <w:i w:val="0"/>
                <w:color w:val="142233"/>
                <w:sz w:val="19"/>
              </w:rPr>
              <w:t>Cascade risk:</w:t>
            </w:r>
            <w:r>
              <w:rPr>
                <w:rFonts w:ascii="Georgia" w:hAnsi="Georgia"/>
                <w:b w:val="0"/>
                <w:i w:val="0"/>
                <w:color w:val="142233"/>
                <w:sz w:val="19"/>
              </w:rPr>
              <w:t xml:space="preserve"> Interconnection delay affects capital planning and vendor-risk timelines for any AI/cloud operator depending on Texas grid capacity.</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Identity / Extortion / Recovery</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A rebranded extortion cluster has pivoted from retail/healthcare into private equity, hedge funds, and law firms, using help-desk vishing and adversary-in-the-middle credential capture rather than technical exploits. </w:t>
            </w:r>
            <w:r>
              <w:rPr>
                <w:rFonts w:ascii="Georgia" w:hAnsi="Georgia"/>
                <w:b/>
                <w:i w:val="0"/>
                <w:color w:val="142233"/>
                <w:sz w:val="19"/>
              </w:rPr>
              <w:t>Why it matters locally:</w:t>
            </w:r>
            <w:r>
              <w:rPr>
                <w:rFonts w:ascii="Georgia" w:hAnsi="Georgia"/>
                <w:b w:val="0"/>
                <w:i w:val="0"/>
                <w:color w:val="142233"/>
                <w:sz w:val="19"/>
              </w:rPr>
              <w:t xml:space="preserve"> Texas energy trading desks, PE-backed operators, and law firms serving them carry the same identity-trust exposure regardless of sector label. </w:t>
            </w:r>
            <w:r>
              <w:rPr>
                <w:rFonts w:ascii="Georgia" w:hAnsi="Georgia"/>
                <w:b/>
                <w:i w:val="0"/>
                <w:color w:val="142233"/>
                <w:sz w:val="19"/>
              </w:rPr>
              <w:t>Cascade risk:</w:t>
            </w:r>
            <w:r>
              <w:rPr>
                <w:rFonts w:ascii="Georgia" w:hAnsi="Georgia"/>
                <w:b w:val="0"/>
                <w:i w:val="0"/>
                <w:color w:val="142233"/>
                <w:sz w:val="19"/>
              </w:rPr>
              <w:t xml:space="preserve"> A successful intrusion creates extortion, disclosure, privilege, and customer-trust decisions even when core systems remain fully operational.</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Continuity / Compliance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Healthcare:</w:t>
            </w:r>
            <w:r>
              <w:rPr>
                <w:rFonts w:ascii="Georgia" w:hAnsi="Georgia"/>
                <w:b w:val="0"/>
                <w:i w:val="0"/>
                <w:color w:val="142233"/>
                <w:sz w:val="19"/>
              </w:rPr>
              <w:t xml:space="preserve"> Water and identity infrastructure are both under active pressure simultaneously this week; hospitals depend on both for sanitation, sterilization, cooling, and patient-record access. </w:t>
            </w:r>
            <w:r>
              <w:rPr>
                <w:rFonts w:ascii="Georgia" w:hAnsi="Georgia"/>
                <w:b/>
                <w:i w:val="0"/>
                <w:color w:val="142233"/>
                <w:sz w:val="19"/>
              </w:rPr>
              <w:t>DIB:</w:t>
            </w:r>
            <w:r>
              <w:rPr>
                <w:rFonts w:ascii="Georgia" w:hAnsi="Georgia"/>
                <w:b w:val="0"/>
                <w:i w:val="0"/>
                <w:color w:val="142233"/>
                <w:sz w:val="19"/>
              </w:rPr>
              <w:t xml:space="preserve"> The CMMC Reform RFI window closes 14 August — contractors have one week left to shape the reformed program; Phase I self-assessment and DFARS 252.204-7012 obligations are unchanged regardless of the input window’s outcome. </w:t>
            </w:r>
            <w:r>
              <w:rPr>
                <w:rFonts w:ascii="Georgia" w:hAnsi="Georgia"/>
                <w:b/>
                <w:i w:val="0"/>
                <w:color w:val="142233"/>
                <w:sz w:val="19"/>
              </w:rPr>
              <w:t>Cascade risk:</w:t>
            </w:r>
            <w:r>
              <w:rPr>
                <w:rFonts w:ascii="Georgia" w:hAnsi="Georgia"/>
                <w:b w:val="0"/>
                <w:i w:val="0"/>
                <w:color w:val="142233"/>
                <w:sz w:val="19"/>
              </w:rPr>
              <w:t xml:space="preserve"> Healthcare degradation creates immediate safety pressure; DIB degradation creates contract-performance and compliance pressure ahead of a hard deadline.</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7 / I&amp;W 1  </w:t>
      </w:r>
      <w:r>
        <w:rPr>
          <w:b/>
          <w:color w:val="142233"/>
          <w:sz w:val="20"/>
        </w:rPr>
        <w:t>Official U.S. attribution statement on the water-sector campaign</w:t>
      </w:r>
      <w:r>
        <w:rPr>
          <w:i/>
          <w:color w:val="7A5A1E"/>
          <w:sz w:val="18"/>
        </w:rPr>
        <w:t xml:space="preserve">   [→ Sustained]</w:t>
      </w:r>
    </w:p>
    <w:p>
      <w:pPr>
        <w:spacing w:after="40"/>
        <w:ind w:left="283"/>
      </w:pPr>
      <w:r>
        <w:rPr>
          <w:color w:val="142233"/>
          <w:sz w:val="19"/>
        </w:rPr>
        <w:t>→ Watch for a named-actor statement from CISA, FBI, or ODNI.</w:t>
      </w:r>
    </w:p>
    <w:p>
      <w:pPr>
        <w:spacing w:after="40"/>
        <w:ind w:left="283"/>
      </w:pPr>
      <w:r>
        <w:rPr>
          <w:color w:val="142233"/>
          <w:sz w:val="19"/>
        </w:rPr>
        <w:t>→ Would upgrade attribution confidence above Moderate; continued official silence holds it in place regardless of anonymous-sourced media framing.</w:t>
      </w:r>
    </w:p>
    <w:p>
      <w:pPr>
        <w:spacing w:after="40"/>
        <w:ind w:left="283"/>
      </w:pPr>
      <w:r>
        <w:rPr>
          <w:color w:val="142233"/>
          <w:sz w:val="19"/>
        </w:rPr>
        <w:t>→ Tied to: PIR 7, geopolitical-cyber acceleration.</w:t>
      </w:r>
    </w:p>
    <w:p>
      <w:pPr>
        <w:spacing w:before="160" w:after="40"/>
      </w:pPr>
      <w:r>
        <w:rPr>
          <w:b/>
          <w:color w:val="1F5C8C"/>
          <w:sz w:val="18"/>
        </w:rPr>
        <w:t xml:space="preserve">PIR 1 / I&amp;W 2  </w:t>
      </w:r>
      <w:r>
        <w:rPr>
          <w:b/>
          <w:color w:val="142233"/>
          <w:sz w:val="20"/>
        </w:rPr>
        <w:t>A Texas-named victim in either campaign</w:t>
      </w:r>
      <w:r>
        <w:rPr>
          <w:i/>
          <w:color w:val="7A5A1E"/>
          <w:sz w:val="18"/>
        </w:rPr>
        <w:t xml:space="preserve">   [↑ Rising]</w:t>
      </w:r>
    </w:p>
    <w:p>
      <w:pPr>
        <w:spacing w:after="40"/>
        <w:ind w:left="283"/>
      </w:pPr>
      <w:r>
        <w:rPr>
          <w:color w:val="142233"/>
          <w:sz w:val="19"/>
        </w:rPr>
        <w:t>→ Watch for a Texas utility, municipality, financial firm, or law firm named in water-sector or identity-extortion reporting.</w:t>
      </w:r>
    </w:p>
    <w:p>
      <w:pPr>
        <w:spacing w:after="40"/>
        <w:ind w:left="283"/>
      </w:pPr>
      <w:r>
        <w:rPr>
          <w:color w:val="142233"/>
          <w:sz w:val="19"/>
        </w:rPr>
        <w:t>→ Would meet the outstanding condition ATB-2026-21 identified as the threshold for Flash Warning consideration.</w:t>
      </w:r>
    </w:p>
    <w:p>
      <w:pPr>
        <w:spacing w:after="40"/>
        <w:ind w:left="283"/>
      </w:pPr>
      <w:r>
        <w:rPr>
          <w:color w:val="142233"/>
          <w:sz w:val="19"/>
        </w:rPr>
        <w:t>→ Tied to: PIR 1, nation-state and criminal targeting of Texas entities.</w:t>
      </w:r>
    </w:p>
    <w:p>
      <w:pPr>
        <w:spacing w:before="160" w:after="40"/>
      </w:pPr>
      <w:r>
        <w:rPr>
          <w:b/>
          <w:color w:val="1F5C8C"/>
          <w:sz w:val="18"/>
        </w:rPr>
        <w:t xml:space="preserve">PIR 5 / I&amp;W 3  </w:t>
      </w:r>
      <w:r>
        <w:rPr>
          <w:b/>
          <w:color w:val="142233"/>
          <w:sz w:val="20"/>
        </w:rPr>
        <w:t>CMMC Reform Task Force output ahead of the mid-September deadline</w:t>
      </w:r>
      <w:r>
        <w:rPr>
          <w:i/>
          <w:color w:val="7A5A1E"/>
          <w:sz w:val="18"/>
        </w:rPr>
        <w:t xml:space="preserve">   [→ Sustained]</w:t>
      </w:r>
    </w:p>
    <w:p>
      <w:pPr>
        <w:spacing w:after="40"/>
        <w:ind w:left="283"/>
      </w:pPr>
      <w:r>
        <w:rPr>
          <w:color w:val="142233"/>
          <w:sz w:val="19"/>
        </w:rPr>
        <w:t>→ Watch for early signals on which NIST SP 800-171 controls survive the review.</w:t>
      </w:r>
    </w:p>
    <w:p>
      <w:pPr>
        <w:spacing w:after="40"/>
        <w:ind w:left="283"/>
      </w:pPr>
      <w:r>
        <w:rPr>
          <w:color w:val="142233"/>
          <w:sz w:val="19"/>
        </w:rPr>
        <w:t>→ Would reshape DIB compliance planning before the formal report lands.</w:t>
      </w:r>
    </w:p>
    <w:p>
      <w:pPr>
        <w:spacing w:after="40"/>
        <w:ind w:left="283"/>
      </w:pPr>
      <w:r>
        <w:rPr>
          <w:color w:val="142233"/>
          <w:sz w:val="19"/>
        </w:rPr>
        <w:t>→ Tied to: PIR 5, strategic vulnerability exposure across the defense industrial base.</w:t>
      </w:r>
    </w:p>
    <w:p>
      <w:pPr>
        <w:spacing w:before="160" w:after="40"/>
      </w:pPr>
      <w:r>
        <w:rPr>
          <w:b/>
          <w:color w:val="1F5C8C"/>
          <w:sz w:val="18"/>
        </w:rPr>
        <w:t xml:space="preserve">PIR 6 / I&amp;W 4  </w:t>
      </w:r>
      <w:r>
        <w:rPr>
          <w:b/>
          <w:color w:val="142233"/>
          <w:sz w:val="20"/>
        </w:rPr>
        <w:t>PUCT’s 20 August ruling on ERCOT’s good-cause exception</w:t>
      </w:r>
      <w:r>
        <w:rPr>
          <w:i/>
          <w:color w:val="7A5A1E"/>
          <w:sz w:val="18"/>
        </w:rPr>
        <w:t xml:space="preserve">   [→ Sustained]</w:t>
      </w:r>
    </w:p>
    <w:p>
      <w:pPr>
        <w:spacing w:after="40"/>
        <w:ind w:left="283"/>
      </w:pPr>
      <w:r>
        <w:rPr>
          <w:color w:val="142233"/>
          <w:sz w:val="19"/>
        </w:rPr>
        <w:t>→ Watch for the docket outcome setting the near-term timeline for every paused interconnection project.</w:t>
      </w:r>
    </w:p>
    <w:p>
      <w:pPr>
        <w:spacing w:after="40"/>
        <w:ind w:left="283"/>
      </w:pPr>
      <w:r>
        <w:rPr>
          <w:color w:val="142233"/>
          <w:sz w:val="19"/>
        </w:rPr>
        <w:t>→ Would clarify capital-planning exposure for Energy and AI/cloud clients with projects in the queue.</w:t>
      </w:r>
    </w:p>
    <w:p>
      <w:pPr>
        <w:spacing w:after="40"/>
        <w:ind w:left="283"/>
      </w:pPr>
      <w:r>
        <w:rPr>
          <w:color w:val="142233"/>
          <w:sz w:val="19"/>
        </w:rPr>
        <w:t>→ Tied to: PIR 6, executive decision-relevant warning.</w:t>
      </w:r>
    </w:p>
    <w:p>
      <w:pPr>
        <w:spacing w:before="160" w:after="40"/>
      </w:pPr>
      <w:r>
        <w:rPr>
          <w:b/>
          <w:color w:val="1F5C8C"/>
          <w:sz w:val="18"/>
        </w:rPr>
        <w:t xml:space="preserve">PIR 4 / I&amp;W 5  </w:t>
      </w:r>
      <w:r>
        <w:rPr>
          <w:b/>
          <w:color w:val="142233"/>
          <w:sz w:val="20"/>
        </w:rPr>
        <w:t>Identity-extortion expansion beyond named large-cap firms</w:t>
      </w:r>
      <w:r>
        <w:rPr>
          <w:i/>
          <w:color w:val="7A5A1E"/>
          <w:sz w:val="18"/>
        </w:rPr>
        <w:t xml:space="preserve">   [↑ Rising]</w:t>
      </w:r>
    </w:p>
    <w:p>
      <w:pPr>
        <w:spacing w:after="40"/>
        <w:ind w:left="283"/>
      </w:pPr>
      <w:r>
        <w:rPr>
          <w:color w:val="142233"/>
          <w:sz w:val="19"/>
        </w:rPr>
        <w:t>→ Watch for movement into mid-market private equity, regional banks, or Texas-domiciled financial or legal entities.</w:t>
      </w:r>
    </w:p>
    <w:p>
      <w:pPr>
        <w:spacing w:after="40"/>
        <w:ind w:left="283"/>
      </w:pPr>
      <w:r>
        <w:rPr>
          <w:color w:val="142233"/>
          <w:sz w:val="19"/>
        </w:rPr>
        <w:t>→ Would raise this from a large-cap story to a Texas board-level one.</w:t>
      </w:r>
    </w:p>
    <w:p>
      <w:pPr>
        <w:spacing w:after="40"/>
        <w:ind w:left="283"/>
      </w:pPr>
      <w:r>
        <w:rPr>
          <w:color w:val="142233"/>
          <w:sz w:val="19"/>
        </w:rPr>
        <w:t>→ Tied to: PIR 4, adversary innovation and TTP effectiveness against mature enterprises.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leadership has pre-authorized, named authority to sever OT remote-access paths and to lock down identity/help-desk workflows fast enough to prevent an intrusion from becoming an operational outage or an extortion event.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CEO/COO for OT isolation authority; CISO/CIO with General Counsel for identity-control and help-desk lockdown authority; board/audit-risk committee for oversight and documentation.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An intrusion that could have been contained in hours becomes a multi-day manual-operations event, an extortion negotiation, or a disclosure decision made for the first time under live pressure — with no prior record showing informed oversight.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Confirm, in writing, who can order OT isolation/manual operations and who can suspend help-desk/identity workflows during an active campaign. Run the five-minute help-desk tabletop described above.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named authority for OT isolation and identity lockdown, the date it was confirmed, any vulnerability-remediation exceptions accepted this week and why, and documentation of ERCOT/PUCT interconnection exposure for any client with projects in the queue.</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ATB-2026-21 (published 1 Aug) assessed water-sector occurrence at High confidence — confirmed operational effects, seven-plus states — with Iranian affiliation as the leading hypothesis at Moderate confidence, explicitly unconfirmed.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Occurrence holds at High confidence, reinforced by named-official confirmations in Michigan and New Jersey. Attribution holds at Moderate confidence, unchanged — this week’s “prime suspect” framing in anonymous-sourced reporting is consistent with, not an upgrade from, the prior “leading hypothesis” language.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ATB-2026-21’s own next-indicator condition — a Texas victim, formal attribution, or a second confirmed multi-victim wave — has been partially met via the Michigan/New Jersey wave, but not fully: no Texas victim, no formal attribution. Flash Warning threshold not met. Separately, identity-centric extortion enters standalone ATB treatment for the first time this issue.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No confidence movement on either water-sector judgment this issue. New judgment established this issue (KJ-3, finance-sector identity risk) at Moderate confidence.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Texas-named victim in either campaign, formal U.S. government attribution on the water-sector campaign, or identity-extortion expansion into mid-market Texas financial or legal entities would raise escalation posture.</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ATB-2026-22 — COVERAGE WEEK 02–08 AUGUST 2026</w:t>
      </w:r>
    </w:p>
    <w:p>
      <w:pPr>
        <w:spacing w:before="120" w:after="20"/>
      </w:pPr>
      <w:r>
        <w:rPr>
          <w:rFonts w:ascii="Calibri" w:hAnsi="Calibri"/>
          <w:b/>
          <w:color w:val="7A5A1E"/>
          <w:sz w:val="15"/>
        </w:rPr>
        <w:t>GOVERNMENT / REGULATORY</w:t>
        <w:br/>
      </w:r>
      <w:r>
        <w:rPr>
          <w:b/>
          <w:color w:val="142233"/>
          <w:sz w:val="20"/>
        </w:rPr>
        <w:t>U.S. EPA — Cybersecurity 102 Water-Sector Training</w:t>
      </w:r>
    </w:p>
    <w:p>
      <w:pPr>
        <w:spacing w:after="20"/>
      </w:pPr>
      <w:hyperlink r:id="rId11">
        <w:r>
          <w:rPr>
            <w:color w:val="1F5C8C"/>
            <w:u w:val="single"/>
            <w:sz w:val="17"/>
            <w:rFonts w:ascii="Consolas"/>
          </w:rPr>
          <w:t>epa.gov/cyberwater/cybersecurity-102</w:t>
        </w:r>
      </w:hyperlink>
    </w:p>
    <w:p>
      <w:pPr>
        <w:spacing w:after="40"/>
      </w:pPr>
      <w:r>
        <w:rPr>
          <w:i/>
          <w:color w:val="5C5C5C"/>
          <w:sz w:val="17"/>
        </w:rPr>
        <w:t>Published 5 Aug 2026. Basis for water-sector governance posture; not evidence of a new attack, used as context only.</w:t>
      </w:r>
    </w:p>
    <w:p>
      <w:pPr>
        <w:spacing w:before="120" w:after="20"/>
      </w:pPr>
      <w:r>
        <w:rPr>
          <w:rFonts w:ascii="Calibri" w:hAnsi="Calibri"/>
          <w:b/>
          <w:color w:val="7A5A1E"/>
          <w:sz w:val="15"/>
        </w:rPr>
        <w:t>PRESS / STATE AUTHORITY</w:t>
        <w:br/>
      </w:r>
      <w:r>
        <w:rPr>
          <w:b/>
          <w:color w:val="142233"/>
          <w:sz w:val="20"/>
        </w:rPr>
        <w:t>NBC10 Philadelphia citing NJCCIC — New Jersey Water Utility Incidents</w:t>
      </w:r>
    </w:p>
    <w:p>
      <w:pPr>
        <w:spacing w:after="20"/>
      </w:pPr>
      <w:hyperlink r:id="rId12">
        <w:r>
          <w:rPr>
            <w:color w:val="1F5C8C"/>
            <w:u w:val="single"/>
            <w:sz w:val="17"/>
            <w:rFonts w:ascii="Consolas"/>
          </w:rPr>
          <w:t>nbcphiladelphia.com/news/local/cyberattack-targets-water-systems-new-jersey</w:t>
        </w:r>
      </w:hyperlink>
    </w:p>
    <w:p>
      <w:pPr>
        <w:spacing w:after="40"/>
      </w:pPr>
      <w:r>
        <w:rPr>
          <w:i/>
          <w:color w:val="5C5C5C"/>
          <w:sz w:val="17"/>
        </w:rPr>
        <w:t>Published 4 Aug 2026. Single-source for New Jersey-specific incident detail; corroborated at pattern level by national reporting.</w:t>
      </w:r>
    </w:p>
    <w:p>
      <w:pPr>
        <w:spacing w:before="120" w:after="20"/>
      </w:pPr>
      <w:r>
        <w:rPr>
          <w:rFonts w:ascii="Calibri" w:hAnsi="Calibri"/>
          <w:b/>
          <w:color w:val="7A5A1E"/>
          <w:sz w:val="15"/>
        </w:rPr>
        <w:t>GOVERNMENT / REGULATORY</w:t>
        <w:br/>
      </w:r>
      <w:r>
        <w:rPr>
          <w:b/>
          <w:color w:val="142233"/>
          <w:sz w:val="20"/>
        </w:rPr>
        <w:t>FedRAMP — Response to CISA BOD 26-04</w:t>
      </w:r>
    </w:p>
    <w:p>
      <w:pPr>
        <w:spacing w:after="20"/>
      </w:pPr>
      <w:hyperlink r:id="rId13">
        <w:r>
          <w:rPr>
            <w:color w:val="1F5C8C"/>
            <w:u w:val="single"/>
            <w:sz w:val="17"/>
            <w:rFonts w:ascii="Consolas"/>
          </w:rPr>
          <w:t>fedramp.gov/notices/0014</w:t>
        </w:r>
      </w:hyperlink>
    </w:p>
    <w:p>
      <w:pPr>
        <w:spacing w:after="40"/>
      </w:pPr>
      <w:r>
        <w:rPr>
          <w:i/>
          <w:color w:val="5C5C5C"/>
          <w:sz w:val="17"/>
        </w:rPr>
        <w:t>7 Aug 2026 milestone; notice published 16 Jun 2026. Basis for DIB and federal-adjacent governance implication.</w:t>
      </w:r>
    </w:p>
    <w:p>
      <w:pPr>
        <w:spacing w:before="120" w:after="20"/>
      </w:pPr>
      <w:r>
        <w:rPr>
          <w:rFonts w:ascii="Calibri" w:hAnsi="Calibri"/>
          <w:b/>
          <w:color w:val="7A5A1E"/>
          <w:sz w:val="15"/>
        </w:rPr>
        <w:t>GOVERNMENT / STATE</w:t>
        <w:br/>
      </w:r>
      <w:r>
        <w:rPr>
          <w:b/>
          <w:color w:val="142233"/>
          <w:sz w:val="20"/>
        </w:rPr>
        <w:t>Office of the Texas Governor — Data Center Audit Directive</w:t>
      </w:r>
    </w:p>
    <w:p>
      <w:pPr>
        <w:spacing w:after="20"/>
      </w:pPr>
      <w:hyperlink r:id="rId14">
        <w:r>
          <w:rPr>
            <w:color w:val="1F5C8C"/>
            <w:u w:val="single"/>
            <w:sz w:val="17"/>
            <w:rFonts w:ascii="Consolas"/>
          </w:rPr>
          <w:t>gov.texas.gov/news/post/governor-abbott-directs-comprehensive-data-center-audit</w:t>
        </w:r>
      </w:hyperlink>
    </w:p>
    <w:p>
      <w:pPr>
        <w:spacing w:after="40"/>
      </w:pPr>
      <w:r>
        <w:rPr>
          <w:i/>
          <w:color w:val="5C5C5C"/>
          <w:sz w:val="17"/>
        </w:rPr>
        <w:t>Published 3 Aug 2026. Basis for Energy/AI cross-sector implication.</w:t>
      </w:r>
    </w:p>
    <w:p>
      <w:pPr>
        <w:spacing w:before="120" w:after="20"/>
      </w:pPr>
      <w:r>
        <w:rPr>
          <w:rFonts w:ascii="Calibri" w:hAnsi="Calibri"/>
          <w:b/>
          <w:color w:val="7A5A1E"/>
          <w:sz w:val="15"/>
        </w:rPr>
        <w:t>MARKET NOTICE</w:t>
        <w:br/>
      </w:r>
      <w:r>
        <w:rPr>
          <w:b/>
          <w:color w:val="142233"/>
          <w:sz w:val="20"/>
        </w:rPr>
        <w:t>ERCOT — Market Notice M-A080326-01</w:t>
      </w:r>
    </w:p>
    <w:p>
      <w:pPr>
        <w:spacing w:after="20"/>
      </w:pPr>
      <w:hyperlink r:id="rId15">
        <w:r>
          <w:rPr>
            <w:color w:val="1F5C8C"/>
            <w:u w:val="single"/>
            <w:sz w:val="17"/>
            <w:rFonts w:ascii="Consolas"/>
          </w:rPr>
          <w:t>ercot.com/services/comm/mkt_notices/M-A080326-01</w:t>
        </w:r>
      </w:hyperlink>
    </w:p>
    <w:p>
      <w:pPr>
        <w:spacing w:after="40"/>
      </w:pPr>
      <w:r>
        <w:rPr>
          <w:i/>
          <w:color w:val="5C5C5C"/>
          <w:sz w:val="17"/>
        </w:rPr>
        <w:t>Basis for Batch Zero pause and 20 Aug PUCT hearing date.</w:t>
      </w:r>
    </w:p>
    <w:p>
      <w:pPr>
        <w:spacing w:before="120" w:after="20"/>
      </w:pPr>
      <w:r>
        <w:rPr>
          <w:rFonts w:ascii="Calibri" w:hAnsi="Calibri"/>
          <w:b/>
          <w:color w:val="7A5A1E"/>
          <w:sz w:val="15"/>
        </w:rPr>
        <w:t>PRIMARY VENDOR RESEARCH</w:t>
        <w:br/>
      </w:r>
      <w:r>
        <w:rPr>
          <w:b/>
          <w:color w:val="142233"/>
          <w:sz w:val="20"/>
        </w:rPr>
        <w:t>Google Threat Intelligence Group — Identity-Extortion Campaign Update</w:t>
      </w:r>
    </w:p>
    <w:p>
      <w:pPr>
        <w:spacing w:after="20"/>
      </w:pPr>
      <w:hyperlink r:id="rId16">
        <w:r>
          <w:rPr>
            <w:color w:val="1F5C8C"/>
            <w:u w:val="single"/>
            <w:sz w:val="17"/>
            <w:rFonts w:ascii="Consolas"/>
          </w:rPr>
          <w:t>cloud.google.com/blog/topics/threat-intelligence/unc6671-targets-financial-services-and-enterprise-cloud-environments</w:t>
        </w:r>
      </w:hyperlink>
    </w:p>
    <w:p>
      <w:pPr>
        <w:spacing w:after="40"/>
      </w:pPr>
      <w:r>
        <w:rPr>
          <w:i/>
          <w:color w:val="5C5C5C"/>
          <w:sz w:val="17"/>
        </w:rPr>
        <w:t>Published 6 Aug 2026. Basis for KJ-3 and Technical Annex TTP detail. Full technical indicators reserved for the Technical Annex.</w:t>
      </w:r>
    </w:p>
    <w:p>
      <w:pPr>
        <w:spacing w:before="120" w:after="20"/>
      </w:pPr>
      <w:r>
        <w:rPr>
          <w:rFonts w:ascii="Calibri" w:hAnsi="Calibri"/>
          <w:b/>
          <w:color w:val="7A5A1E"/>
          <w:sz w:val="15"/>
        </w:rPr>
        <w:t>PRESS</w:t>
        <w:br/>
      </w:r>
      <w:r>
        <w:rPr>
          <w:b/>
          <w:color w:val="142233"/>
          <w:sz w:val="20"/>
        </w:rPr>
        <w:t>Axios — Water-Sector State Count Expansion</w:t>
      </w:r>
    </w:p>
    <w:p>
      <w:pPr>
        <w:spacing w:after="20"/>
      </w:pPr>
      <w:hyperlink r:id="rId17">
        <w:r>
          <w:rPr>
            <w:color w:val="1F5C8C"/>
            <w:u w:val="single"/>
            <w:sz w:val="17"/>
            <w:rFonts w:ascii="Consolas"/>
          </w:rPr>
          <w:t>axios.com/2026/08/04/water-cyberattacks-us-iran</w:t>
        </w:r>
      </w:hyperlink>
    </w:p>
    <w:p>
      <w:pPr>
        <w:spacing w:after="40"/>
      </w:pPr>
      <w:r>
        <w:rPr>
          <w:i/>
          <w:color w:val="5C5C5C"/>
          <w:sz w:val="17"/>
        </w:rPr>
        <w:t>4 Aug 2026. Anonymous sourcing; cited for the unconfirmed 12-state figure and the volunteer-defense-corps coverage gap only. Not used to move attribution or occurrence confidence.</w:t>
      </w:r>
    </w:p>
    <w:p>
      <w:pPr>
        <w:spacing w:before="120" w:after="20"/>
      </w:pPr>
      <w:r>
        <w:rPr>
          <w:rFonts w:ascii="Calibri" w:hAnsi="Calibri"/>
          <w:b/>
          <w:color w:val="7A5A1E"/>
          <w:sz w:val="15"/>
        </w:rPr>
        <w:t>PRESS</w:t>
        <w:br/>
      </w:r>
      <w:r>
        <w:rPr>
          <w:b/>
          <w:color w:val="142233"/>
          <w:sz w:val="20"/>
        </w:rPr>
        <w:t>ABC News — 12-State Water Sector Report</w:t>
      </w:r>
    </w:p>
    <w:p>
      <w:pPr>
        <w:spacing w:after="20"/>
      </w:pPr>
      <w:hyperlink r:id="rId18">
        <w:r>
          <w:rPr>
            <w:color w:val="1F5C8C"/>
            <w:u w:val="single"/>
            <w:sz w:val="17"/>
            <w:rFonts w:ascii="Consolas"/>
          </w:rPr>
          <w:t>abcnews.com — 12 states face cyberattacks on water systems</w:t>
        </w:r>
      </w:hyperlink>
    </w:p>
    <w:p>
      <w:pPr>
        <w:spacing w:after="40"/>
      </w:pPr>
      <w:r>
        <w:rPr>
          <w:i/>
          <w:color w:val="5C5C5C"/>
          <w:sz w:val="17"/>
        </w:rPr>
        <w:t>4 Aug 2026. Anonymous sourcing on Iran as “prime suspect.” Cited for public-reporting context only; not treated as an attribution upgrade.</w:t>
      </w:r>
    </w:p>
    <w:p>
      <w:pPr>
        <w:spacing w:before="120" w:after="20"/>
      </w:pPr>
      <w:r>
        <w:rPr>
          <w:rFonts w:ascii="Calibri" w:hAnsi="Calibri"/>
          <w:b/>
          <w:color w:val="7A5A1E"/>
          <w:sz w:val="15"/>
        </w:rPr>
        <w:t>PRESS / SECONDARY</w:t>
        <w:br/>
      </w:r>
      <w:r>
        <w:rPr>
          <w:b/>
          <w:color w:val="142233"/>
          <w:sz w:val="20"/>
        </w:rPr>
        <w:t>Reuters/Bloomberg-Derived Coverage — Named Financial-Sector Targets</w:t>
      </w:r>
    </w:p>
    <w:p>
      <w:pPr>
        <w:spacing w:after="20"/>
      </w:pPr>
      <w:hyperlink r:id="rId19">
        <w:r>
          <w:rPr>
            <w:color w:val="1F5C8C"/>
            <w:u w:val="single"/>
            <w:sz w:val="17"/>
            <w:rFonts w:ascii="Consolas"/>
          </w:rPr>
          <w:t>pymnts.com — Wall Street’s new cybersecurity threat starts with a phone call</w:t>
        </w:r>
      </w:hyperlink>
    </w:p>
    <w:p>
      <w:pPr>
        <w:spacing w:after="40"/>
      </w:pPr>
      <w:r>
        <w:rPr>
          <w:i/>
          <w:color w:val="5C5C5C"/>
          <w:sz w:val="17"/>
        </w:rPr>
        <w:t>6–7 Aug 2026. Cited for named-target reporting only; victim list and campaign scale not independently verified beyond primary vendor TTP corroboration.</w:t>
      </w:r>
    </w:p>
    <w:p>
      <w:pPr>
        <w:pBdr>
          <w:bottom w:val="single" w:sz="4" w:space="4" w:color="CCCCCC"/>
        </w:pBdr>
      </w:pPr>
    </w:p>
    <w:p>
      <w:pPr>
        <w:spacing w:after="160"/>
      </w:pPr>
      <w:r>
        <w:rPr>
          <w:rFonts w:ascii="Georgia" w:hAnsi="Georgia"/>
          <w:b w:val="0"/>
          <w:i w:val="0"/>
          <w:color w:val="142233"/>
          <w:sz w:val="21"/>
        </w:rPr>
        <w:t>CISO-level technical detail — PLC device specifics, full TTP/IOC detail on the identity-extortion campaign, and ERCOT docket citations — is available upon request for retainer clients and technical points of contact.</w:t>
      </w: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pa.gov/cyberwater/cybersecurity-102" TargetMode="External"/><Relationship Id="rId12" Type="http://schemas.openxmlformats.org/officeDocument/2006/relationships/hyperlink" Target="https://www.nbcphiladelphia.com/news/local/cyberattack-targets-water-systems-new-jersey/4443279/" TargetMode="External"/><Relationship Id="rId13" Type="http://schemas.openxmlformats.org/officeDocument/2006/relationships/hyperlink" Target="https://www.fedramp.gov/notices/0014/" TargetMode="External"/><Relationship Id="rId14" Type="http://schemas.openxmlformats.org/officeDocument/2006/relationships/hyperlink" Target="https://gov.texas.gov/news/post/governor-abbott-directs-comprehensive-data-center-audit" TargetMode="External"/><Relationship Id="rId15" Type="http://schemas.openxmlformats.org/officeDocument/2006/relationships/hyperlink" Target="https://www.ercot.com/services/comm/mkt_notices/M-A080326-01" TargetMode="External"/><Relationship Id="rId16" Type="http://schemas.openxmlformats.org/officeDocument/2006/relationships/hyperlink" Target="https://cloud.google.com/blog/topics/threat-intelligence/unc6671-targets-financial-services-and-enterprise-cloud-environments" TargetMode="External"/><Relationship Id="rId17" Type="http://schemas.openxmlformats.org/officeDocument/2006/relationships/hyperlink" Target="https://www.axios.com/2026/08/04/water-cyberattacks-us-iran" TargetMode="External"/><Relationship Id="rId18" Type="http://schemas.openxmlformats.org/officeDocument/2006/relationships/hyperlink" Target="https://abcnews.com/US/12-states-face-cyberattacks-water-systems-sources/story?id=135348482" TargetMode="External"/><Relationship Id="rId19" Type="http://schemas.openxmlformats.org/officeDocument/2006/relationships/hyperlink" Target="https://www.pymnts.com/cybersecurity/2026/wall-streets-new-cybersecurity-threat-starts-with-a-phone-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