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F6291" w14:textId="77777777" w:rsidR="00934F48" w:rsidRDefault="00934F48" w:rsidP="00934F48">
      <w:pPr>
        <w:spacing w:after="0" w:line="240" w:lineRule="auto"/>
      </w:pPr>
      <w:r>
        <w:t>LIBERTY CTI // WEEKLY TEXAS CYBER THREAT OUTLOOK</w:t>
      </w:r>
    </w:p>
    <w:p w14:paraId="3A04FB90" w14:textId="77777777" w:rsidR="00934F48" w:rsidRDefault="00934F48" w:rsidP="00934F48">
      <w:pPr>
        <w:spacing w:after="0" w:line="240" w:lineRule="auto"/>
      </w:pPr>
    </w:p>
    <w:p w14:paraId="6B8D316A" w14:textId="77777777" w:rsidR="00934F48" w:rsidRDefault="00934F48" w:rsidP="00934F48">
      <w:pPr>
        <w:spacing w:after="0" w:line="240" w:lineRule="auto"/>
      </w:pPr>
      <w:r>
        <w:t xml:space="preserve">  CLASSIFICATION: UNCLASSIFIED // FOR OFFICIAL USE ONLY</w:t>
      </w:r>
    </w:p>
    <w:p w14:paraId="22ADA6B9" w14:textId="77777777" w:rsidR="00934F48" w:rsidRDefault="00934F48" w:rsidP="00934F48">
      <w:pPr>
        <w:spacing w:after="0" w:line="240" w:lineRule="auto"/>
      </w:pPr>
    </w:p>
    <w:p w14:paraId="7AE1BA61" w14:textId="77777777" w:rsidR="00934F48" w:rsidRDefault="00934F48" w:rsidP="00934F48">
      <w:pPr>
        <w:spacing w:after="0" w:line="240" w:lineRule="auto"/>
      </w:pPr>
      <w:r>
        <w:t xml:space="preserve">  SERIAL: LCTI-WTO-2026-0315</w:t>
      </w:r>
    </w:p>
    <w:p w14:paraId="40B81DC3" w14:textId="77777777" w:rsidR="00934F48" w:rsidRDefault="00934F48" w:rsidP="00934F48">
      <w:pPr>
        <w:spacing w:after="0" w:line="240" w:lineRule="auto"/>
      </w:pPr>
    </w:p>
    <w:p w14:paraId="725AABDC" w14:textId="77777777" w:rsidR="00934F48" w:rsidRDefault="00934F48" w:rsidP="00934F48">
      <w:pPr>
        <w:spacing w:after="0" w:line="240" w:lineRule="auto"/>
      </w:pPr>
      <w:r>
        <w:t xml:space="preserve">  DATE: Sunday, 15 March 2026</w:t>
      </w:r>
    </w:p>
    <w:p w14:paraId="1B8017F3" w14:textId="77777777" w:rsidR="00934F48" w:rsidRDefault="00934F48" w:rsidP="00934F48">
      <w:pPr>
        <w:spacing w:after="0" w:line="240" w:lineRule="auto"/>
      </w:pPr>
    </w:p>
    <w:p w14:paraId="1C239707" w14:textId="77777777" w:rsidR="00934F48" w:rsidRDefault="00934F48" w:rsidP="00934F48">
      <w:pPr>
        <w:spacing w:after="0" w:line="240" w:lineRule="auto"/>
      </w:pPr>
      <w:r>
        <w:t xml:space="preserve">  PREPARED BY: Liberty CTI Analytical Division — San Antonio, Texas</w:t>
      </w:r>
    </w:p>
    <w:p w14:paraId="1C65A18A" w14:textId="77777777" w:rsidR="00934F48" w:rsidRDefault="00934F48" w:rsidP="00934F48">
      <w:pPr>
        <w:spacing w:after="0" w:line="240" w:lineRule="auto"/>
      </w:pPr>
    </w:p>
    <w:p w14:paraId="01F2F53E" w14:textId="77777777" w:rsidR="00934F48" w:rsidRDefault="00934F48" w:rsidP="00934F48">
      <w:pPr>
        <w:spacing w:after="0" w:line="240" w:lineRule="auto"/>
      </w:pPr>
      <w:r>
        <w:t xml:space="preserve">  SECTOR FOCUS: All Texas Critical Sectors</w:t>
      </w:r>
    </w:p>
    <w:p w14:paraId="60B6F149" w14:textId="77777777" w:rsidR="00934F48" w:rsidRDefault="00934F48" w:rsidP="00934F48">
      <w:pPr>
        <w:spacing w:after="0" w:line="240" w:lineRule="auto"/>
      </w:pPr>
    </w:p>
    <w:p w14:paraId="65536C57" w14:textId="77777777" w:rsidR="00934F48" w:rsidRDefault="00934F48" w:rsidP="00934F48">
      <w:pPr>
        <w:spacing w:after="0" w:line="240" w:lineRule="auto"/>
      </w:pPr>
      <w:r>
        <w:t xml:space="preserve">  ADVERSARY FOCUS: All Nation-State Actors (PRC, Russia, Iran, DPRK) + Criminal Ecosystems</w:t>
      </w:r>
    </w:p>
    <w:p w14:paraId="4C7028E3" w14:textId="77777777" w:rsidR="00934F48" w:rsidRDefault="00934F48" w:rsidP="00934F48">
      <w:pPr>
        <w:spacing w:after="0" w:line="240" w:lineRule="auto"/>
      </w:pPr>
    </w:p>
    <w:p w14:paraId="05DD59CB" w14:textId="77777777" w:rsidR="00934F48" w:rsidRDefault="00934F48" w:rsidP="00934F48">
      <w:pPr>
        <w:spacing w:after="0" w:line="240" w:lineRule="auto"/>
      </w:pPr>
      <w:r>
        <w:t xml:space="preserve">  DISTRIBUTION: Executive Leadership, CISO Community, Texas Critical Infrastructure Owners and Operators, Governor's Office Homeland Security Advisors</w:t>
      </w:r>
    </w:p>
    <w:p w14:paraId="17CA859C" w14:textId="77777777" w:rsidR="00934F48" w:rsidRDefault="00934F48" w:rsidP="00934F48">
      <w:pPr>
        <w:spacing w:after="0" w:line="240" w:lineRule="auto"/>
      </w:pPr>
    </w:p>
    <w:p w14:paraId="4F746260" w14:textId="77777777" w:rsidR="00934F48" w:rsidRDefault="00934F48" w:rsidP="00934F48">
      <w:pPr>
        <w:spacing w:after="0" w:line="240" w:lineRule="auto"/>
      </w:pPr>
      <w:r>
        <w:t xml:space="preserve">  HANDLING: This product contains analytical assessments derived from open-source intelligence (OSINT), industry reporting, and all-source synthesis. Recipients should apply independent judgment before acting on any assessment.</w:t>
      </w:r>
    </w:p>
    <w:p w14:paraId="3EEED943" w14:textId="77777777" w:rsidR="00934F48" w:rsidRDefault="00934F48" w:rsidP="00934F48">
      <w:pPr>
        <w:spacing w:after="0" w:line="240" w:lineRule="auto"/>
      </w:pPr>
    </w:p>
    <w:p w14:paraId="6C11B7C1" w14:textId="77777777" w:rsidR="00934F48" w:rsidRDefault="00934F48" w:rsidP="00934F48">
      <w:pPr>
        <w:spacing w:after="0" w:line="240" w:lineRule="auto"/>
      </w:pPr>
    </w:p>
    <w:p w14:paraId="7EC34DD6" w14:textId="77777777" w:rsidR="00934F48" w:rsidRDefault="00934F48" w:rsidP="00934F48">
      <w:pPr>
        <w:spacing w:after="0" w:line="240" w:lineRule="auto"/>
      </w:pPr>
    </w:p>
    <w:p w14:paraId="258E0C25" w14:textId="77777777" w:rsidR="00934F48" w:rsidRDefault="00934F48" w:rsidP="00934F48">
      <w:pPr>
        <w:spacing w:after="0" w:line="240" w:lineRule="auto"/>
      </w:pPr>
      <w:r>
        <w:t>---</w:t>
      </w:r>
    </w:p>
    <w:p w14:paraId="5574B597" w14:textId="77777777" w:rsidR="00934F48" w:rsidRDefault="00934F48" w:rsidP="00934F48">
      <w:pPr>
        <w:spacing w:after="0" w:line="240" w:lineRule="auto"/>
      </w:pPr>
    </w:p>
    <w:p w14:paraId="644C6273" w14:textId="77777777" w:rsidR="00934F48" w:rsidRDefault="00934F48" w:rsidP="00934F48">
      <w:pPr>
        <w:spacing w:after="0" w:line="240" w:lineRule="auto"/>
      </w:pPr>
      <w:r>
        <w:t xml:space="preserve">  </w:t>
      </w:r>
      <w:r>
        <w:rPr>
          <w:rFonts w:ascii="Segoe UI Emoji" w:hAnsi="Segoe UI Emoji" w:cs="Segoe UI Emoji"/>
        </w:rPr>
        <w:t>⚠️</w:t>
      </w:r>
      <w:r>
        <w:t xml:space="preserve"> ELEVATED THREAT NOTICE — IRGC-CY ACTIVITY: Escalating Iran-Israel tensions following new kinetic exchanges and U.S. Treasury sanctions on Iranian energy networks have materially elevated the probability of Iranian-nexus cyber operations targeting U.S. energy and financial sectors. Texas-based energy and financial institutions should implement heightened monitoring postures immediately. See PIR-1 and Adversary Analysis for details.</w:t>
      </w:r>
    </w:p>
    <w:p w14:paraId="6169B4C9" w14:textId="77777777" w:rsidR="00934F48" w:rsidRDefault="00934F48" w:rsidP="00934F48">
      <w:pPr>
        <w:spacing w:after="0" w:line="240" w:lineRule="auto"/>
      </w:pPr>
    </w:p>
    <w:p w14:paraId="593CB7AD" w14:textId="77777777" w:rsidR="00934F48" w:rsidRDefault="00934F48" w:rsidP="00934F48">
      <w:pPr>
        <w:spacing w:after="0" w:line="240" w:lineRule="auto"/>
      </w:pPr>
      <w:r>
        <w:t>---</w:t>
      </w:r>
    </w:p>
    <w:p w14:paraId="281F9AD3" w14:textId="77777777" w:rsidR="00934F48" w:rsidRDefault="00934F48" w:rsidP="00934F48">
      <w:pPr>
        <w:spacing w:after="0" w:line="240" w:lineRule="auto"/>
      </w:pPr>
    </w:p>
    <w:p w14:paraId="5F835955" w14:textId="77777777" w:rsidR="00934F48" w:rsidRDefault="00934F48" w:rsidP="00934F48">
      <w:pPr>
        <w:spacing w:after="0" w:line="240" w:lineRule="auto"/>
      </w:pPr>
      <w:r>
        <w:t>SECTION 1: KEY JUDGMENTS</w:t>
      </w:r>
    </w:p>
    <w:p w14:paraId="4D06F30F" w14:textId="77777777" w:rsidR="00934F48" w:rsidRDefault="00934F48" w:rsidP="00934F48">
      <w:pPr>
        <w:spacing w:after="0" w:line="240" w:lineRule="auto"/>
      </w:pPr>
    </w:p>
    <w:p w14:paraId="68643A13" w14:textId="6D145136" w:rsidR="00934F48" w:rsidRDefault="00934F48" w:rsidP="00934F48">
      <w:pPr>
        <w:spacing w:after="0" w:line="240" w:lineRule="auto"/>
      </w:pPr>
      <w:r>
        <w:t xml:space="preserve"> </w:t>
      </w:r>
    </w:p>
    <w:p w14:paraId="6814EB41" w14:textId="77777777" w:rsidR="00934F48" w:rsidRDefault="00934F48" w:rsidP="00934F48">
      <w:pPr>
        <w:spacing w:after="0" w:line="240" w:lineRule="auto"/>
      </w:pPr>
      <w:r>
        <w:t>KEY JUDGMENT 1 — IRGC-CY ELEVATED THREAT TO TEXAS ENERGY AND FINANCIAL SECTORS</w:t>
      </w:r>
    </w:p>
    <w:p w14:paraId="0591FC3A" w14:textId="77777777" w:rsidR="00934F48" w:rsidRDefault="00934F48" w:rsidP="00934F48">
      <w:pPr>
        <w:spacing w:after="0" w:line="240" w:lineRule="auto"/>
      </w:pPr>
    </w:p>
    <w:p w14:paraId="4C85E7DB" w14:textId="77777777" w:rsidR="00934F48" w:rsidRDefault="00934F48" w:rsidP="00934F48">
      <w:pPr>
        <w:spacing w:after="0" w:line="240" w:lineRule="auto"/>
      </w:pPr>
      <w:r>
        <w:t xml:space="preserve">  Iranian IRGC-Cyber actors are highly likely to conduct disruptive or psychologically significant cyber operations against U.S. energy and financial sector targets within the next 30 days in response to escalating Iran-Israel kinetic exchanges and new U.S. Treasury </w:t>
      </w:r>
      <w:r>
        <w:lastRenderedPageBreak/>
        <w:t>sanctions affecting Iranian energy flows. Texas-based targets — particularly Gulf Coast LNG export infrastructure and USAA-affiliated financial platforms — present high symbolic and economic value to Iranian operators seeking to impose visible costs on U.S. policy. HIGH CONFIDENCE based on established IRGC-CY escalation patterns following prior sanction cycles and kinetic exchanges (2019–2022 historical baseline).</w:t>
      </w:r>
    </w:p>
    <w:p w14:paraId="481C8B88" w14:textId="77777777" w:rsidR="00934F48" w:rsidRDefault="00934F48" w:rsidP="00934F48">
      <w:pPr>
        <w:spacing w:after="0" w:line="240" w:lineRule="auto"/>
      </w:pPr>
    </w:p>
    <w:p w14:paraId="3BAE3427" w14:textId="77777777" w:rsidR="00934F48" w:rsidRDefault="00934F48" w:rsidP="00934F48">
      <w:pPr>
        <w:spacing w:after="0" w:line="240" w:lineRule="auto"/>
      </w:pPr>
      <w:r>
        <w:t xml:space="preserve">  </w:t>
      </w:r>
    </w:p>
    <w:p w14:paraId="2513818E" w14:textId="77777777" w:rsidR="00934F48" w:rsidRDefault="00934F48" w:rsidP="00934F48">
      <w:pPr>
        <w:spacing w:after="0" w:line="240" w:lineRule="auto"/>
      </w:pPr>
      <w:r>
        <w:t>KEY JUDGMENT 2 — VOLT TYPHOON PRE-POSITIONING IN TEXAS ENERGY GRID</w:t>
      </w:r>
    </w:p>
    <w:p w14:paraId="785DDFB4" w14:textId="77777777" w:rsidR="00934F48" w:rsidRDefault="00934F48" w:rsidP="00934F48">
      <w:pPr>
        <w:spacing w:after="0" w:line="240" w:lineRule="auto"/>
      </w:pPr>
    </w:p>
    <w:p w14:paraId="445BE24B" w14:textId="77777777" w:rsidR="00934F48" w:rsidRDefault="00934F48" w:rsidP="00934F48">
      <w:pPr>
        <w:spacing w:after="0" w:line="240" w:lineRule="auto"/>
      </w:pPr>
      <w:r>
        <w:t xml:space="preserve">  PRC-linked Volt Typhoon almost certainly maintains pre-positioned access within U.S. critical infrastructure networks consistent with strategic disruption preparation, and Texas energy infrastructure — including ERCOT-interconnected generation assets and Permian Basin pipeline control systems — is highly likely included in this pre-positioning footprint. Volt Typhoon's sustained focus on operational technology (OT) environments and living-off-the-land (LOTL) tradecraft makes detection extremely difficult for organizations without OT-specific detection capabilities. HIGH CONFIDENCE based on February 2024 CISA/NSA/FBI joint advisory and continued industry reporting through Q1 2026.</w:t>
      </w:r>
    </w:p>
    <w:p w14:paraId="14053249" w14:textId="77777777" w:rsidR="00934F48" w:rsidRDefault="00934F48" w:rsidP="00934F48">
      <w:pPr>
        <w:spacing w:after="0" w:line="240" w:lineRule="auto"/>
      </w:pPr>
    </w:p>
    <w:p w14:paraId="2666E899" w14:textId="77777777" w:rsidR="00934F48" w:rsidRDefault="00934F48" w:rsidP="00934F48">
      <w:pPr>
        <w:spacing w:after="0" w:line="240" w:lineRule="auto"/>
      </w:pPr>
    </w:p>
    <w:p w14:paraId="2F8EBCF3" w14:textId="5E8CFA73" w:rsidR="00934F48" w:rsidRDefault="00934F48" w:rsidP="00934F48">
      <w:pPr>
        <w:spacing w:after="0" w:line="240" w:lineRule="auto"/>
      </w:pPr>
      <w:r>
        <w:t xml:space="preserve"> </w:t>
      </w:r>
    </w:p>
    <w:p w14:paraId="11F395BD" w14:textId="77777777" w:rsidR="00934F48" w:rsidRDefault="00934F48" w:rsidP="00934F48">
      <w:pPr>
        <w:spacing w:after="0" w:line="240" w:lineRule="auto"/>
      </w:pPr>
      <w:r>
        <w:t>KEY JUDGMENT 3 — SANDWORM MONITORING U.S. ENERGY SECTOR FOR DOCTRINAL EXPANSION</w:t>
      </w:r>
    </w:p>
    <w:p w14:paraId="48C436DF" w14:textId="77777777" w:rsidR="00934F48" w:rsidRDefault="00934F48" w:rsidP="00934F48">
      <w:pPr>
        <w:spacing w:after="0" w:line="240" w:lineRule="auto"/>
      </w:pPr>
    </w:p>
    <w:p w14:paraId="2A79E03B" w14:textId="77777777" w:rsidR="00934F48" w:rsidRDefault="00934F48" w:rsidP="00934F48">
      <w:pPr>
        <w:spacing w:after="0" w:line="240" w:lineRule="auto"/>
      </w:pPr>
      <w:r>
        <w:t xml:space="preserve">  Russian GRU Unit 74455 (Sandworm) is likely conducting sustained reconnaissance of U.S. energy sector OT environments, with Texas Gulf Coast natural gas and LNG infrastructure representing a strategically significant target set given its role in European energy supply. Active conflict dynamics in Ukraine and continued U.S. military aid packages create persistent motivations for GRU-directed escalatory signaling through infrastructure pre-positioning. MODERATE CONFIDENCE — attribution to specific Texas-affecting Sandworm operations remains limited by collection gaps in ICS/SCADA telemetry sharing.</w:t>
      </w:r>
    </w:p>
    <w:p w14:paraId="209BFB65" w14:textId="77777777" w:rsidR="00934F48" w:rsidRDefault="00934F48" w:rsidP="00934F48">
      <w:pPr>
        <w:spacing w:after="0" w:line="240" w:lineRule="auto"/>
      </w:pPr>
    </w:p>
    <w:p w14:paraId="1B0821DE" w14:textId="77777777" w:rsidR="00934F48" w:rsidRDefault="00934F48" w:rsidP="00934F48">
      <w:pPr>
        <w:spacing w:after="0" w:line="240" w:lineRule="auto"/>
      </w:pPr>
    </w:p>
    <w:p w14:paraId="220802C3" w14:textId="77777777" w:rsidR="00934F48" w:rsidRDefault="00934F48" w:rsidP="00934F48">
      <w:pPr>
        <w:spacing w:after="0" w:line="240" w:lineRule="auto"/>
      </w:pPr>
    </w:p>
    <w:p w14:paraId="19770A22" w14:textId="3C76D509" w:rsidR="00934F48" w:rsidRDefault="00934F48" w:rsidP="00934F48">
      <w:pPr>
        <w:spacing w:after="0" w:line="240" w:lineRule="auto"/>
      </w:pPr>
      <w:r>
        <w:t xml:space="preserve"> </w:t>
      </w:r>
    </w:p>
    <w:p w14:paraId="06CC6AFC" w14:textId="77777777" w:rsidR="00934F48" w:rsidRDefault="00934F48" w:rsidP="00934F48">
      <w:pPr>
        <w:spacing w:after="0" w:line="240" w:lineRule="auto"/>
      </w:pPr>
      <w:r>
        <w:t>KEY JUDGMENT 4 — SUPPLY CHAIN THREAT TO TEXAS ENERGY AND DEFENSE SECTORS REMAINS CRITICAL</w:t>
      </w:r>
    </w:p>
    <w:p w14:paraId="6B30F499" w14:textId="77777777" w:rsidR="00934F48" w:rsidRDefault="00934F48" w:rsidP="00934F48">
      <w:pPr>
        <w:spacing w:after="0" w:line="240" w:lineRule="auto"/>
      </w:pPr>
    </w:p>
    <w:p w14:paraId="5024947B" w14:textId="77777777" w:rsidR="00934F48" w:rsidRDefault="00934F48" w:rsidP="00934F48">
      <w:pPr>
        <w:spacing w:after="0" w:line="240" w:lineRule="auto"/>
      </w:pPr>
      <w:r>
        <w:t xml:space="preserve">  APT41 (PRC/MSS) and North Korean Lazarus Group are likely actively targeting managed service providers, industrial software vendors, and IT/OT integrators serving Texas energy and defense industrial base (DIB) customers. Initial access broker (IAB) marketplaces are almost certainly listing active credentials and VPN access to Texas-based industrial and defense organizations, based on continuous darknet monitoring through Q1 2026. HIGH </w:t>
      </w:r>
      <w:r>
        <w:lastRenderedPageBreak/>
        <w:t>CONFIDENCE on IAB activity; MODERATE CONFIDENCE on specific APT41/Lazarus supply chain targeting of Texas entities.</w:t>
      </w:r>
    </w:p>
    <w:p w14:paraId="2661191D" w14:textId="77777777" w:rsidR="00934F48" w:rsidRDefault="00934F48" w:rsidP="00934F48">
      <w:pPr>
        <w:spacing w:after="0" w:line="240" w:lineRule="auto"/>
      </w:pPr>
    </w:p>
    <w:p w14:paraId="760D2C9F" w14:textId="77777777" w:rsidR="00934F48" w:rsidRDefault="00934F48" w:rsidP="00934F48">
      <w:pPr>
        <w:spacing w:after="0" w:line="240" w:lineRule="auto"/>
      </w:pPr>
    </w:p>
    <w:p w14:paraId="24E0271B" w14:textId="77777777" w:rsidR="00934F48" w:rsidRDefault="00934F48" w:rsidP="00934F48">
      <w:pPr>
        <w:spacing w:after="0" w:line="240" w:lineRule="auto"/>
      </w:pPr>
      <w:r>
        <w:t xml:space="preserve">  </w:t>
      </w:r>
    </w:p>
    <w:p w14:paraId="4648F560" w14:textId="77777777" w:rsidR="00934F48" w:rsidRDefault="00934F48" w:rsidP="00934F48">
      <w:pPr>
        <w:spacing w:after="0" w:line="240" w:lineRule="auto"/>
      </w:pPr>
      <w:r>
        <w:t>KEY JUDGMENT 5 — NEAR-TERM DISRUPTION TO TEXAS ENERGY GRID REMAINS UNLIKELY BUT CANNOT BE DISMISSED</w:t>
      </w:r>
    </w:p>
    <w:p w14:paraId="77FA310C" w14:textId="77777777" w:rsidR="00934F48" w:rsidRDefault="00934F48" w:rsidP="00934F48">
      <w:pPr>
        <w:spacing w:after="0" w:line="240" w:lineRule="auto"/>
      </w:pPr>
    </w:p>
    <w:p w14:paraId="54389D02" w14:textId="77777777" w:rsidR="00934F48" w:rsidRDefault="00934F48" w:rsidP="00934F48">
      <w:pPr>
        <w:spacing w:after="0" w:line="240" w:lineRule="auto"/>
      </w:pPr>
      <w:r>
        <w:t xml:space="preserve">  A deliberate, high-impact cyberattack causing physical disruption to Texas electricity generation or pipeline infrastructure is unlikely in the near term (30–90 days) absent a significant escalation in U.S.-Russia or U.S.-Iran direct confrontation. However, the risk is not negligible: pre-positioned access by multiple adversaries creates conditions where disruption could be ordered on short strategic timelines. The threshold for activation is roughly even between deterrence-based restraint and escalatory pressure should U.S. policy actions intensify. MODERATE CONFIDENCE.</w:t>
      </w:r>
    </w:p>
    <w:p w14:paraId="1AEC351D" w14:textId="77777777" w:rsidR="00934F48" w:rsidRDefault="00934F48" w:rsidP="00934F48">
      <w:pPr>
        <w:spacing w:after="0" w:line="240" w:lineRule="auto"/>
      </w:pPr>
    </w:p>
    <w:p w14:paraId="5685A083" w14:textId="77777777" w:rsidR="00934F48" w:rsidRDefault="00934F48" w:rsidP="00934F48">
      <w:pPr>
        <w:spacing w:after="0" w:line="240" w:lineRule="auto"/>
      </w:pPr>
      <w:r>
        <w:t>---</w:t>
      </w:r>
    </w:p>
    <w:p w14:paraId="3E563B36" w14:textId="77777777" w:rsidR="00934F48" w:rsidRDefault="00934F48" w:rsidP="00934F48">
      <w:pPr>
        <w:spacing w:after="0" w:line="240" w:lineRule="auto"/>
      </w:pPr>
    </w:p>
    <w:p w14:paraId="0D2A590B" w14:textId="77777777" w:rsidR="00934F48" w:rsidRDefault="00934F48" w:rsidP="00934F48">
      <w:pPr>
        <w:spacing w:after="0" w:line="240" w:lineRule="auto"/>
      </w:pPr>
      <w:r>
        <w:t>SECTION 2: THREAT ENVIRONMENT OVERVIEW</w:t>
      </w:r>
    </w:p>
    <w:p w14:paraId="2CA6A6FB" w14:textId="77777777" w:rsidR="00934F48" w:rsidRDefault="00934F48" w:rsidP="00934F48">
      <w:pPr>
        <w:spacing w:after="0" w:line="240" w:lineRule="auto"/>
      </w:pPr>
    </w:p>
    <w:p w14:paraId="694881CF" w14:textId="77777777" w:rsidR="00934F48" w:rsidRDefault="00934F48" w:rsidP="00934F48">
      <w:pPr>
        <w:spacing w:after="0" w:line="240" w:lineRule="auto"/>
      </w:pPr>
    </w:p>
    <w:p w14:paraId="1DA8D7B0" w14:textId="77777777" w:rsidR="00934F48" w:rsidRDefault="00934F48" w:rsidP="00934F48">
      <w:pPr>
        <w:spacing w:after="0" w:line="240" w:lineRule="auto"/>
      </w:pPr>
      <w:r>
        <w:t>2.1 Strategic Context</w:t>
      </w:r>
    </w:p>
    <w:p w14:paraId="71674D95" w14:textId="77777777" w:rsidR="00934F48" w:rsidRDefault="00934F48" w:rsidP="00934F48">
      <w:pPr>
        <w:spacing w:after="0" w:line="240" w:lineRule="auto"/>
      </w:pPr>
    </w:p>
    <w:p w14:paraId="4D68A6AB" w14:textId="77777777" w:rsidR="00934F48" w:rsidRDefault="00934F48" w:rsidP="00934F48">
      <w:pPr>
        <w:spacing w:after="0" w:line="240" w:lineRule="auto"/>
      </w:pPr>
      <w:r>
        <w:t>The week of 15 March 2026 opens against a backdrop of compounding geopolitical stressors with direct implications for Texas critical infrastructure. Three converging threat drivers define the current environment: (1) renewed Iran-Israel kinetic exchanges and subsequent U.S. Treasury sanctions targeting Iranian energy networks; (2) continued U.S. military and economic support for Ukraine, sustaining Russian motivations for coercive signaling against Western energy infrastructure; and (3) persistent PRC strategic competition driving pre-positioning operations against U.S. critical infrastructure as a deterrence and warfighting preparation posture.</w:t>
      </w:r>
    </w:p>
    <w:p w14:paraId="42CEDE5D" w14:textId="77777777" w:rsidR="00934F48" w:rsidRDefault="00934F48" w:rsidP="00934F48">
      <w:pPr>
        <w:spacing w:after="0" w:line="240" w:lineRule="auto"/>
      </w:pPr>
    </w:p>
    <w:p w14:paraId="253513DE" w14:textId="77777777" w:rsidR="00934F48" w:rsidRDefault="00934F48" w:rsidP="00934F48">
      <w:pPr>
        <w:spacing w:after="0" w:line="240" w:lineRule="auto"/>
      </w:pPr>
    </w:p>
    <w:p w14:paraId="0047E0C7" w14:textId="77777777" w:rsidR="00934F48" w:rsidRDefault="00934F48" w:rsidP="00934F48">
      <w:pPr>
        <w:spacing w:after="0" w:line="240" w:lineRule="auto"/>
      </w:pPr>
      <w:r>
        <w:t>Texas occupies a uniquely exposed position within this threat landscape. As the dominant U.S. energy producer — accounting for approximately 43% of total U.S. crude oil production and hosting the majority of U.S. LNG export capacity on the Gulf Coast — Texas infrastructure carries outsized strategic value to adversaries seeking to signal capability, impose economic pain, or degrade U.S. military logistics. Simultaneously, the Texas defense industrial base (JBSA ecosystem, Lockheed Martin, L3Harris, Boeing San Antonio) and the Texas Medical Center represent irreplaceable national assets that adversaries have demonstrated persistent interest in targeting.</w:t>
      </w:r>
    </w:p>
    <w:p w14:paraId="6086DD73" w14:textId="77777777" w:rsidR="00934F48" w:rsidRDefault="00934F48" w:rsidP="00934F48">
      <w:pPr>
        <w:spacing w:after="0" w:line="240" w:lineRule="auto"/>
      </w:pPr>
    </w:p>
    <w:p w14:paraId="30EA7699" w14:textId="77777777" w:rsidR="00934F48" w:rsidRDefault="00934F48" w:rsidP="00934F48">
      <w:pPr>
        <w:spacing w:after="0" w:line="240" w:lineRule="auto"/>
      </w:pPr>
    </w:p>
    <w:p w14:paraId="2DD48A13" w14:textId="77777777" w:rsidR="00934F48" w:rsidRDefault="00934F48" w:rsidP="00934F48">
      <w:pPr>
        <w:spacing w:after="0" w:line="240" w:lineRule="auto"/>
      </w:pPr>
    </w:p>
    <w:p w14:paraId="472363B7" w14:textId="10C67CB4" w:rsidR="008A6013" w:rsidRDefault="00934F48" w:rsidP="00934F48">
      <w:pPr>
        <w:spacing w:after="0" w:line="240" w:lineRule="auto"/>
      </w:pPr>
      <w:r>
        <w:lastRenderedPageBreak/>
        <w:t>The ERCOT grid's islanded architecture — while providing certain benefits — also limits federal intervention timelines and</w:t>
      </w:r>
    </w:p>
    <w:sectPr w:rsidR="008A60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AwtzQ1NjQ1NzcyNbRQ0lEKTi0uzszPAykwrAUAIvTMDywAAAA="/>
  </w:docVars>
  <w:rsids>
    <w:rsidRoot w:val="00B44A8A"/>
    <w:rsid w:val="001B1D39"/>
    <w:rsid w:val="00261FE6"/>
    <w:rsid w:val="002D3FCB"/>
    <w:rsid w:val="008A6013"/>
    <w:rsid w:val="00934F48"/>
    <w:rsid w:val="00B44A8A"/>
    <w:rsid w:val="00BA2A5C"/>
    <w:rsid w:val="00D85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5B5E2"/>
  <w15:chartTrackingRefBased/>
  <w15:docId w15:val="{456FEC45-B76F-4FA7-8CE4-F4D18813A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4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4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A8A"/>
    <w:rPr>
      <w:rFonts w:eastAsiaTheme="majorEastAsia" w:cstheme="majorBidi"/>
      <w:color w:val="272727" w:themeColor="text1" w:themeTint="D8"/>
    </w:rPr>
  </w:style>
  <w:style w:type="paragraph" w:styleId="Title">
    <w:name w:val="Title"/>
    <w:basedOn w:val="Normal"/>
    <w:next w:val="Normal"/>
    <w:link w:val="TitleChar"/>
    <w:uiPriority w:val="10"/>
    <w:qFormat/>
    <w:rsid w:val="00B44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A8A"/>
    <w:pPr>
      <w:spacing w:before="160"/>
      <w:jc w:val="center"/>
    </w:pPr>
    <w:rPr>
      <w:i/>
      <w:iCs/>
      <w:color w:val="404040" w:themeColor="text1" w:themeTint="BF"/>
    </w:rPr>
  </w:style>
  <w:style w:type="character" w:customStyle="1" w:styleId="QuoteChar">
    <w:name w:val="Quote Char"/>
    <w:basedOn w:val="DefaultParagraphFont"/>
    <w:link w:val="Quote"/>
    <w:uiPriority w:val="29"/>
    <w:rsid w:val="00B44A8A"/>
    <w:rPr>
      <w:i/>
      <w:iCs/>
      <w:color w:val="404040" w:themeColor="text1" w:themeTint="BF"/>
    </w:rPr>
  </w:style>
  <w:style w:type="paragraph" w:styleId="ListParagraph">
    <w:name w:val="List Paragraph"/>
    <w:basedOn w:val="Normal"/>
    <w:uiPriority w:val="34"/>
    <w:qFormat/>
    <w:rsid w:val="00B44A8A"/>
    <w:pPr>
      <w:ind w:left="720"/>
      <w:contextualSpacing/>
    </w:pPr>
  </w:style>
  <w:style w:type="character" w:styleId="IntenseEmphasis">
    <w:name w:val="Intense Emphasis"/>
    <w:basedOn w:val="DefaultParagraphFont"/>
    <w:uiPriority w:val="21"/>
    <w:qFormat/>
    <w:rsid w:val="00B44A8A"/>
    <w:rPr>
      <w:i/>
      <w:iCs/>
      <w:color w:val="0F4761" w:themeColor="accent1" w:themeShade="BF"/>
    </w:rPr>
  </w:style>
  <w:style w:type="paragraph" w:styleId="IntenseQuote">
    <w:name w:val="Intense Quote"/>
    <w:basedOn w:val="Normal"/>
    <w:next w:val="Normal"/>
    <w:link w:val="IntenseQuoteChar"/>
    <w:uiPriority w:val="30"/>
    <w:qFormat/>
    <w:rsid w:val="00B44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A8A"/>
    <w:rPr>
      <w:i/>
      <w:iCs/>
      <w:color w:val="0F4761" w:themeColor="accent1" w:themeShade="BF"/>
    </w:rPr>
  </w:style>
  <w:style w:type="character" w:styleId="IntenseReference">
    <w:name w:val="Intense Reference"/>
    <w:basedOn w:val="DefaultParagraphFont"/>
    <w:uiPriority w:val="32"/>
    <w:qFormat/>
    <w:rsid w:val="00B44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814</Words>
  <Characters>5493</Characters>
  <Application>Microsoft Office Word</Application>
  <DocSecurity>0</DocSecurity>
  <Lines>161</Lines>
  <Paragraphs>33</Paragraphs>
  <ScaleCrop>false</ScaleCrop>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Maldonado</dc:creator>
  <cp:keywords/>
  <dc:description/>
  <cp:lastModifiedBy>Luis Maldonado</cp:lastModifiedBy>
  <cp:revision>2</cp:revision>
  <dcterms:created xsi:type="dcterms:W3CDTF">2026-03-15T20:18:00Z</dcterms:created>
  <dcterms:modified xsi:type="dcterms:W3CDTF">2026-03-15T20:19:00Z</dcterms:modified>
</cp:coreProperties>
</file>