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16 March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2026-03-16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THREAT POSTURE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Elevated — Iran-linked retaliation activity ongoing across all sectors</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after="160"/>
      </w:pPr>
      <w:r>
        <w:rPr>
          <w:rFonts w:ascii="Georgia" w:hAnsi="Georgia"/>
          <w:b w:val="0"/>
          <w:i w:val="0"/>
          <w:color w:val="142233"/>
          <w:sz w:val="21"/>
        </w:rPr>
        <w:t>Liberty CTI</w:t>
      </w:r>
    </w:p>
    <w:p>
      <w:pPr>
        <w:spacing w:before="320" w:after="120"/>
        <w:pBdr>
          <w:bottom w:val="single" w:sz="6" w:space="4" w:color="A67C2E"/>
        </w:pBdr>
      </w:pPr>
      <w:r>
        <w:rPr>
          <w:rFonts w:ascii="Calibri" w:hAnsi="Calibri"/>
          <w:b/>
          <w:color w:val="7A5A1E"/>
          <w:sz w:val="30"/>
        </w:rPr>
        <w:t>The Alamo Threat Brief™</w:t>
      </w:r>
    </w:p>
    <w:p>
      <w:pPr>
        <w:spacing w:after="160"/>
      </w:pPr>
      <w:r>
        <w:rPr>
          <w:rFonts w:ascii="Georgia" w:hAnsi="Georgia"/>
          <w:b w:val="0"/>
          <w:i w:val="0"/>
          <w:color w:val="142233"/>
          <w:sz w:val="21"/>
        </w:rPr>
        <w:t>Weekly cyber threat intelligence for Texas industry — designed for fast executive consumption with short, source-backed assessments.</w:t>
      </w:r>
    </w:p>
    <w:p>
      <w:pPr>
        <w:spacing w:after="160"/>
      </w:pPr>
      <w:r>
        <w:rPr>
          <w:rFonts w:ascii="Georgia" w:hAnsi="Georgia"/>
          <w:b w:val="0"/>
          <w:i w:val="0"/>
          <w:color w:val="142233"/>
          <w:sz w:val="21"/>
        </w:rPr>
        <w:t>Issue:</w:t>
      </w:r>
    </w:p>
    <w:p>
      <w:pPr>
        <w:spacing w:after="160"/>
      </w:pPr>
      <w:r>
        <w:rPr>
          <w:rFonts w:ascii="Georgia" w:hAnsi="Georgia"/>
          <w:b w:val="0"/>
          <w:i w:val="0"/>
          <w:color w:val="142233"/>
          <w:sz w:val="21"/>
        </w:rPr>
        <w:t>ATB-2026-1</w:t>
      </w:r>
    </w:p>
    <w:p>
      <w:pPr>
        <w:spacing w:after="160"/>
      </w:pPr>
      <w:r>
        <w:rPr>
          <w:rFonts w:ascii="Georgia" w:hAnsi="Georgia"/>
          <w:b w:val="0"/>
          <w:i w:val="0"/>
          <w:color w:val="142233"/>
          <w:sz w:val="21"/>
        </w:rPr>
        <w:t>Week of:</w:t>
      </w:r>
    </w:p>
    <w:p>
      <w:pPr>
        <w:spacing w:after="160"/>
      </w:pPr>
      <w:r>
        <w:rPr>
          <w:rFonts w:ascii="Georgia" w:hAnsi="Georgia"/>
          <w:b w:val="0"/>
          <w:i w:val="0"/>
          <w:color w:val="142233"/>
          <w:sz w:val="21"/>
        </w:rPr>
        <w:t>16 March 2026</w:t>
      </w:r>
    </w:p>
    <w:p>
      <w:pPr>
        <w:spacing w:after="160"/>
      </w:pPr>
      <w:r>
        <w:rPr>
          <w:rFonts w:ascii="Georgia" w:hAnsi="Georgia"/>
          <w:b w:val="0"/>
          <w:i w:val="0"/>
          <w:color w:val="142233"/>
          <w:sz w:val="21"/>
        </w:rPr>
        <w:t>Coverage:</w:t>
      </w:r>
    </w:p>
    <w:p>
      <w:pPr>
        <w:spacing w:after="160"/>
      </w:pPr>
      <w:r>
        <w:rPr>
          <w:rFonts w:ascii="Georgia" w:hAnsi="Georgia"/>
          <w:b w:val="0"/>
          <w:i w:val="0"/>
          <w:color w:val="142233"/>
          <w:sz w:val="21"/>
        </w:rPr>
        <w:t>Energy · Finance · Healthcare · Defense · Gov · Tech</w:t>
      </w:r>
    </w:p>
    <w:p>
      <w:pPr>
        <w:spacing w:after="160"/>
      </w:pPr>
      <w:r>
        <w:rPr>
          <w:rFonts w:ascii="Georgia" w:hAnsi="Georgia"/>
          <w:b w:val="0"/>
          <w:i w:val="0"/>
          <w:color w:val="142233"/>
          <w:sz w:val="21"/>
        </w:rPr>
        <w:t>Elevated — Iran-linked retaliation activity ongoing across all sectors</w:t>
      </w:r>
    </w:p>
    <w:p>
      <w:pPr>
        <w:spacing w:after="160"/>
      </w:pPr>
      <w:r>
        <w:rPr>
          <w:rFonts w:ascii="Georgia" w:hAnsi="Georgia"/>
          <w:b w:val="0"/>
          <w:i w:val="0"/>
          <w:color w:val="142233"/>
          <w:sz w:val="21"/>
        </w:rPr>
        <w:t>This Week's Threats — 10–16 March 2026</w:t>
      </w:r>
    </w:p>
    <w:p>
      <w:pPr>
        <w:spacing w:before="200"/>
      </w:pPr>
      <w:r>
        <w:rPr>
          <w:rFonts w:ascii="Calibri" w:hAnsi="Calibri"/>
          <w:b/>
          <w:color w:val="7A5A1E"/>
          <w:sz w:val="16"/>
        </w:rPr>
        <w:t>ENERGY</w:t>
        <w:br/>
      </w:r>
      <w:r>
        <w:rPr>
          <w:b/>
          <w:color w:val="142233"/>
          <w:sz w:val="23"/>
        </w:rPr>
        <w:t>Qilin ransomware targets Texas electric cooperatives; ERCOT grid probing persists</w:t>
      </w:r>
    </w:p>
    <w:p>
      <w:pPr>
        <w:spacing w:after="40"/>
      </w:pPr>
      <w:r>
        <w:br/>
      </w:r>
      <w:r>
        <w:rPr>
          <w:rFonts w:ascii="Georgia" w:hAnsi="Georgia"/>
          <w:b/>
          <w:i w:val="0"/>
          <w:color w:val="142233"/>
          <w:sz w:val="20"/>
        </w:rPr>
        <w:t>Summary:</w:t>
      </w:r>
      <w:r>
        <w:rPr>
          <w:rFonts w:ascii="Georgia" w:hAnsi="Georgia"/>
          <w:b w:val="0"/>
          <w:i w:val="0"/>
          <w:color w:val="142233"/>
          <w:sz w:val="20"/>
        </w:rPr>
        <w:t xml:space="preserve"> The Qilin ransomware gang — with confirmed Russian ties — claimed attacks on San Bernard and Karnes Electric cooperatives, leaking financial records and board-director PII. Incident follows sustained probing of Texas LNG export infrastructure.</w:t>
      </w:r>
      <w:r>
        <w:br/>
      </w:r>
      <w:r>
        <w:br/>
      </w:r>
      <w:r>
        <w:br/>
      </w:r>
      <w:r>
        <w:rPr>
          <w:rFonts w:ascii="Georgia" w:hAnsi="Georgia"/>
          <w:b/>
          <w:i w:val="0"/>
          <w:color w:val="142233"/>
          <w:sz w:val="20"/>
        </w:rPr>
        <w:t>Assessment:</w:t>
      </w:r>
      <w:r>
        <w:rPr>
          <w:rFonts w:ascii="Georgia" w:hAnsi="Georgia"/>
          <w:b w:val="0"/>
          <w:i w:val="0"/>
          <w:color w:val="142233"/>
          <w:sz w:val="20"/>
        </w:rPr>
        <w:t xml:space="preserve"> Qilin will almost certainly leverage exfiltrated director PII for targeted spearphishing against adjacent co-ops and upstream LNG operators. The gang's pattern — publish, then pivot — suggests a follow-on intrusion attempt against a larger Texas grid asset within 30–60 days, likely using stolen credentials from the initial breach as the entry vector.</w:t>
        <w:br/>
        <w:t xml:space="preserve"> </w:t>
      </w:r>
    </w:p>
    <w:p>
      <w:pPr>
        <w:spacing w:after="80"/>
      </w:pPr>
      <w:hyperlink r:id="rId11">
        <w:r>
          <w:rPr>
            <w:color w:val="1F5C8C"/>
            <w:u w:val="single"/>
            <w:sz w:val="17"/>
            <w:rFonts w:ascii="Consolas"/>
          </w:rPr>
          <w:t>Source: Cybernews — Texas Electric Coop Ransomware</w:t>
        </w:r>
      </w:hyperlink>
    </w:p>
    <w:p>
      <w:pPr>
        <w:spacing w:before="200"/>
      </w:pPr>
      <w:r>
        <w:rPr>
          <w:rFonts w:ascii="Calibri" w:hAnsi="Calibri"/>
          <w:b/>
          <w:color w:val="7A5A1E"/>
          <w:sz w:val="16"/>
        </w:rPr>
        <w:t>FINANCE</w:t>
        <w:br/>
      </w:r>
      <w:r>
        <w:rPr>
          <w:b/>
          <w:color w:val="142233"/>
          <w:sz w:val="23"/>
        </w:rPr>
        <w:t>NY DFS warns financial sector of heightened Iranian cyber threats amid U.S.-Iran conflict</w:t>
      </w:r>
    </w:p>
    <w:p>
      <w:pPr>
        <w:spacing w:after="40"/>
      </w:pPr>
      <w:r>
        <w:br/>
      </w:r>
      <w:r>
        <w:rPr>
          <w:rFonts w:ascii="Georgia" w:hAnsi="Georgia"/>
          <w:b/>
          <w:i w:val="0"/>
          <w:color w:val="142233"/>
          <w:sz w:val="20"/>
        </w:rPr>
        <w:t>Summary:</w:t>
      </w:r>
      <w:r>
        <w:rPr>
          <w:rFonts w:ascii="Georgia" w:hAnsi="Georgia"/>
          <w:b w:val="0"/>
          <w:i w:val="0"/>
          <w:color w:val="142233"/>
          <w:sz w:val="20"/>
        </w:rPr>
        <w:t xml:space="preserve"> NY DFS issued an emergency advisory on 3 March tied to ongoing U.S.-Israel operations against Iran. Iran-aligned Hydro Kitten has signaled intent to target U.S. financial infrastructure. AI-driven phishing against finance teams is accelerating.</w:t>
      </w:r>
      <w:r>
        <w:br/>
      </w:r>
      <w:r>
        <w:br/>
      </w:r>
      <w:r>
        <w:br/>
      </w:r>
      <w:r>
        <w:rPr>
          <w:rFonts w:ascii="Georgia" w:hAnsi="Georgia"/>
          <w:b/>
          <w:i w:val="0"/>
          <w:color w:val="142233"/>
          <w:sz w:val="20"/>
        </w:rPr>
        <w:t>Assessment:</w:t>
      </w:r>
      <w:r>
        <w:rPr>
          <w:rFonts w:ascii="Georgia" w:hAnsi="Georgia"/>
          <w:b w:val="0"/>
          <w:i w:val="0"/>
          <w:color w:val="142233"/>
          <w:sz w:val="20"/>
        </w:rPr>
        <w:t xml:space="preserve"> Hydro Kitten will likely shift from reconnaissance to disruptive DDoS against U.S. financial platforms as Iran seeks visible retaliation options short of kinetic escalation. Texas-based payment processors and regional banks are probable secondary targets — large enough to generate political signal, small enough to lack enterprise-grade DDoS mitigation.</w:t>
        <w:br/>
        <w:t xml:space="preserve"> </w:t>
      </w:r>
    </w:p>
    <w:p>
      <w:pPr>
        <w:spacing w:after="80"/>
      </w:pPr>
      <w:hyperlink r:id="rId12">
        <w:r>
          <w:rPr>
            <w:color w:val="1F5C8C"/>
            <w:u w:val="single"/>
            <w:sz w:val="17"/>
            <w:rFonts w:ascii="Consolas"/>
          </w:rPr>
          <w:t>Source: NY DFS — Cybersecurity Advisory 3 Mar 2026</w:t>
        </w:r>
      </w:hyperlink>
    </w:p>
    <w:p>
      <w:pPr>
        <w:spacing w:before="200"/>
      </w:pPr>
      <w:r>
        <w:rPr>
          <w:rFonts w:ascii="Calibri" w:hAnsi="Calibri"/>
          <w:b/>
          <w:color w:val="7A5A1E"/>
          <w:sz w:val="16"/>
        </w:rPr>
        <w:t>HEALTHCARE</w:t>
        <w:br/>
      </w:r>
      <w:r>
        <w:rPr>
          <w:b/>
          <w:color w:val="142233"/>
          <w:sz w:val="23"/>
        </w:rPr>
        <w:t>Iran-linked Handala claims Stryker cyberattack; Senate advances healthcare cyber bill</w:t>
      </w:r>
    </w:p>
    <w:p>
      <w:pPr>
        <w:spacing w:after="40"/>
      </w:pPr>
      <w:r>
        <w:br/>
      </w:r>
      <w:r>
        <w:rPr>
          <w:rFonts w:ascii="Georgia" w:hAnsi="Georgia"/>
          <w:b/>
          <w:i w:val="0"/>
          <w:color w:val="142233"/>
          <w:sz w:val="20"/>
        </w:rPr>
        <w:t>Summary:</w:t>
      </w:r>
      <w:r>
        <w:rPr>
          <w:rFonts w:ascii="Georgia" w:hAnsi="Georgia"/>
          <w:b w:val="0"/>
          <w:i w:val="0"/>
          <w:color w:val="142233"/>
          <w:sz w:val="20"/>
        </w:rPr>
        <w:t xml:space="preserve"> Iran-affiliated hackers disrupted Stryker's global Microsoft environment — the first major U.S. healthcare supply-chain strike since U.S.-Iran hostilities escalated. Senate advanced bipartisan legislation requiring MFA, encryption, and HHS incident-response frameworks.</w:t>
      </w:r>
      <w:r>
        <w:br/>
      </w:r>
      <w:r>
        <w:br/>
      </w:r>
      <w:r>
        <w:br/>
      </w:r>
      <w:r>
        <w:rPr>
          <w:rFonts w:ascii="Georgia" w:hAnsi="Georgia"/>
          <w:b/>
          <w:i w:val="0"/>
          <w:color w:val="142233"/>
          <w:sz w:val="20"/>
        </w:rPr>
        <w:t>Assessment:</w:t>
      </w:r>
      <w:r>
        <w:rPr>
          <w:rFonts w:ascii="Georgia" w:hAnsi="Georgia"/>
          <w:b w:val="0"/>
          <w:i w:val="0"/>
          <w:color w:val="142233"/>
          <w:sz w:val="20"/>
        </w:rPr>
        <w:t xml:space="preserve"> Handala will likely expand beyond Stryker to other U.S. medical device and pharma manufacturers to sustain political pressure during the conflict. The group has demonstrated a preference for targets with high public visibility and downstream hospital dependencies — expect additional supply-chain disruptions timed to U.S. military operational tempo against Iran.</w:t>
        <w:br/>
        <w:t xml:space="preserve"> </w:t>
      </w:r>
    </w:p>
    <w:p>
      <w:pPr>
        <w:spacing w:after="80"/>
      </w:pPr>
      <w:hyperlink r:id="rId13">
        <w:r>
          <w:rPr>
            <w:color w:val="1F5C8C"/>
            <w:u w:val="single"/>
            <w:sz w:val="17"/>
            <w:rFonts w:ascii="Consolas"/>
          </w:rPr>
          <w:t>Source: Chief Healthcare Executive — Stryker Attack</w:t>
        </w:r>
      </w:hyperlink>
    </w:p>
    <w:p>
      <w:pPr>
        <w:spacing w:before="200"/>
      </w:pPr>
      <w:r>
        <w:rPr>
          <w:rFonts w:ascii="Calibri" w:hAnsi="Calibri"/>
          <w:b/>
          <w:color w:val="7A5A1E"/>
          <w:sz w:val="16"/>
        </w:rPr>
        <w:t>DEFENSE</w:t>
        <w:br/>
      </w:r>
      <w:r>
        <w:rPr>
          <w:b/>
          <w:color w:val="142233"/>
          <w:sz w:val="23"/>
        </w:rPr>
        <w:t>Salt Typhoon telecom espionage continues; Texas orders review of Chinese-made medical devices</w:t>
      </w:r>
    </w:p>
    <w:p>
      <w:pPr>
        <w:spacing w:after="40"/>
      </w:pPr>
      <w:r>
        <w:br/>
      </w:r>
      <w:r>
        <w:rPr>
          <w:rFonts w:ascii="Georgia" w:hAnsi="Georgia"/>
          <w:b/>
          <w:i w:val="0"/>
          <w:color w:val="142233"/>
          <w:sz w:val="20"/>
        </w:rPr>
        <w:t>Summary:</w:t>
      </w:r>
      <w:r>
        <w:rPr>
          <w:rFonts w:ascii="Georgia" w:hAnsi="Georgia"/>
          <w:b w:val="0"/>
          <w:i w:val="0"/>
          <w:color w:val="142233"/>
          <w:sz w:val="20"/>
        </w:rPr>
        <w:t xml:space="preserve"> China's Salt Typhoon APT has compromised 200+ firms across 80 countries, focusing on wiretap systems and defense-adjacent communications. Texas ordered a cybersecurity review of state agencies' Chinese-manufactured medical devices after federal warnings.</w:t>
      </w:r>
      <w:r>
        <w:br/>
      </w:r>
      <w:r>
        <w:br/>
      </w:r>
      <w:r>
        <w:br/>
      </w:r>
      <w:r>
        <w:rPr>
          <w:rFonts w:ascii="Georgia" w:hAnsi="Georgia"/>
          <w:b/>
          <w:i w:val="0"/>
          <w:color w:val="142233"/>
          <w:sz w:val="20"/>
        </w:rPr>
        <w:t>Assessment:</w:t>
      </w:r>
      <w:r>
        <w:rPr>
          <w:rFonts w:ascii="Georgia" w:hAnsi="Georgia"/>
          <w:b w:val="0"/>
          <w:i w:val="0"/>
          <w:color w:val="142233"/>
          <w:sz w:val="20"/>
        </w:rPr>
        <w:t xml:space="preserve"> Salt Typhoon will almost certainly use its persistent telecom access to map the communications patterns of Texas-based defense contractors and cleared personnel — building a targeting package for future collection rather than immediate disruption. The Chinese-device review is likely to surface undisclosed access points; MSS will move to deactivate or obfuscate implants before formal remediation orders are issued.</w:t>
        <w:br/>
        <w:t xml:space="preserve"> </w:t>
      </w:r>
    </w:p>
    <w:p>
      <w:pPr>
        <w:spacing w:after="80"/>
      </w:pPr>
      <w:hyperlink r:id="rId14">
        <w:r>
          <w:rPr>
            <w:color w:val="1F5C8C"/>
            <w:u w:val="single"/>
            <w:sz w:val="17"/>
            <w:rFonts w:ascii="Consolas"/>
          </w:rPr>
          <w:t>Source: Industrial Cyber — TX Device Review &amp; Salt Typhoon</w:t>
        </w:r>
      </w:hyperlink>
    </w:p>
    <w:p>
      <w:pPr>
        <w:spacing w:before="200"/>
      </w:pPr>
      <w:r>
        <w:rPr>
          <w:rFonts w:ascii="Calibri" w:hAnsi="Calibri"/>
          <w:b/>
          <w:color w:val="7A5A1E"/>
          <w:sz w:val="16"/>
        </w:rPr>
        <w:t>GOVERNMENT</w:t>
        <w:br/>
      </w:r>
      <w:r>
        <w:rPr>
          <w:b/>
          <w:color w:val="142233"/>
          <w:sz w:val="23"/>
        </w:rPr>
        <w:t>FBI flags impersonation campaign targeting permit applicants; Texas municipalities remain exposed</w:t>
      </w:r>
    </w:p>
    <w:p>
      <w:pPr>
        <w:spacing w:after="40"/>
      </w:pPr>
      <w:r>
        <w:br/>
      </w:r>
      <w:r>
        <w:rPr>
          <w:rFonts w:ascii="Georgia" w:hAnsi="Georgia"/>
          <w:b/>
          <w:i w:val="0"/>
          <w:color w:val="142233"/>
          <w:sz w:val="20"/>
        </w:rPr>
        <w:t>Summary:</w:t>
      </w:r>
      <w:r>
        <w:rPr>
          <w:rFonts w:ascii="Georgia" w:hAnsi="Georgia"/>
          <w:b w:val="0"/>
          <w:i w:val="0"/>
          <w:color w:val="142233"/>
          <w:sz w:val="20"/>
        </w:rPr>
        <w:t xml:space="preserve"> FBI warned of a U.S.-wide phishing campaign impersonating local officials to steal permit payments via publicly available zoning data. Texas cities including McKinney, Coppell, and Richardson disclosed attacks over the past year.</w:t>
      </w:r>
      <w:r>
        <w:br/>
      </w:r>
      <w:r>
        <w:br/>
      </w:r>
      <w:r>
        <w:br/>
      </w:r>
      <w:r>
        <w:rPr>
          <w:rFonts w:ascii="Georgia" w:hAnsi="Georgia"/>
          <w:b/>
          <w:i w:val="0"/>
          <w:color w:val="142233"/>
          <w:sz w:val="20"/>
        </w:rPr>
        <w:t>Assessment:</w:t>
      </w:r>
      <w:r>
        <w:rPr>
          <w:rFonts w:ascii="Georgia" w:hAnsi="Georgia"/>
          <w:b w:val="0"/>
          <w:i w:val="0"/>
          <w:color w:val="142233"/>
          <w:sz w:val="20"/>
        </w:rPr>
        <w:t xml:space="preserve"> The impersonation operators behind this campaign will almost certainly expand their target set from permit applicants to utility payment portals and tax collection systems — higher-value transactions with the same OSINT-rich zoning and property records as a data source. Ransomware actors monitoring the Mission, TX incident will likely probe other border-region municipalities, anticipating that crisis-mode governments pay faster.</w:t>
        <w:br/>
        <w:t xml:space="preserve"> </w:t>
      </w:r>
    </w:p>
    <w:p>
      <w:pPr>
        <w:spacing w:after="80"/>
      </w:pPr>
      <w:hyperlink r:id="rId15">
        <w:r>
          <w:rPr>
            <w:color w:val="1F5C8C"/>
            <w:u w:val="single"/>
            <w:sz w:val="17"/>
            <w:rFonts w:ascii="Consolas"/>
          </w:rPr>
          <w:t>Source: Digital Forensics Magazine — 13 Mar 2026 Roundup</w:t>
        </w:r>
      </w:hyperlink>
    </w:p>
    <w:p>
      <w:pPr>
        <w:spacing w:before="200"/>
      </w:pPr>
      <w:r>
        <w:rPr>
          <w:rFonts w:ascii="Calibri" w:hAnsi="Calibri"/>
          <w:b/>
          <w:color w:val="7A5A1E"/>
          <w:sz w:val="16"/>
        </w:rPr>
        <w:t>TECHNOLOGY</w:t>
        <w:br/>
      </w:r>
      <w:r>
        <w:rPr>
          <w:b/>
          <w:color w:val="142233"/>
          <w:sz w:val="23"/>
        </w:rPr>
        <w:t>AI-generated "Slopoly" malware enables Interlock ransomware dwell; White House demands active defense</w:t>
      </w:r>
    </w:p>
    <w:p>
      <w:pPr>
        <w:spacing w:after="40"/>
      </w:pPr>
      <w:r>
        <w:br/>
      </w:r>
      <w:r>
        <w:rPr>
          <w:rFonts w:ascii="Georgia" w:hAnsi="Georgia"/>
          <w:b/>
          <w:i w:val="0"/>
          <w:color w:val="142233"/>
          <w:sz w:val="20"/>
        </w:rPr>
        <w:t>Summary:</w:t>
      </w:r>
      <w:r>
        <w:rPr>
          <w:rFonts w:ascii="Georgia" w:hAnsi="Georgia"/>
          <w:b w:val="0"/>
          <w:i w:val="0"/>
          <w:color w:val="142233"/>
          <w:sz w:val="20"/>
        </w:rPr>
        <w:t xml:space="preserve"> AI-generated malware "Slopoly" gave Interlock ransomware operators undetected access for over a week before exfiltration. The White House's 6-pillar National Cybersecurity Strategy (6 March) formally calls on the private sector to actively hunt and disrupt adversary networks.</w:t>
      </w:r>
      <w:r>
        <w:br/>
      </w:r>
      <w:r>
        <w:br/>
      </w:r>
      <w:r>
        <w:br/>
      </w:r>
      <w:r>
        <w:rPr>
          <w:rFonts w:ascii="Georgia" w:hAnsi="Georgia"/>
          <w:b/>
          <w:i w:val="0"/>
          <w:color w:val="142233"/>
          <w:sz w:val="20"/>
        </w:rPr>
        <w:t>Assessment:</w:t>
      </w:r>
      <w:r>
        <w:rPr>
          <w:rFonts w:ascii="Georgia" w:hAnsi="Georgia"/>
          <w:b w:val="0"/>
          <w:i w:val="0"/>
          <w:color w:val="142233"/>
          <w:sz w:val="20"/>
        </w:rPr>
        <w:t xml:space="preserve"> Interlock will use the Slopoly dwell-time advantage to replicate this playbook against additional managed service providers — AI-generated malware lowers their tooling cost while extending pre-exfiltration access windows. As the White House strategy increases private-sector threat-hunting pressure, Interlock and similar groups will likely accelerate their intrusion-to-extortion timelines to outpace newly mandated detection capabilities.</w:t>
        <w:br/>
        <w:t xml:space="preserve"> </w:t>
      </w:r>
    </w:p>
    <w:p>
      <w:pPr>
        <w:spacing w:after="80"/>
      </w:pPr>
      <w:hyperlink r:id="rId15">
        <w:r>
          <w:rPr>
            <w:color w:val="1F5C8C"/>
            <w:u w:val="single"/>
            <w:sz w:val="17"/>
            <w:rFonts w:ascii="Consolas"/>
          </w:rPr>
          <w:t>Source: Digital Forensics Magazine — Slopoly / Interlock</w:t>
        </w:r>
      </w:hyperlink>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ybernews.com/security/texas-electric-coops-ransomware-attack/" TargetMode="External"/><Relationship Id="rId12" Type="http://schemas.openxmlformats.org/officeDocument/2006/relationships/hyperlink" Target="https://www.dfs.ny.gov/industry-guidance/industry-letters/20260303-cybersecurity-advisory-heightened-cyber-threats-global-conflict" TargetMode="External"/><Relationship Id="rId13" Type="http://schemas.openxmlformats.org/officeDocument/2006/relationships/hyperlink" Target="https://www.chiefhealthcareexecutive.com/view/the-stryker-cyberattack-and-what-hospitals-should-be-doing" TargetMode="External"/><Relationship Id="rId14" Type="http://schemas.openxmlformats.org/officeDocument/2006/relationships/hyperlink" Target="https://industrialcyber.co/reports/healthcare-ransomware-attacks-surge-30-in-2025-as-cybercriminals-shift-focus-to-vendors-and-service-partners/" TargetMode="External"/><Relationship Id="rId15" Type="http://schemas.openxmlformats.org/officeDocument/2006/relationships/hyperlink" Target="https://digitalforensicsmagazine.com/news-roundup-13th-march-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