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ATB-2026-15</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14–20 JUNE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2026-06-21</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PRE-POSITIONING IS THE NEW BASELINE</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Who has the authority and the means to sever a compromised vendor, remote-access pathway, or telecom/cloud dependency in the first hour of a crisis? If the answer lives only inside IT, that is the gap.</w:t>
      </w:r>
    </w:p>
    <w:p>
      <w:pPr>
        <w:spacing w:before="160" w:after="40"/>
      </w:pPr>
      <w:r>
        <w:rPr>
          <w:b/>
          <w:color w:val="7A5A1E"/>
          <w:sz w:val="20"/>
        </w:rPr>
        <w:t>Board Implications This Week — Direct</w:t>
      </w:r>
    </w:p>
    <w:p>
      <w:pPr>
        <w:spacing w:after="40"/>
      </w:pPr>
      <w:r>
        <w:rPr>
          <w:rFonts w:ascii="Georgia" w:hAnsi="Georgia"/>
          <w:b w:val="0"/>
          <w:i w:val="0"/>
          <w:color w:val="142233"/>
          <w:sz w:val="19"/>
        </w:rPr>
        <w:t>Run a 72-hour dependency drill this week. Identify the top five external dependencies that would stop operations if degraded, and confirm in writing who can isolate each one.</w:t>
      </w:r>
    </w:p>
    <w:p>
      <w:pPr>
        <w:spacing w:before="160" w:after="40"/>
      </w:pPr>
      <w:r>
        <w:rPr>
          <w:b/>
          <w:color w:val="7A5A1E"/>
          <w:sz w:val="20"/>
        </w:rPr>
        <w:t>Board Implications This Week — Document</w:t>
      </w:r>
    </w:p>
    <w:p>
      <w:pPr>
        <w:spacing w:after="40"/>
      </w:pPr>
      <w:r>
        <w:rPr>
          <w:rFonts w:ascii="Georgia" w:hAnsi="Georgia"/>
          <w:b w:val="0"/>
          <w:i w:val="0"/>
          <w:color w:val="142233"/>
          <w:sz w:val="19"/>
        </w:rPr>
        <w:t>Revalidate remote hires and contractors onboarded in the past six months — identity, laptop custody, location consistency, repository and cloud permissions. This is a governance record, not just an HR file.</w:t>
      </w:r>
    </w:p>
    <w:p>
      <w:pPr>
        <w:spacing w:before="160" w:after="40"/>
      </w:pPr>
      <w:r>
        <w:rPr>
          <w:b/>
          <w:color w:val="7A5A1E"/>
          <w:sz w:val="20"/>
        </w:rPr>
        <w:t>Board Implications This Week — Rehearse</w:t>
      </w:r>
    </w:p>
    <w:p>
      <w:pPr>
        <w:spacing w:after="40"/>
      </w:pPr>
      <w:r>
        <w:rPr>
          <w:rFonts w:ascii="Georgia" w:hAnsi="Georgia"/>
          <w:b w:val="0"/>
          <w:i w:val="0"/>
          <w:color w:val="142233"/>
          <w:sz w:val="19"/>
        </w:rPr>
        <w:t>Pre-approve emergency isolation authority and public-disclosure thresholds now, before a Hormuz or refinery-strike escalation forces the decision under pressure.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NCSC: Hostile States Pre-Positioning Inside Critical Infrastructure</w:t>
      </w:r>
    </w:p>
    <w:p>
      <w:pPr>
        <w:spacing w:after="160"/>
      </w:pPr>
      <w:r>
        <w:rPr>
          <w:rFonts w:ascii="Georgia" w:hAnsi="Georgia"/>
          <w:b w:val="0"/>
          <w:i w:val="0"/>
          <w:color w:val="142233"/>
          <w:sz w:val="21"/>
        </w:rPr>
        <w:t xml:space="preserve">On </w:t>
      </w:r>
      <w:r>
        <w:rPr>
          <w:rFonts w:ascii="Georgia" w:hAnsi="Georgia"/>
          <w:b/>
          <w:i w:val="0"/>
          <w:color w:val="142233"/>
          <w:sz w:val="21"/>
        </w:rPr>
        <w:t>17 June 2026</w:t>
      </w:r>
      <w:r>
        <w:rPr>
          <w:rFonts w:ascii="Georgia" w:hAnsi="Georgia"/>
          <w:b w:val="0"/>
          <w:i w:val="0"/>
          <w:color w:val="142233"/>
          <w:sz w:val="21"/>
        </w:rPr>
        <w:t xml:space="preserve">, NCSC CEO Dr. Richard Horne told the RUSI Annual Security Lecture that the agency handled </w:t>
      </w:r>
      <w:r>
        <w:rPr>
          <w:rFonts w:ascii="Georgia" w:hAnsi="Georgia"/>
          <w:b/>
          <w:i w:val="0"/>
          <w:color w:val="142233"/>
          <w:sz w:val="21"/>
        </w:rPr>
        <w:t>more than 200 cyber incidents</w:t>
      </w:r>
      <w:r>
        <w:rPr>
          <w:rFonts w:ascii="Georgia" w:hAnsi="Georgia"/>
          <w:b w:val="0"/>
          <w:i w:val="0"/>
          <w:color w:val="142233"/>
          <w:sz w:val="21"/>
        </w:rPr>
        <w:t xml:space="preserve"> affecting UK critical infrastructure and its supporting ecosystem in the year to May 2026, with </w:t>
      </w:r>
      <w:r>
        <w:rPr>
          <w:rFonts w:ascii="Georgia" w:hAnsi="Georgia"/>
          <w:b/>
          <w:i w:val="0"/>
          <w:color w:val="142233"/>
          <w:sz w:val="21"/>
        </w:rPr>
        <w:t>about 75% linked to hostile state actors</w:t>
      </w:r>
      <w:r>
        <w:rPr>
          <w:rFonts w:ascii="Georgia" w:hAnsi="Georgia"/>
          <w:b w:val="0"/>
          <w:i w:val="0"/>
          <w:color w:val="142233"/>
          <w:sz w:val="21"/>
        </w:rPr>
        <w:t xml:space="preserve"> — Russia, China, and Iran by name. Horne warned that adversaries “are pre-positioning today, establishing footholds within technology that underpins critical national infrastructure that could enable rapid exploitation to cause mass disruption in a time of conflict,” and that NCSC assesses it highly likely AI will let attackers exploit known legacy vulnerabilities at scale by 2028. The warning is UK-based, but the target logic — telecom, cloud, vendor, and identity pathways supporting essential services — maps directly onto Texas infrastructure dependencies.</w:t>
      </w:r>
    </w:p>
    <w:p>
      <w:pPr>
        <w:spacing w:before="200" w:after="120"/>
      </w:pPr>
      <w:r>
        <w:rPr>
          <w:rFonts w:ascii="Calibri" w:hAnsi="Calibri"/>
          <w:b/>
          <w:color w:val="142233"/>
          <w:sz w:val="23"/>
        </w:rPr>
        <w:t>Iran: Hormuz Closure Declared, Disputed, While Talks Continue</w:t>
      </w:r>
    </w:p>
    <w:p>
      <w:pPr>
        <w:spacing w:after="160"/>
      </w:pPr>
      <w:r>
        <w:rPr>
          <w:rFonts w:ascii="Georgia" w:hAnsi="Georgia"/>
          <w:b w:val="0"/>
          <w:i w:val="0"/>
          <w:color w:val="142233"/>
          <w:sz w:val="21"/>
        </w:rPr>
        <w:t xml:space="preserve">The U.S. and Iran signed an Islamabad memorandum of understanding on </w:t>
      </w:r>
      <w:r>
        <w:rPr>
          <w:rFonts w:ascii="Georgia" w:hAnsi="Georgia"/>
          <w:b/>
          <w:i w:val="0"/>
          <w:color w:val="142233"/>
          <w:sz w:val="21"/>
        </w:rPr>
        <w:t>17 June</w:t>
      </w:r>
      <w:r>
        <w:rPr>
          <w:rFonts w:ascii="Georgia" w:hAnsi="Georgia"/>
          <w:b w:val="0"/>
          <w:i w:val="0"/>
          <w:color w:val="142233"/>
          <w:sz w:val="21"/>
        </w:rPr>
        <w:t xml:space="preserve"> extending their ceasefire 60 days and reopening the Strait of Hormuz. That arrangement began fracturing within 72 hours: on </w:t>
      </w:r>
      <w:r>
        <w:rPr>
          <w:rFonts w:ascii="Georgia" w:hAnsi="Georgia"/>
          <w:b/>
          <w:i w:val="0"/>
          <w:color w:val="142233"/>
          <w:sz w:val="21"/>
        </w:rPr>
        <w:t>20 June</w:t>
      </w:r>
      <w:r>
        <w:rPr>
          <w:rFonts w:ascii="Georgia" w:hAnsi="Georgia"/>
          <w:b w:val="0"/>
          <w:i w:val="0"/>
          <w:color w:val="142233"/>
          <w:sz w:val="21"/>
        </w:rPr>
        <w:t xml:space="preserve">, Iran’s military command declared the Strait closed again, citing continued Israeli strikes in Lebanon and alleged U.S. failure to enforce the agreement’s first clause. </w:t>
      </w:r>
      <w:r>
        <w:rPr>
          <w:rFonts w:ascii="Georgia" w:hAnsi="Georgia"/>
          <w:b/>
          <w:i w:val="0"/>
          <w:color w:val="142233"/>
          <w:sz w:val="21"/>
        </w:rPr>
        <w:t>U.S. Central Command and Vice President Vance dispute the claim</w:t>
      </w:r>
      <w:r>
        <w:rPr>
          <w:rFonts w:ascii="Georgia" w:hAnsi="Georgia"/>
          <w:b w:val="0"/>
          <w:i w:val="0"/>
          <w:color w:val="142233"/>
          <w:sz w:val="21"/>
        </w:rPr>
        <w:t xml:space="preserve">, stating the Strait remains open and that Iran does not control it. Technical-level talks between U.S. and Iranian delegations are proceeding in Switzerland as of 21 June. Separately, a </w:t>
      </w:r>
      <w:r>
        <w:rPr>
          <w:rFonts w:ascii="Georgia" w:hAnsi="Georgia"/>
          <w:b/>
          <w:i w:val="0"/>
          <w:color w:val="142233"/>
          <w:sz w:val="21"/>
        </w:rPr>
        <w:t>14 June</w:t>
      </w:r>
      <w:r>
        <w:rPr>
          <w:rFonts w:ascii="Georgia" w:hAnsi="Georgia"/>
          <w:b w:val="0"/>
          <w:i w:val="0"/>
          <w:color w:val="142233"/>
          <w:sz w:val="21"/>
        </w:rPr>
        <w:t xml:space="preserve"> cyberattack disrupted the shared communications system serving four Iranian banks — Bank Melli, Bank Saderat, Bank Tejarat, and the Export Development Bank of Iran — with temporary outages and no claimed data theft; reporting points to Israel-aligned activity, though attribution remains unconfirmed.</w:t>
      </w:r>
    </w:p>
    <w:p>
      <w:pPr>
        <w:spacing w:before="200" w:after="120"/>
      </w:pPr>
      <w:r>
        <w:rPr>
          <w:rFonts w:ascii="Calibri" w:hAnsi="Calibri"/>
          <w:b/>
          <w:color w:val="142233"/>
          <w:sz w:val="23"/>
        </w:rPr>
        <w:t>Russia: Ukrainian Strikes Take a Third of Refining Capacity Offline</w:t>
      </w:r>
    </w:p>
    <w:p>
      <w:pPr>
        <w:spacing w:after="160"/>
      </w:pPr>
      <w:r>
        <w:rPr>
          <w:rFonts w:ascii="Georgia" w:hAnsi="Georgia"/>
          <w:b w:val="0"/>
          <w:i w:val="0"/>
          <w:color w:val="142233"/>
          <w:sz w:val="21"/>
        </w:rPr>
        <w:t xml:space="preserve">Ukrainian drone strikes hit Gazprom Neft’s Kapotnya refinery in Moscow twice in one week — </w:t>
      </w:r>
      <w:r>
        <w:rPr>
          <w:rFonts w:ascii="Georgia" w:hAnsi="Georgia"/>
          <w:b/>
          <w:i w:val="0"/>
          <w:color w:val="142233"/>
          <w:sz w:val="21"/>
        </w:rPr>
        <w:t>16 and 18 June</w:t>
      </w:r>
      <w:r>
        <w:rPr>
          <w:rFonts w:ascii="Georgia" w:hAnsi="Georgia"/>
          <w:b w:val="0"/>
          <w:i w:val="0"/>
          <w:color w:val="142233"/>
          <w:sz w:val="21"/>
        </w:rPr>
        <w:t xml:space="preserve">, the second wave involving roughly 200 drones — along with a Krasnodar oil depot. Kapotnya supplies up to 40% of Moscow’s gasoline. Industry assessments now put </w:t>
      </w:r>
      <w:r>
        <w:rPr>
          <w:rFonts w:ascii="Georgia" w:hAnsi="Georgia"/>
          <w:b/>
          <w:i w:val="0"/>
          <w:color w:val="142233"/>
          <w:sz w:val="21"/>
        </w:rPr>
        <w:t>roughly a third of Russia’s primary refining capacity (over 2 million barrels per day) offline or impaired</w:t>
      </w:r>
      <w:r>
        <w:rPr>
          <w:rFonts w:ascii="Georgia" w:hAnsi="Georgia"/>
          <w:b w:val="0"/>
          <w:i w:val="0"/>
          <w:color w:val="142233"/>
          <w:sz w:val="21"/>
        </w:rPr>
        <w:t>, with fuel shortages spreading across more than 25 Russian regions. This is the most significant escalation yet in Ukraine’s refinery campaign and directly raises Moscow’s incentive for retaliatory or deniable cyber activity against Western infrastructure and energy-linked suppliers.</w:t>
      </w:r>
    </w:p>
    <w:p>
      <w:pPr>
        <w:spacing w:before="200" w:after="120"/>
      </w:pPr>
      <w:r>
        <w:rPr>
          <w:rFonts w:ascii="Calibri" w:hAnsi="Calibri"/>
          <w:b/>
          <w:color w:val="142233"/>
          <w:sz w:val="23"/>
        </w:rPr>
        <w:t>Dark-Fleet Tankers: USCG Cyber Command Finds Remote-Access and Wipe Tooling</w:t>
      </w:r>
    </w:p>
    <w:p>
      <w:pPr>
        <w:spacing w:after="160"/>
      </w:pPr>
      <w:r>
        <w:rPr>
          <w:rFonts w:ascii="Georgia" w:hAnsi="Georgia"/>
          <w:b w:val="0"/>
          <w:i w:val="0"/>
          <w:color w:val="142233"/>
          <w:sz w:val="21"/>
        </w:rPr>
        <w:t xml:space="preserve">The Wall Street Journal reported on USCG Cyber Command findings — on the record from </w:t>
      </w:r>
      <w:r>
        <w:rPr>
          <w:rFonts w:ascii="Georgia" w:hAnsi="Georgia"/>
          <w:b/>
          <w:i w:val="0"/>
          <w:color w:val="142233"/>
          <w:sz w:val="21"/>
        </w:rPr>
        <w:t>Rear Admiral Jason Tama</w:t>
      </w:r>
      <w:r>
        <w:rPr>
          <w:rFonts w:ascii="Georgia" w:hAnsi="Georgia"/>
          <w:b w:val="0"/>
          <w:i w:val="0"/>
          <w:color w:val="142233"/>
          <w:sz w:val="21"/>
        </w:rPr>
        <w:t xml:space="preserve"> — that seized tankers carrying sanctioned Russian and Iranian oil commonly run constant internet links, remote-desktop software (AnyDesk, TeamViewer), GPS-spoofing equipment, multiple simultaneous AIS identities, and malware-laced pirated software wired into navigation and operational systems. In one case, crew attempted to remotely wipe data after U.S. boarding teams came aboard. The finding has already prompted the UK, France, and Germany to step up interdictions.</w:t>
      </w:r>
    </w:p>
    <w:p>
      <w:pPr>
        <w:spacing w:before="200" w:after="120"/>
      </w:pPr>
      <w:r>
        <w:rPr>
          <w:rFonts w:ascii="Calibri" w:hAnsi="Calibri"/>
          <w:b/>
          <w:color w:val="142233"/>
          <w:sz w:val="23"/>
        </w:rPr>
        <w:t>DPRK: Nisos Discloses Scale of AI-Enabled Employment Fraud</w:t>
      </w:r>
    </w:p>
    <w:p>
      <w:pPr>
        <w:spacing w:after="160"/>
      </w:pPr>
      <w:r>
        <w:rPr>
          <w:rFonts w:ascii="Georgia" w:hAnsi="Georgia"/>
          <w:b w:val="0"/>
          <w:i w:val="0"/>
          <w:color w:val="142233"/>
          <w:sz w:val="21"/>
        </w:rPr>
        <w:t xml:space="preserve">Nisos published research on </w:t>
      </w:r>
      <w:r>
        <w:rPr>
          <w:rFonts w:ascii="Georgia" w:hAnsi="Georgia"/>
          <w:b/>
          <w:i w:val="0"/>
          <w:color w:val="142233"/>
          <w:sz w:val="21"/>
        </w:rPr>
        <w:t>16 and 18 June</w:t>
      </w:r>
      <w:r>
        <w:rPr>
          <w:rFonts w:ascii="Georgia" w:hAnsi="Georgia"/>
          <w:b w:val="0"/>
          <w:i w:val="0"/>
          <w:color w:val="142233"/>
          <w:sz w:val="21"/>
        </w:rPr>
        <w:t xml:space="preserve"> detailing a DPRK-linked employment-fraud cell — up to 22 operatives responsible for </w:t>
      </w:r>
      <w:r>
        <w:rPr>
          <w:rFonts w:ascii="Georgia" w:hAnsi="Georgia"/>
          <w:b/>
          <w:i w:val="0"/>
          <w:color w:val="142233"/>
          <w:sz w:val="21"/>
        </w:rPr>
        <w:t>166,893 job applications, 21,645 interviews, and 76 offers</w:t>
      </w:r>
      <w:r>
        <w:rPr>
          <w:rFonts w:ascii="Georgia" w:hAnsi="Georgia"/>
          <w:b w:val="0"/>
          <w:i w:val="0"/>
          <w:color w:val="142233"/>
          <w:sz w:val="21"/>
        </w:rPr>
        <w:t xml:space="preserve"> across late 2024 and 2025 — using stolen identities, AI-assisted interview coaching, U.S.-based laptop farms with hardware remote-control (PiKVM), and cryptocurrency payouts. Members held positions at five U.S. companies during the monitoring window. The activity itself is not new this week; what changed is the published evidence of its industrial scale and tradecraft.</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it is </w:t>
      </w:r>
      <w:r>
        <w:rPr>
          <w:rFonts w:ascii="Georgia" w:hAnsi="Georgia"/>
          <w:b/>
          <w:i w:val="0"/>
          <w:color w:val="142233"/>
          <w:sz w:val="21"/>
        </w:rPr>
        <w:t>very likely</w:t>
      </w:r>
      <w:r>
        <w:rPr>
          <w:rFonts w:ascii="Georgia" w:hAnsi="Georgia"/>
          <w:b w:val="0"/>
          <w:i w:val="0"/>
          <w:color w:val="142233"/>
          <w:sz w:val="21"/>
        </w:rPr>
        <w:t xml:space="preserve"> (80–95%) that state-linked pre-positioning inside critical infrastructure and its supporting ecosystem extends beyond the UK to U.S. and Texas-relevant telecom, cloud, vendor, and identity pathways.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NCSC CEO Richard Horne, RUSI Annual Security Lecture, 17 June 2026, confirmed against the primary NCSC publication. Primary uncertainty: the precise scope and depth of mirrored access inside U.S. private-sector infrastructure is not independently confirmed in open reporting this week; this is an analytic extension from adversary intent, target value, and ecosystem overlap.</w:t>
      </w:r>
    </w:p>
    <w:p>
      <w:pPr>
        <w:spacing w:after="120"/>
        <w:ind w:left="283"/>
      </w:pPr>
      <w:r>
        <w:rPr>
          <w:color w:val="7A5A1E"/>
          <w:sz w:val="19"/>
        </w:rPr>
        <w:t>Decision implication: Decision Implication: Boards should test whether continuity plans assume cloud, telecom, and vendor access remain available — or whether they account for deliberate, pre-established compromise of those same dependencies.</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Iran will rely on deniable, proxy, or hacktivist cyber activity against U.S. public-service and energy-linked targets rather than overt state action, even if the Strait of Hormuz dispute escalates further.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Iran’s 20 June Hormuz closure declaration disputed by CENTCOM and VP Vance; confirmed 14 June cyberattack on Iranian banking communications infrastructure; continuing Switzerland talks. Primary uncertainty: whether the MOU holds, whether talks produce a durable settlement, and whether Iran shifts from declared to physical interdiction in the Strait.</w:t>
      </w:r>
    </w:p>
    <w:p>
      <w:pPr>
        <w:spacing w:after="120"/>
        <w:ind w:left="283"/>
      </w:pPr>
      <w:r>
        <w:rPr>
          <w:color w:val="7A5A1E"/>
          <w:sz w:val="19"/>
        </w:rPr>
        <w:t>Decision implication: Decision Implication: Texas energy, water, municipal, maritime, and finance leaders should pre-approve emergency isolation authority and public-disclosure thresholds now, rather than waiting for attribution during an active event.</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Russian cyber retaliation incentives against Western infrastructure and energy-linked suppliers have increased as Ukrainian strikes degrade a growing share of Russian refining capacity.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Confirmed Ukrainian strikes on the Kapotnya refinery (16, 18 June) and industry assessments of roughly one-third of Russian refining capacity offline. Primary uncertainty: whether Moscow responds primarily through conventional strikes, cyber retaliation, sabotage, influence operations, or continued technology acquisition — the form of response is not yet observable.</w:t>
      </w:r>
    </w:p>
    <w:p>
      <w:pPr>
        <w:spacing w:after="120"/>
        <w:ind w:left="283"/>
      </w:pPr>
      <w:r>
        <w:rPr>
          <w:color w:val="7A5A1E"/>
          <w:sz w:val="19"/>
        </w:rPr>
        <w:t>Decision implication: Decision Implication: Texas energy, refining, LNG, and logistics operators should review Russian-linked vendor exposure and confirm who can isolate a supplier or disconnect exposed support systems on short notice.</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DPRK employment-fraud access represents an executive-level insider-risk exposure for Texas AI, cloud, software, and defense-industrial employers that bypasses traditional security monitoring.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Nisos research releases, 16 and 18 June 2026, describing a confirmed 22-operative cell with verified application, interview, and offer volumes. Primary uncertainty: whether this disclosed cell represents the bulk of DPRK’s employment-fraud operations or only one exposed fraction of a larger ecosystem.</w:t>
      </w:r>
    </w:p>
    <w:p>
      <w:pPr>
        <w:spacing w:after="120"/>
        <w:ind w:left="283"/>
      </w:pPr>
      <w:r>
        <w:rPr>
          <w:color w:val="7A5A1E"/>
          <w:sz w:val="19"/>
        </w:rPr>
        <w:t>Decision implication: Decision Implication: HR, security, engineering, and legal must jointly own remote-hire vetting. This cannot sit with SOC monitoring alone — the access is granted through hiring, not intrusion.</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Four adversaries, four distinct geopolitical pressures, one shared executive problem. Russia faces deepening fuel-logistics and sanctions pressure as Ukrainian strikes erode refining capacity, raising its incentive to retaliate, collect, and signal against Western infrastructure and Ukraine’s supporters. Iran is operating inside a 72-hour-old ceasefire that is already fracturing over Lebanon, raising the value of proxy and deniable cyber retaliation against U.S.-linked public-service and energy targets. China’s pre-positioning interest in telecom, cloud, and identity pathways — the activity NCSC describes — remains tied to contingency planning for a future Indo-Pacific crisis. North Korea continues scaling employment fraud and developer access to generate sanctions-evading revenue for its weapons programs. Texas matters because its energy, port, finance, healthcare, defense, and AI/data-center concentration gives all four adversaries multiple paths to create leverage beyond their immediate target.</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Texas is not a collection of separately targeted sectors. It is a coupled system in which energy enables logistics and finance, finance enables recovery, healthcare carries immediate human consequence, and the defense-industrial base carries national security consequence. This week’s reporting shows the access adversaries would use to create that cascade already exists — inside telecom and cloud ecosystems (NCSC), inside maritime and energy logistics (dark-fleet), inside banking communications infrastructure (Iran), and inside hiring pipelines for technology and defense employers (DPRK). The board-level risk is not a single cyber event. It is discovering, mid-crisis, that no one owns the decision to sever the dependency that just became a liability.</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Maritime / Refining / OT</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Iran declared the Strait of Hormuz closed on 20 June (disputed by CENTCOM); USCG Cyber Command confirmed remote-access and GPS-spoofing tooling aboard dark-fleet tankers carrying Russian and Iranian oil. </w:t>
            </w:r>
            <w:r>
              <w:rPr>
                <w:rFonts w:ascii="Georgia" w:hAnsi="Georgia"/>
                <w:b/>
                <w:i w:val="0"/>
                <w:color w:val="142233"/>
                <w:sz w:val="19"/>
              </w:rPr>
              <w:t>Why it matters locally:</w:t>
            </w:r>
            <w:r>
              <w:rPr>
                <w:rFonts w:ascii="Georgia" w:hAnsi="Georgia"/>
                <w:b w:val="0"/>
                <w:i w:val="0"/>
                <w:color w:val="142233"/>
                <w:sz w:val="19"/>
              </w:rPr>
              <w:t xml:space="preserve"> Texas refining, LNG, port, and energy-trading operations sit inside the same maritime ecosystem and price-shock exposure. </w:t>
            </w:r>
            <w:r>
              <w:rPr>
                <w:rFonts w:ascii="Georgia" w:hAnsi="Georgia"/>
                <w:b/>
                <w:i w:val="0"/>
                <w:color w:val="142233"/>
                <w:sz w:val="19"/>
              </w:rPr>
              <w:t>Decision-relevant action:</w:t>
            </w:r>
            <w:r>
              <w:rPr>
                <w:rFonts w:ascii="Georgia" w:hAnsi="Georgia"/>
                <w:b w:val="0"/>
                <w:i w:val="0"/>
                <w:color w:val="142233"/>
                <w:sz w:val="19"/>
              </w:rPr>
              <w:t xml:space="preserve"> Confirm who can isolate a vendor or sever remote access into fuel-logistics and terminal OT on short notice; add cyber and AIS-anomaly criteria to vessel vetting and port-access screening. </w:t>
            </w:r>
            <w:r>
              <w:rPr>
                <w:rFonts w:ascii="Georgia" w:hAnsi="Georgia"/>
                <w:b/>
                <w:i w:val="0"/>
                <w:color w:val="142233"/>
                <w:sz w:val="19"/>
              </w:rPr>
              <w:t>Cascade risk:</w:t>
            </w:r>
            <w:r>
              <w:rPr>
                <w:rFonts w:ascii="Georgia" w:hAnsi="Georgia"/>
                <w:b w:val="0"/>
                <w:i w:val="0"/>
                <w:color w:val="142233"/>
                <w:sz w:val="19"/>
              </w:rPr>
              <w:t xml:space="preserve"> Energy and maritime disruption extends to finance, logistics, and public-service continuity within hours.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Shared Infrastructure / Retaliation Risk</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A 14 June cyberattack on shared communications infrastructure disrupted four major Iranian banks simultaneously. </w:t>
            </w:r>
            <w:r>
              <w:rPr>
                <w:rFonts w:ascii="Georgia" w:hAnsi="Georgia"/>
                <w:b/>
                <w:i w:val="0"/>
                <w:color w:val="142233"/>
                <w:sz w:val="19"/>
              </w:rPr>
              <w:t>Why it matters locally:</w:t>
            </w:r>
            <w:r>
              <w:rPr>
                <w:rFonts w:ascii="Georgia" w:hAnsi="Georgia"/>
                <w:b w:val="0"/>
                <w:i w:val="0"/>
                <w:color w:val="142233"/>
                <w:sz w:val="19"/>
              </w:rPr>
              <w:t xml:space="preserve"> The incident is a single-point-of-failure lesson — one shared layer took four institutions down at once — and confirms the Iran cyber front is live and bidirectional, raising Iran’s incentive to reach for deniable retaliatory effects against U.S.-linked finance targets. </w:t>
            </w:r>
            <w:r>
              <w:rPr>
                <w:rFonts w:ascii="Georgia" w:hAnsi="Georgia"/>
                <w:b/>
                <w:i w:val="0"/>
                <w:color w:val="142233"/>
                <w:sz w:val="19"/>
              </w:rPr>
              <w:t>Decision-relevant action:</w:t>
            </w:r>
            <w:r>
              <w:rPr>
                <w:rFonts w:ascii="Georgia" w:hAnsi="Georgia"/>
                <w:b w:val="0"/>
                <w:i w:val="0"/>
                <w:color w:val="142233"/>
                <w:sz w:val="19"/>
              </w:rPr>
              <w:t xml:space="preserve"> Texas banks, credit unions, and payment processors should test third-party and shared-service communications dependencies and public-portal DDoS resilience this week. </w:t>
            </w:r>
            <w:r>
              <w:rPr>
                <w:rFonts w:ascii="Georgia" w:hAnsi="Georgia"/>
                <w:b/>
                <w:i w:val="0"/>
                <w:color w:val="142233"/>
                <w:sz w:val="19"/>
              </w:rPr>
              <w:t>Cascade risk:</w:t>
            </w:r>
            <w:r>
              <w:rPr>
                <w:rFonts w:ascii="Georgia" w:hAnsi="Georgia"/>
                <w:b w:val="0"/>
                <w:i w:val="0"/>
                <w:color w:val="142233"/>
                <w:sz w:val="19"/>
              </w:rPr>
              <w:t xml:space="preserve"> Finance-sector degradation during an energy or telecom disruption extends restoration timelines from hours to days.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Hiring as an Access Vector</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Nisos disclosed the scale of a DPRK employment-fraud cell — 166,893 applications, 21,645 interviews, 76 offers — using AI-assisted interviews and U.S.-based laptop farms with hardware remote control. </w:t>
            </w:r>
            <w:r>
              <w:rPr>
                <w:rFonts w:ascii="Georgia" w:hAnsi="Georgia"/>
                <w:b/>
                <w:i w:val="0"/>
                <w:color w:val="142233"/>
                <w:sz w:val="19"/>
              </w:rPr>
              <w:t>Why it matters locally:</w:t>
            </w:r>
            <w:r>
              <w:rPr>
                <w:rFonts w:ascii="Georgia" w:hAnsi="Georgia"/>
                <w:b w:val="0"/>
                <w:i w:val="0"/>
                <w:color w:val="142233"/>
                <w:sz w:val="19"/>
              </w:rPr>
              <w:t xml:space="preserve"> For Texas AI, cloud, software, defense-supplier, and hospital-system employers, this access route bypasses the SOC entirely — high-trust access granted through hiring into source repositories, cloud permissions, and customer environments. </w:t>
            </w:r>
            <w:r>
              <w:rPr>
                <w:rFonts w:ascii="Georgia" w:hAnsi="Georgia"/>
                <w:b/>
                <w:i w:val="0"/>
                <w:color w:val="142233"/>
                <w:sz w:val="19"/>
              </w:rPr>
              <w:t>Decision-relevant action:</w:t>
            </w:r>
            <w:r>
              <w:rPr>
                <w:rFonts w:ascii="Georgia" w:hAnsi="Georgia"/>
                <w:b w:val="0"/>
                <w:i w:val="0"/>
                <w:color w:val="142233"/>
                <w:sz w:val="19"/>
              </w:rPr>
              <w:t xml:space="preserve"> Audit remote hires and contractors from the past six months; revalidate identity, laptop custody, location consistency, and access scope jointly across HR, security, and legal. </w:t>
            </w:r>
            <w:r>
              <w:rPr>
                <w:rFonts w:ascii="Georgia" w:hAnsi="Georgia"/>
                <w:b/>
                <w:i w:val="0"/>
                <w:color w:val="142233"/>
                <w:sz w:val="19"/>
              </w:rPr>
              <w:t>Cascade risk:</w:t>
            </w:r>
            <w:r>
              <w:rPr>
                <w:rFonts w:ascii="Georgia" w:hAnsi="Georgia"/>
                <w:b w:val="0"/>
                <w:i w:val="0"/>
                <w:color w:val="142233"/>
                <w:sz w:val="19"/>
              </w:rPr>
              <w:t xml:space="preserve"> A single compromised hire can reach customer environments, code-signing systems, and downstream supply-chain partners.</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3 / I&amp;W 1  </w:t>
      </w:r>
      <w:r>
        <w:rPr>
          <w:b/>
          <w:color w:val="142233"/>
          <w:sz w:val="20"/>
        </w:rPr>
        <w:t>Hormuz: declaration versus physical interdiction</w:t>
      </w:r>
      <w:r>
        <w:rPr>
          <w:i/>
          <w:color w:val="7A5A1E"/>
          <w:sz w:val="18"/>
        </w:rPr>
        <w:t xml:space="preserve">   [↑ Rising]</w:t>
      </w:r>
    </w:p>
    <w:p>
      <w:pPr>
        <w:spacing w:after="40"/>
        <w:ind w:left="283"/>
      </w:pPr>
      <w:r>
        <w:rPr>
          <w:color w:val="142233"/>
          <w:sz w:val="19"/>
        </w:rPr>
        <w:t>→ Watch for Iran moving from declaring the Strait closed to physically interdicting vessel traffic, and whether the 21 June Switzerland talks hold or collapse.</w:t>
      </w:r>
    </w:p>
    <w:p>
      <w:pPr>
        <w:spacing w:after="40"/>
        <w:ind w:left="283"/>
      </w:pPr>
      <w:r>
        <w:rPr>
          <w:color w:val="142233"/>
          <w:sz w:val="19"/>
        </w:rPr>
        <w:t>→ Physical interdiction would confirm escalation from coercive signaling to action and is the trigger most likely to convert latent Iranian cyber access into use against U.S.-linked energy and public-service targets.</w:t>
      </w:r>
    </w:p>
    <w:p>
      <w:pPr>
        <w:spacing w:after="40"/>
        <w:ind w:left="283"/>
      </w:pPr>
      <w:r>
        <w:rPr>
          <w:color w:val="142233"/>
          <w:sz w:val="19"/>
        </w:rPr>
        <w:t>→ Tied to: PIR 3, geopolitical escalation indicators.</w:t>
      </w:r>
    </w:p>
    <w:p>
      <w:pPr>
        <w:spacing w:before="160" w:after="40"/>
      </w:pPr>
      <w:r>
        <w:rPr>
          <w:b/>
          <w:color w:val="1F5C8C"/>
          <w:sz w:val="18"/>
        </w:rPr>
        <w:t xml:space="preserve">PIR 5 / I&amp;W 2  </w:t>
      </w:r>
      <w:r>
        <w:rPr>
          <w:b/>
          <w:color w:val="142233"/>
          <w:sz w:val="20"/>
        </w:rPr>
        <w:t>Pro-Iran retaliatory cyber claims timed to Hormuz or Lebanon developments</w:t>
      </w:r>
      <w:r>
        <w:rPr>
          <w:i/>
          <w:color w:val="7A5A1E"/>
          <w:sz w:val="18"/>
        </w:rPr>
        <w:t xml:space="preserve">   [↑ Rising]</w:t>
      </w:r>
    </w:p>
    <w:p>
      <w:pPr>
        <w:spacing w:after="40"/>
        <w:ind w:left="283"/>
      </w:pPr>
      <w:r>
        <w:rPr>
          <w:color w:val="142233"/>
          <w:sz w:val="19"/>
        </w:rPr>
        <w:t>→ Watch for IRGC-linked or hacktivist DDoS, defacement, or PLC/HMI scanning against U.S. water utilities, energy public portals, and finance targets, paired with data-leak threats timed to the political moment.</w:t>
      </w:r>
    </w:p>
    <w:p>
      <w:pPr>
        <w:spacing w:after="40"/>
        <w:ind w:left="283"/>
      </w:pPr>
      <w:r>
        <w:rPr>
          <w:color w:val="142233"/>
          <w:sz w:val="19"/>
        </w:rPr>
        <w:t>→ Would confirm Iran is shifting from declared posture to executed retaliation against soft U.S.-linked targets.</w:t>
      </w:r>
    </w:p>
    <w:p>
      <w:pPr>
        <w:spacing w:after="40"/>
        <w:ind w:left="283"/>
      </w:pPr>
      <w:r>
        <w:rPr>
          <w:color w:val="142233"/>
          <w:sz w:val="19"/>
        </w:rPr>
        <w:t>→ Tied to: PIR 5, strategic vulnerability exposure across critical infrastructure.</w:t>
      </w:r>
    </w:p>
    <w:p>
      <w:pPr>
        <w:spacing w:before="160" w:after="40"/>
      </w:pPr>
      <w:r>
        <w:rPr>
          <w:b/>
          <w:color w:val="1F5C8C"/>
          <w:sz w:val="18"/>
        </w:rPr>
        <w:t xml:space="preserve">PIR 1 / I&amp;W 3  </w:t>
      </w:r>
      <w:r>
        <w:rPr>
          <w:b/>
          <w:color w:val="142233"/>
          <w:sz w:val="20"/>
        </w:rPr>
        <w:t>Russian-aligned targeting of energy logistics and refinery vendors</w:t>
      </w:r>
      <w:r>
        <w:rPr>
          <w:i/>
          <w:color w:val="7A5A1E"/>
          <w:sz w:val="18"/>
        </w:rPr>
        <w:t xml:space="preserve">   [↑ Rising]</w:t>
      </w:r>
    </w:p>
    <w:p>
      <w:pPr>
        <w:spacing w:after="40"/>
        <w:ind w:left="283"/>
      </w:pPr>
      <w:r>
        <w:rPr>
          <w:color w:val="142233"/>
          <w:sz w:val="19"/>
        </w:rPr>
        <w:t>→ Watch for hacktivist claims or intrusions against refinery vendors, fuel-transport OT, and maritime systems, plus influence messaging tied to Western support for Ukraine.</w:t>
      </w:r>
    </w:p>
    <w:p>
      <w:pPr>
        <w:spacing w:after="40"/>
        <w:ind w:left="283"/>
      </w:pPr>
      <w:r>
        <w:rPr>
          <w:color w:val="142233"/>
          <w:sz w:val="19"/>
        </w:rPr>
        <w:t>→ Would confirm Russia is converting refinery-strike pressure into cyber retaliation rather than relying solely on conventional response.</w:t>
      </w:r>
    </w:p>
    <w:p>
      <w:pPr>
        <w:spacing w:after="40"/>
        <w:ind w:left="283"/>
      </w:pPr>
      <w:r>
        <w:rPr>
          <w:color w:val="142233"/>
          <w:sz w:val="19"/>
        </w:rPr>
        <w:t>→ Tied to: PIR 1, nation-state targeting of Texas-relevant critical infrastructure.</w:t>
      </w:r>
    </w:p>
    <w:p>
      <w:pPr>
        <w:spacing w:before="160" w:after="40"/>
      </w:pPr>
      <w:r>
        <w:rPr>
          <w:b/>
          <w:color w:val="1F5C8C"/>
          <w:sz w:val="18"/>
        </w:rPr>
        <w:t xml:space="preserve">PIR 6 / I&amp;W 4  </w:t>
      </w:r>
      <w:r>
        <w:rPr>
          <w:b/>
          <w:color w:val="142233"/>
          <w:sz w:val="20"/>
        </w:rPr>
        <w:t>New dark-fleet interdictions or AIS-anomaly advisories</w:t>
      </w:r>
      <w:r>
        <w:rPr>
          <w:i/>
          <w:color w:val="7A5A1E"/>
          <w:sz w:val="18"/>
        </w:rPr>
        <w:t xml:space="preserve">   [→ Sustained]</w:t>
      </w:r>
    </w:p>
    <w:p>
      <w:pPr>
        <w:spacing w:after="40"/>
        <w:ind w:left="283"/>
      </w:pPr>
      <w:r>
        <w:rPr>
          <w:color w:val="142233"/>
          <w:sz w:val="19"/>
        </w:rPr>
        <w:t>→ Watch for additional USCG or allied (UK, France, Germany) tanker interdictions, and AIS-spoofing or remote-access anomalies on vessels approaching Gulf and Texas ports.</w:t>
      </w:r>
    </w:p>
    <w:p>
      <w:pPr>
        <w:spacing w:after="40"/>
        <w:ind w:left="283"/>
      </w:pPr>
      <w:r>
        <w:rPr>
          <w:color w:val="142233"/>
          <w:sz w:val="19"/>
        </w:rPr>
        <w:t>→ Would confirm the dark-fleet cyber-safety exposure is widespread rather than isolated to vessels already inspected.</w:t>
      </w:r>
    </w:p>
    <w:p>
      <w:pPr>
        <w:spacing w:after="40"/>
        <w:ind w:left="283"/>
      </w:pPr>
      <w:r>
        <w:rPr>
          <w:color w:val="142233"/>
          <w:sz w:val="19"/>
        </w:rPr>
        <w:t>→ Tied to: PIR 6, executive decision-relevant warning for Texas maritime and energy operators.</w:t>
      </w:r>
    </w:p>
    <w:p>
      <w:pPr>
        <w:spacing w:before="160" w:after="40"/>
      </w:pPr>
      <w:r>
        <w:rPr>
          <w:b/>
          <w:color w:val="1F5C8C"/>
          <w:sz w:val="18"/>
        </w:rPr>
        <w:t xml:space="preserve">PIR 4 / I&amp;W 5  </w:t>
      </w:r>
      <w:r>
        <w:rPr>
          <w:b/>
          <w:color w:val="142233"/>
          <w:sz w:val="20"/>
        </w:rPr>
        <w:t>Follow-on DPRK employment-fraud disclosures or enforcement</w:t>
      </w:r>
      <w:r>
        <w:rPr>
          <w:i/>
          <w:color w:val="7A5A1E"/>
          <w:sz w:val="18"/>
        </w:rPr>
        <w:t xml:space="preserve">   [→ Sustained]</w:t>
      </w:r>
    </w:p>
    <w:p>
      <w:pPr>
        <w:spacing w:after="40"/>
        <w:ind w:left="283"/>
      </w:pPr>
      <w:r>
        <w:rPr>
          <w:color w:val="142233"/>
          <w:sz w:val="19"/>
        </w:rPr>
        <w:t>→ Watch for additional Nisos or vendor disclosures, DOJ indictments, OFAC designations, or internal HR/security flags on remote hires (laptop-farm shipping addresses, VPN logins, off-hours patterns, AI-assisted interview tells).</w:t>
      </w:r>
    </w:p>
    <w:p>
      <w:pPr>
        <w:spacing w:after="40"/>
        <w:ind w:left="283"/>
      </w:pPr>
      <w:r>
        <w:rPr>
          <w:color w:val="142233"/>
          <w:sz w:val="19"/>
        </w:rPr>
        <w:t>→ Would confirm whether the disclosed 22-operative cell is representative of a larger, still-active ecosystem.</w:t>
      </w:r>
    </w:p>
    <w:p>
      <w:pPr>
        <w:spacing w:after="40"/>
        <w:ind w:left="283"/>
      </w:pPr>
      <w:r>
        <w:rPr>
          <w:color w:val="142233"/>
          <w:sz w:val="19"/>
        </w:rPr>
        <w:t>→ Tied to: PIR 4, sector specificity for AI, cloud, DIB, and software employers.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leadership treats pre-positioned access as a strategic warning requiring control of access pathways now, versus routine intrusion activity to be patched later.</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CEO/COO, CISO, CIO, and general counsel for dependency and vendor-isolation authority; HR and engineering leadership for hiring-based access; operations and port/maritime leadership for OT and vessel-facing systems.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When a trigger fires — Hormuz interdiction, refinery-strike escalation, or Iranian retaliation — the organization discovers it cannot quickly isolate a vendor, cut remote access, communicate without compromised telecom or cloud, or prove what happened. Latent access becomes operational downtime, safety exposure, and regulatory liability.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Run a 72-hour dependency drill identifying the top five external dependencies that would halt operations if degraded. Confirm in writing who holds emergency authority to isolate a vendor, sever remote access, and approve public disclosure. Revalidate remote hires and contractors onboarded in the past six months.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Dependency maps, vendor and remote-access logs, incident decision-authority matrix, continuity plans, AIS and vessel-vetting records, interview recordings and identity checks for remote hires, and any adversary or hacktivist claims tied to the above.</w:t>
            </w:r>
          </w:p>
        </w:tc>
      </w:tr>
    </w:tbl>
    <w:p>
      <w:pPr>
        <w:spacing w:after="120"/>
      </w:pPr>
    </w:p>
    <w:p>
      <w:pPr>
        <w:spacing w:after="160"/>
      </w:pPr>
      <w:r>
        <w:rPr>
          <w:rFonts w:ascii="Georgia" w:hAnsi="Georgia"/>
          <w:b w:val="0"/>
          <w:i w:val="0"/>
          <w:color w:val="142233"/>
          <w:sz w:val="21"/>
        </w:rPr>
        <w:t>From Warning to Decision</w:t>
      </w:r>
    </w:p>
    <w:p>
      <w:pPr>
        <w:spacing w:before="200" w:after="120"/>
      </w:pPr>
      <w:r>
        <w:rPr>
          <w:rFonts w:ascii="Calibri" w:hAnsi="Calibri"/>
          <w:b/>
          <w:color w:val="142233"/>
          <w:sz w:val="23"/>
        </w:rPr>
        <w:t>Test what this means for your organization.</w:t>
      </w:r>
    </w:p>
    <w:p>
      <w:pPr>
        <w:spacing w:after="160"/>
      </w:pPr>
      <w:r>
        <w:rPr>
          <w:rFonts w:ascii="Georgia" w:hAnsi="Georgia"/>
          <w:b w:val="0"/>
          <w:i w:val="0"/>
          <w:color w:val="142233"/>
          <w:sz w:val="21"/>
        </w:rPr>
        <w:t>Reading the warning is one thing. Knowing whether your leadership would recognize it, decide in time, and document the call is another. Liberty CTI starts by establishing your decision environment, then tests it under pressure.</w:t>
      </w:r>
    </w:p>
    <w:p>
      <w:pPr>
        <w:spacing w:after="160"/>
      </w:pPr>
      <w:r>
        <w:rPr>
          <w:rFonts w:ascii="Georgia" w:hAnsi="Georgia"/>
          <w:b w:val="0"/>
          <w:i w:val="0"/>
          <w:color w:val="142233"/>
          <w:sz w:val="21"/>
        </w:rPr>
        <w:t>EXECUTIVE INTELLIGENCE BASELINE + EXECUTIVE DECISION EXERCISE →</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ATB-2026-14 assessed Iran as the centerpiece adversary following the confirmed Handala/Void Manticore retaliatory cyber operation against California Water Service, tied to active U.S.-Iran conflict.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Escalated and reframed. Iran remains a live concern — the 20 June Hormuz closure declaration and 14 June bank disruption confirm the conflict’s cyber dimension is active — but this week’s dominant judgment widens the frame: NCSC confirms pre-positioning is a multi-adversary pattern (Russia, China, Iran), not an Iran-specific dynamic.</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centerpiece moved from a single confirmed Iranian retaliatory incident to a confirmed structural finding: state actors across all three named adversaries are deliberately pre-positioning for crisis leverage, with Iran, Russia, dark-fleet, and DPRK activity this week each illustrating where that access sits.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Confidence in the pre-positioning judgment increased to High because the NCSC finding is primary-sourced and explicit, and four independent developments this week are each consistent with access existing ahead of activation rather than being created in response to events.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Physical Hormuz interdiction, a named Texas or U.S. victim tied to any of this week’s four threads, or a confirmed U.S. CNI incident attributed to pre-positioned access would raise escalation posture from competition to crisis.</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ATB-2026-15 — COVERAGE WEEK 14–20 JUNE 2026</w:t>
      </w:r>
    </w:p>
    <w:p>
      <w:pPr>
        <w:spacing w:before="120" w:after="20"/>
      </w:pPr>
      <w:r>
        <w:rPr>
          <w:rFonts w:ascii="Calibri" w:hAnsi="Calibri"/>
          <w:b/>
          <w:color w:val="7A5A1E"/>
          <w:sz w:val="15"/>
        </w:rPr>
        <w:t>GOVERNMENT / OFFICIAL REMARKS</w:t>
        <w:br/>
      </w:r>
      <w:r>
        <w:rPr>
          <w:b/>
          <w:color w:val="142233"/>
          <w:sz w:val="20"/>
        </w:rPr>
        <w:t>NCSC — CEO Hostile States Linked to Three-Quarters of Cyber Attacks</w:t>
      </w:r>
    </w:p>
    <w:p>
      <w:pPr>
        <w:spacing w:after="20"/>
      </w:pPr>
      <w:hyperlink r:id="rId11">
        <w:r>
          <w:rPr>
            <w:color w:val="1F5C8C"/>
            <w:u w:val="single"/>
            <w:sz w:val="17"/>
            <w:rFonts w:ascii="Consolas"/>
          </w:rPr>
          <w:t>ncsc.gov.uk/news/ncsc-ceo-hostile-states-linked-to-three-quarters-of-cyber-attacks</w:t>
        </w:r>
      </w:hyperlink>
    </w:p>
    <w:p>
      <w:pPr>
        <w:spacing w:after="40"/>
      </w:pPr>
      <w:r>
        <w:rPr>
          <w:i/>
          <w:color w:val="5C5C5C"/>
          <w:sz w:val="17"/>
        </w:rPr>
        <w:t>Published 17 June 2026. Primary source — verified against agency publication directly. Used for Dominant Judgment, KJ-1, and Geopolitical Driver.</w:t>
      </w:r>
    </w:p>
    <w:p>
      <w:pPr>
        <w:spacing w:before="120" w:after="20"/>
      </w:pPr>
      <w:r>
        <w:rPr>
          <w:rFonts w:ascii="Calibri" w:hAnsi="Calibri"/>
          <w:b/>
          <w:color w:val="7A5A1E"/>
          <w:sz w:val="15"/>
        </w:rPr>
        <w:t>GOVERNMENT / MILITARY STATEMENT</w:t>
        <w:br/>
      </w:r>
      <w:r>
        <w:rPr>
          <w:b/>
          <w:color w:val="142233"/>
          <w:sz w:val="20"/>
        </w:rPr>
        <w:t>U.S. Central Command Statement Disputing Iranian Strait of Hormuz Closure Claim</w:t>
      </w:r>
    </w:p>
    <w:p>
      <w:pPr>
        <w:spacing w:after="20"/>
      </w:pPr>
      <w:hyperlink r:id="rId12">
        <w:r>
          <w:rPr>
            <w:color w:val="1F5C8C"/>
            <w:u w:val="single"/>
            <w:sz w:val="17"/>
            <w:rFonts w:ascii="Consolas"/>
          </w:rPr>
          <w:t>cnn.com/2026/06/20/world/live-news/iran-war-trump-israel-lebanon</w:t>
        </w:r>
      </w:hyperlink>
    </w:p>
    <w:p>
      <w:pPr>
        <w:spacing w:after="40"/>
      </w:pPr>
      <w:r>
        <w:rPr>
          <w:i/>
          <w:color w:val="5C5C5C"/>
          <w:sz w:val="17"/>
        </w:rPr>
        <w:t>20 June 2026. CENTCOM and VP Vance statements reported via live wire coverage. Used for What Changed and KJ-2.</w:t>
      </w:r>
    </w:p>
    <w:p>
      <w:pPr>
        <w:spacing w:before="120" w:after="20"/>
      </w:pPr>
      <w:r>
        <w:rPr>
          <w:rFonts w:ascii="Calibri" w:hAnsi="Calibri"/>
          <w:b/>
          <w:color w:val="7A5A1E"/>
          <w:sz w:val="15"/>
        </w:rPr>
        <w:t>GOVERNMENT / OFFICIAL ATTRIBUTION</w:t>
        <w:br/>
      </w:r>
      <w:r>
        <w:rPr>
          <w:b/>
          <w:color w:val="142233"/>
          <w:sz w:val="20"/>
        </w:rPr>
        <w:t>USCG Cyber Command Findings on Dark-Fleet Tanker Cyber Exposure</w:t>
      </w:r>
    </w:p>
    <w:p>
      <w:pPr>
        <w:spacing w:after="20"/>
      </w:pPr>
      <w:hyperlink r:id="rId13">
        <w:r>
          <w:rPr>
            <w:color w:val="1F5C8C"/>
            <w:u w:val="single"/>
            <w:sz w:val="17"/>
            <w:rFonts w:ascii="Consolas"/>
          </w:rPr>
          <w:t>wsj.com — The Dangerous Tech Found Aboard ‘Dark-Fleet’ Tankers Captured by the U.S.</w:t>
        </w:r>
      </w:hyperlink>
    </w:p>
    <w:p>
      <w:pPr>
        <w:spacing w:after="40"/>
      </w:pPr>
      <w:r>
        <w:rPr>
          <w:i/>
          <w:color w:val="5C5C5C"/>
          <w:sz w:val="17"/>
        </w:rPr>
        <w:t>15 June 2026. On-the-record finding from Rear Admiral Jason Tama, USCG Cyber Command. Used for What Changed, Energy implication, and I&amp;W 4.</w:t>
      </w:r>
    </w:p>
    <w:p>
      <w:pPr>
        <w:spacing w:before="120" w:after="20"/>
      </w:pPr>
      <w:r>
        <w:rPr>
          <w:rFonts w:ascii="Calibri" w:hAnsi="Calibri"/>
          <w:b/>
          <w:color w:val="7A5A1E"/>
          <w:sz w:val="15"/>
        </w:rPr>
        <w:t>VENDOR RESEARCH (NAMED INVESTIGATION)</w:t>
        <w:br/>
      </w:r>
      <w:r>
        <w:rPr>
          <w:b/>
          <w:color w:val="142233"/>
          <w:sz w:val="20"/>
        </w:rPr>
        <w:t>Nisos — People, Process, Personas: DPRK Employment Fraud Research</w:t>
      </w:r>
    </w:p>
    <w:p>
      <w:pPr>
        <w:spacing w:after="20"/>
      </w:pPr>
      <w:hyperlink r:id="rId14">
        <w:r>
          <w:rPr>
            <w:color w:val="1F5C8C"/>
            <w:u w:val="single"/>
            <w:sz w:val="17"/>
            <w:rFonts w:ascii="Consolas"/>
          </w:rPr>
          <w:t>nisos.com/research/dprk-employment-fraud-operation/</w:t>
        </w:r>
      </w:hyperlink>
    </w:p>
    <w:p>
      <w:pPr>
        <w:spacing w:after="40"/>
      </w:pPr>
      <w:r>
        <w:rPr>
          <w:i/>
          <w:color w:val="5C5C5C"/>
          <w:sz w:val="17"/>
        </w:rPr>
        <w:t>16–18 June 2026. Verified against Nisos’ own publication, not secondary summary. Used for KJ-4, Healthcare/DIB/AI implication, and I&amp;W 5.</w:t>
      </w:r>
    </w:p>
    <w:p>
      <w:pPr>
        <w:spacing w:before="120" w:after="20"/>
      </w:pPr>
      <w:r>
        <w:rPr>
          <w:rFonts w:ascii="Calibri" w:hAnsi="Calibri"/>
          <w:b/>
          <w:color w:val="7A5A1E"/>
          <w:sz w:val="15"/>
        </w:rPr>
        <w:t>STATE MEDIA / FINANCIAL REGULATOR STATEMENT</w:t>
        <w:br/>
      </w:r>
      <w:r>
        <w:rPr>
          <w:b/>
          <w:color w:val="142233"/>
          <w:sz w:val="20"/>
        </w:rPr>
        <w:t>Iran Banking Coordination Council — Statement on Four-Bank Cyber Disruption</w:t>
      </w:r>
    </w:p>
    <w:p>
      <w:pPr>
        <w:spacing w:after="20"/>
      </w:pPr>
      <w:hyperlink r:id="rId15">
        <w:r>
          <w:rPr>
            <w:color w:val="1F5C8C"/>
            <w:u w:val="single"/>
            <w:sz w:val="17"/>
            <w:rFonts w:ascii="Consolas"/>
          </w:rPr>
          <w:t>thenews.com.pk — Four Iranian banks hit by cyberattack, prompting major service disruptions</w:t>
        </w:r>
      </w:hyperlink>
    </w:p>
    <w:p>
      <w:pPr>
        <w:spacing w:after="40"/>
      </w:pPr>
      <w:r>
        <w:rPr>
          <w:i/>
          <w:color w:val="5C5C5C"/>
          <w:sz w:val="17"/>
        </w:rPr>
        <w:t>14 June 2026. Iranian official statement reported via wire/press. Attribution of the attack itself is unconfirmed in open reporting. Used for Finance implication.</w:t>
      </w:r>
    </w:p>
    <w:p>
      <w:pPr>
        <w:spacing w:before="120" w:after="20"/>
      </w:pPr>
      <w:r>
        <w:rPr>
          <w:rFonts w:ascii="Calibri" w:hAnsi="Calibri"/>
          <w:b/>
          <w:color w:val="7A5A1E"/>
          <w:sz w:val="15"/>
        </w:rPr>
        <w:t>WIRE / MULTI-SOURCE</w:t>
        <w:br/>
      </w:r>
      <w:r>
        <w:rPr>
          <w:b/>
          <w:color w:val="142233"/>
          <w:sz w:val="20"/>
        </w:rPr>
        <w:t>Reuters/AP/Al Jazeera — U.S.-Iran Islamabad MOU Signing and Ceasefire Extension</w:t>
      </w:r>
    </w:p>
    <w:p>
      <w:pPr>
        <w:spacing w:after="20"/>
      </w:pPr>
      <w:hyperlink r:id="rId16">
        <w:r>
          <w:rPr>
            <w:color w:val="1F5C8C"/>
            <w:u w:val="single"/>
            <w:sz w:val="17"/>
            <w:rFonts w:ascii="Consolas"/>
          </w:rPr>
          <w:t>aljazeera.com/news/2026/6/17/iran-confirms-that-mou-has-been-signed-electronically-by-both-sides</w:t>
        </w:r>
      </w:hyperlink>
    </w:p>
    <w:p>
      <w:pPr>
        <w:spacing w:after="40"/>
      </w:pPr>
      <w:r>
        <w:rPr>
          <w:i/>
          <w:color w:val="5C5C5C"/>
          <w:sz w:val="17"/>
        </w:rPr>
        <w:t>14–17 June 2026. Cited for ceasefire and MOU sequencing context only.</w:t>
      </w:r>
    </w:p>
    <w:p>
      <w:pPr>
        <w:spacing w:before="120" w:after="20"/>
      </w:pPr>
      <w:r>
        <w:rPr>
          <w:rFonts w:ascii="Calibri" w:hAnsi="Calibri"/>
          <w:b/>
          <w:color w:val="7A5A1E"/>
          <w:sz w:val="15"/>
        </w:rPr>
        <w:t>INDUSTRY / OSINT</w:t>
        <w:br/>
      </w:r>
      <w:r>
        <w:rPr>
          <w:b/>
          <w:color w:val="142233"/>
          <w:sz w:val="20"/>
        </w:rPr>
        <w:t>Kyiv Post / Energy News Beat — Kapotnya Refinery Strike Reporting and Capacity Impact Estimates</w:t>
      </w:r>
    </w:p>
    <w:p>
      <w:pPr>
        <w:spacing w:after="20"/>
      </w:pPr>
      <w:hyperlink r:id="rId17">
        <w:r>
          <w:rPr>
            <w:color w:val="1F5C8C"/>
            <w:u w:val="single"/>
            <w:sz w:val="17"/>
            <w:rFonts w:ascii="Consolas"/>
          </w:rPr>
          <w:t>kyivpost.com/post/78244</w:t>
        </w:r>
      </w:hyperlink>
    </w:p>
    <w:p>
      <w:pPr>
        <w:spacing w:after="40"/>
      </w:pPr>
      <w:r>
        <w:rPr>
          <w:i/>
          <w:color w:val="5C5C5C"/>
          <w:sz w:val="17"/>
        </w:rPr>
        <w:t>16–18 June 2026. Capacity-loss figures are industry/OSINT estimates, not official Russian or Ukrainian government data. Cited for refinery-impact scale only.</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csc.gov.uk/news/ncsc-ceo-hostile-states-linked-to-three-quarters-of-cyber-attacks" TargetMode="External"/><Relationship Id="rId12" Type="http://schemas.openxmlformats.org/officeDocument/2006/relationships/hyperlink" Target="https://www.cnn.com/2026/06/20/world/live-news/iran-war-trump-israel-lebanon" TargetMode="External"/><Relationship Id="rId13" Type="http://schemas.openxmlformats.org/officeDocument/2006/relationships/hyperlink" Target="https://www.wsj.com/articles/the-dangerous-tech-found-aboard-dark-fleet-tankers-captured-by-the-u-s-34762a3a" TargetMode="External"/><Relationship Id="rId14" Type="http://schemas.openxmlformats.org/officeDocument/2006/relationships/hyperlink" Target="https://nisos.com/research/dprk-employment-fraud-operation/" TargetMode="External"/><Relationship Id="rId15" Type="http://schemas.openxmlformats.org/officeDocument/2006/relationships/hyperlink" Target="https://www.thenews.com.pk/latest/1405884-four-iranian-banks-hit-by-cyberattack-prompting-major-service-disruptions" TargetMode="External"/><Relationship Id="rId16" Type="http://schemas.openxmlformats.org/officeDocument/2006/relationships/hyperlink" Target="https://www.aljazeera.com/news/2026/6/17/iran-confirms-that-mou-has-been-signed-electronically-by-both-sides" TargetMode="External"/><Relationship Id="rId17" Type="http://schemas.openxmlformats.org/officeDocument/2006/relationships/hyperlink" Target="https://www.kyivpost.com/post/782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