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21–27 JUNE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2026-06-29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TWO TRIGGERS, ONE WINDOW</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 — Iran</w:t>
      </w:r>
    </w:p>
    <w:p>
      <w:pPr>
        <w:spacing w:after="40"/>
      </w:pPr>
      <w:r>
        <w:rPr>
          <w:rFonts w:ascii="Georgia" w:hAnsi="Georgia"/>
          <w:b w:val="0"/>
          <w:i w:val="0"/>
          <w:color w:val="142233"/>
          <w:sz w:val="19"/>
        </w:rPr>
        <w:t>The April CISA/FBI/NSA/EPA/DOE joint advisory confirmed IRGC actors are actively exploiting internet-exposed PLCs and HMIs across U.S. energy and water sectors. That campaign predates June 25. The Hormuz exchange raises the probability it accelerates. Texas OT operators who have not audited internet-facing exposure since April have a known gap.</w:t>
      </w:r>
    </w:p>
    <w:p>
      <w:pPr>
        <w:spacing w:before="160" w:after="40"/>
      </w:pPr>
      <w:r>
        <w:rPr>
          <w:b/>
          <w:color w:val="7A5A1E"/>
          <w:sz w:val="20"/>
        </w:rPr>
        <w:t>Board Implication — Russia</w:t>
      </w:r>
    </w:p>
    <w:p>
      <w:pPr>
        <w:spacing w:after="40"/>
      </w:pPr>
      <w:r>
        <w:rPr>
          <w:rFonts w:ascii="Georgia" w:hAnsi="Georgia"/>
          <w:b w:val="0"/>
          <w:i w:val="0"/>
          <w:color w:val="142233"/>
          <w:sz w:val="19"/>
        </w:rPr>
        <w:t>Ukraine’s strike campaign has produced the worst Russian domestic fuel crisis since 2014 — IEA confirmed “unprecedented” disruption. Sandworm’s 2015–2016 Ukraine grid attacks established the historical pattern: strategic pressure correlates with expanded state-authorized cyber operations. Texas LNG and refining infrastructure carry symbolic and operational relevance to Moscow.</w:t>
      </w:r>
    </w:p>
    <w:p>
      <w:pPr>
        <w:spacing w:before="160" w:after="40"/>
      </w:pPr>
      <w:r>
        <w:rPr>
          <w:b/>
          <w:color w:val="7A5A1E"/>
          <w:sz w:val="20"/>
        </w:rPr>
        <w:t>Board Implication — Governance</w:t>
      </w:r>
    </w:p>
    <w:p>
      <w:pPr>
        <w:spacing w:after="40"/>
      </w:pPr>
      <w:r>
        <w:rPr>
          <w:rFonts w:ascii="Georgia" w:hAnsi="Georgia"/>
          <w:b w:val="0"/>
          <w:i w:val="0"/>
          <w:color w:val="142233"/>
          <w:sz w:val="19"/>
        </w:rPr>
        <w:t>Two San Antonio healthcare providers face class-action suits after notification delays following ransomware claims. Alamo Heights ISD disclosed 26,629 people exposed from a March attack. In both cases the governance failure — unclear decision authority, delayed notification, incomplete evidence preservation — is the executive liability, not the breach itself.</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Iranian-affiliated cyber actors are </w:t>
      </w:r>
      <w:r>
        <w:rPr>
          <w:rFonts w:ascii="Georgia" w:hAnsi="Georgia"/>
          <w:b/>
          <w:i w:val="0"/>
          <w:color w:val="142233"/>
          <w:sz w:val="21"/>
        </w:rPr>
        <w:t>confirmed</w:t>
      </w:r>
      <w:r>
        <w:rPr>
          <w:rFonts w:ascii="Georgia" w:hAnsi="Georgia"/>
          <w:b w:val="0"/>
          <w:i w:val="0"/>
          <w:color w:val="142233"/>
          <w:sz w:val="21"/>
        </w:rPr>
        <w:t xml:space="preserve"> exploiting internet-exposed PLCs and HMIs across U.S. critical infrastructure — and the June 25 Hormuz exchange is </w:t>
      </w:r>
      <w:r>
        <w:rPr>
          <w:rFonts w:ascii="Georgia" w:hAnsi="Georgia"/>
          <w:b/>
          <w:i w:val="0"/>
          <w:color w:val="142233"/>
          <w:sz w:val="21"/>
        </w:rPr>
        <w:t>likely</w:t>
      </w:r>
      <w:r>
        <w:rPr>
          <w:rFonts w:ascii="Georgia" w:hAnsi="Georgia"/>
          <w:b w:val="0"/>
          <w:i w:val="0"/>
          <w:color w:val="142233"/>
          <w:sz w:val="21"/>
        </w:rPr>
        <w:t xml:space="preserve"> to accelerate that campaign in the near term. </w:t>
      </w:r>
      <w:r>
        <w:rPr>
          <w:rFonts w:ascii="Consolas" w:hAnsi="Consolas"/>
          <w:b w:val="0"/>
          <w:i w:val="0"/>
          <w:color w:val="7A5A1E"/>
          <w:sz w:val="16"/>
        </w:rPr>
        <w:t>HIGH CONFIDENCE — Active Campaign</w:t>
      </w:r>
      <w:r>
        <w:rPr>
          <w:rFonts w:ascii="Georgia" w:hAnsi="Georgia"/>
          <w:b w:val="0"/>
          <w:i w:val="0"/>
          <w:color w:val="142233"/>
          <w:sz w:val="21"/>
        </w:rPr>
        <w:t xml:space="preserve"> / </w:t>
      </w:r>
      <w:r>
        <w:rPr>
          <w:rFonts w:ascii="Consolas" w:hAnsi="Consolas"/>
          <w:b w:val="0"/>
          <w:i w:val="0"/>
          <w:color w:val="7A5A1E"/>
          <w:sz w:val="16"/>
        </w:rPr>
        <w:t>MODERATE CONFIDENCE — Acceleration Assessment</w:t>
      </w:r>
      <w:r>
        <w:br/>
      </w:r>
      <w:r>
        <w:br/>
      </w:r>
      <w:r>
        <w:br/>
      </w:r>
    </w:p>
    <w:p>
      <w:pPr>
        <w:spacing w:after="40"/>
        <w:ind w:left="283"/>
      </w:pPr>
      <w:r>
        <w:rPr>
          <w:i/>
          <w:color w:val="5C5C5C"/>
          <w:sz w:val="18"/>
        </w:rPr>
        <w:t>Source basis / uncertainty: Source basis (HIGH tier): CISA/FBI/NSA/EPA/DOE/CNMF joint advisory AA26-097A, April 7, 2026. Six-agency confirmation of IRGC-CEC activity with confirmed operational disruptions. Source basis (MODERATE tier): NPR, Fox News/Reuters, CENTCOM statements, June 26–27, 2026. Iranian parliamentary statements on Hormuz. Primary uncertainty: Tehran’s choice of acceleration, proxy activity, or restraint is unconfirmed.</w:t>
      </w:r>
    </w:p>
    <w:p>
      <w:pPr>
        <w:spacing w:after="120"/>
        <w:ind w:left="283"/>
      </w:pPr>
      <w:r>
        <w:rPr>
          <w:color w:val="7A5A1E"/>
          <w:sz w:val="19"/>
        </w:rPr>
        <w:t>Decision implication: Decision Implication: Texas energy, water, and industrial operators with internet-facing OT devices should treat the April advisory as current — not historical — and validate exposure against it this week.</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Russia’s domestic fuel crisis is </w:t>
      </w:r>
      <w:r>
        <w:rPr>
          <w:rFonts w:ascii="Georgia" w:hAnsi="Georgia"/>
          <w:b/>
          <w:i w:val="0"/>
          <w:color w:val="142233"/>
          <w:sz w:val="21"/>
        </w:rPr>
        <w:t>assessed</w:t>
      </w:r>
      <w:r>
        <w:rPr>
          <w:rFonts w:ascii="Georgia" w:hAnsi="Georgia"/>
          <w:b w:val="0"/>
          <w:i w:val="0"/>
          <w:color w:val="142233"/>
          <w:sz w:val="21"/>
        </w:rPr>
        <w:t xml:space="preserve"> at a severity historically correlated with expanded state-authorized cyber activity against Western energy and logistics targets.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RFE/RL June 24, 2026 (55 of 83 regions rationing; IEA “unprecedented” quote); NPR/Euronews/Al Jazeera June 21, 2026 (Crimea suspension confirmed); Sandworm 2015–2016 grid attack historical record (MITRE ATT&amp;CK G0034; Wikipedia/Mandiant/Dragos). Amazon Threat Intelligence (late 2025) confirms Sandworm pivot to misconfigured edge devices. Primary uncertainty: no confirmed new Sandworm or GRU-linked targeting of U.S. critical infrastructure identified this week.</w:t>
      </w:r>
    </w:p>
    <w:p>
      <w:pPr>
        <w:spacing w:after="120"/>
        <w:ind w:left="283"/>
      </w:pPr>
      <w:r>
        <w:rPr>
          <w:color w:val="7A5A1E"/>
          <w:sz w:val="19"/>
        </w:rPr>
        <w:t>Decision implication: Decision Implication: Texas LNG, refining, DIB, and logistics operators should review third-party access, edge-device exposure, and supplier communications channels for anomalies — not only known Russian IP ranges or malware signatures.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Texas healthcare and public-sector organizations face </w:t>
      </w:r>
      <w:r>
        <w:rPr>
          <w:rFonts w:ascii="Georgia" w:hAnsi="Georgia"/>
          <w:b/>
          <w:i w:val="0"/>
          <w:color w:val="142233"/>
          <w:sz w:val="21"/>
        </w:rPr>
        <w:t>confirmed</w:t>
      </w:r>
      <w:r>
        <w:rPr>
          <w:rFonts w:ascii="Georgia" w:hAnsi="Georgia"/>
          <w:b w:val="0"/>
          <w:i w:val="0"/>
          <w:color w:val="142233"/>
          <w:sz w:val="21"/>
        </w:rPr>
        <w:t xml:space="preserve"> executive litigation and regulatory exposure from ransomware disclosure governance failures — independent of adversary nation-state activity.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Texas AG breach notification filing, June 23, 2026 (AHISD, 26,629 individuals); classaction.org/Digital Forensics Magazine, June 25–26, 2026 (South Texas Spinal Clinic and Soniva Dental lawsuit filings). Limitation: lawsuit allegations are unconfirmed findings. Breach scope for South Texas Spinal Clinic unconfirmed by the organization as of June 15.</w:t>
      </w:r>
    </w:p>
    <w:p>
      <w:pPr>
        <w:spacing w:after="120"/>
        <w:ind w:left="283"/>
      </w:pPr>
      <w:r>
        <w:rPr>
          <w:color w:val="7A5A1E"/>
          <w:sz w:val="19"/>
        </w:rPr>
        <w:t>Decision implication: Decision Implication: Healthcare boards should confirm this week who owns breach determination, notification authority, evidence preservation, and public communications — before those decisions are forced by an active incident.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Iran — Hormuz Exchange Creates Live Retaliation Trigger</w:t>
      </w:r>
    </w:p>
    <w:p>
      <w:pPr>
        <w:spacing w:before="200" w:after="120"/>
      </w:pPr>
      <w:r>
        <w:rPr>
          <w:rFonts w:ascii="Calibri" w:hAnsi="Calibri"/>
          <w:b/>
          <w:color w:val="142233"/>
          <w:sz w:val="23"/>
        </w:rPr>
        <w:t>Russia — Fuel Crisis Reaches Unprecedented Severity</w:t>
      </w:r>
    </w:p>
    <w:p>
      <w:pPr>
        <w:spacing w:before="200" w:after="120"/>
      </w:pPr>
      <w:r>
        <w:rPr>
          <w:rFonts w:ascii="Calibri" w:hAnsi="Calibri"/>
          <w:b/>
          <w:color w:val="142233"/>
          <w:sz w:val="23"/>
        </w:rPr>
        <w:t>Texas — Healthcare Ransomware Litigation and ISD Breach Disclosure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Cross-Sector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OT / LNG / Refining / Water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br/>
              <w:t xml:space="preserve"> The April 7 CISA joint advisory confirmed IRGC-affiliated actors are actively exploiting internet-exposed PLCs and HMIs in U.S. energy, water, and government sectors — with configuration wiping, HMI manipulation, and sensor tampering producing confirmed operational disruptions and financial losses. Texas refining, LNG, and water utility operators that have not audited internet-facing OT exposure since that advisory have left a known attack surface open for more than two months, and the Hormuz exchange provides fresh adversary incentive to use it. The action this week is operational, not conceptual: inventory internet-exposed PLCs, HMIs, and SCADA interfaces; segment them; validate that emergency isolation authority is pre-approved at the operational level — not requiring a board meeting to execute. The decision to disconnect must happen before the claim appears online, not after.</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Finance Energy Markets / Maritime Insurance / Liquidity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br/>
              <w:t xml:space="preserve"> Texas financial institutions are not the primary direct target in either the Iranian or Russian threat stream this week. The exposure is structural and cascading. Hormuz shipping disruption — approximately 500 ships still in the area, IMO evacuation halted — creates downstream commodity price volatility and payment-flow uncertainty across Texas energy, LNG, and maritime insurance markets. Prolonged Strait friction translates into counterparty risk and liquidity stress for Texas firms with energy and logistics exposure. A regional energy infrastructure disruption event, whether cyber-triggered or kinetic-adjacent, will simultaneously drive insurance claims, liquidity pressure, and business continuity failures. Finance executives should confirm this week that operational continuity plans address a regional energy disruption scenario — not only a direct cyber incident against their own systems.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&amp; DIB Ransomware / Governance / Disclosure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br/>
              <w:t xml:space="preserve"> This week’s San Antonio cases demonstrate the same structural failure pattern: when breach determination authority, notification sequencing, evidence preservation, and public communications ownership are undefined before an event, the 72-hour window after discovery becomes the liability, not the breach itself. South Texas Spinal Clinic and Soniva Dental now face class-action exposure for notification delay. Alamo Heights ISD disclosed 26,629 individuals affected from a March attack — a three-month forensic timeline that is legally defensible but exposes the gap between incident and public accountability. For DIB: Russian logistics pressure and Iranian targeting of government and industrial systems make this a period of elevated collection risk for Texas defense suppliers. Revalidate third-party access and privileged vendor credentials this week.</w:t>
              <w:br/>
              <w:t xml:space="preserve"> </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1 / I&amp;W 1  </w:t>
      </w:r>
      <w:r>
        <w:rPr>
          <w:b/>
          <w:color w:val="142233"/>
          <w:sz w:val="20"/>
        </w:rPr>
        <w:t>Iranian proxy or hacktivist claims targeting U.S. energy, water, or port infrastructure</w:t>
      </w:r>
      <w:r>
        <w:rPr>
          <w:i/>
          <w:color w:val="7A5A1E"/>
          <w:sz w:val="18"/>
        </w:rPr>
        <w:t xml:space="preserve">   [↑ Rising]</w:t>
      </w:r>
    </w:p>
    <w:p>
      <w:pPr>
        <w:spacing w:after="40"/>
        <w:ind w:left="283"/>
      </w:pPr>
      <w:r>
        <w:rPr>
          <w:color w:val="142233"/>
          <w:sz w:val="19"/>
        </w:rPr>
        <w:t>→ Watch for CyberAv3ngers, Handala Hack, or unnamed IRGC-affiliated groups claiming disruption operations against U.S. critical infrastructure — particularly water utilities, energy control systems, LNG terminals, or port operations.</w:t>
      </w:r>
    </w:p>
    <w:p>
      <w:pPr>
        <w:spacing w:after="40"/>
        <w:ind w:left="283"/>
      </w:pPr>
      <w:r>
        <w:rPr>
          <w:color w:val="142233"/>
          <w:sz w:val="19"/>
        </w:rPr>
        <w:t>→ Any confirmed claim within the next two to four weeks would indicate the June 25 kinetic trigger accelerated the existing OT campaign rather than sustaining it at current tempo. This is the primary escalation signal for the MODERATE confidence tier of KJ-1.</w:t>
      </w:r>
    </w:p>
    <w:p>
      <w:pPr>
        <w:spacing w:after="40"/>
        <w:ind w:left="283"/>
      </w:pPr>
      <w:r>
        <w:rPr>
          <w:color w:val="142233"/>
          <w:sz w:val="19"/>
        </w:rPr>
        <w:t>→ Tied to: PIR 1, PIR 3, PIR 5 — adversary intent, geopolitical trigger, and sector disruption indicators.</w:t>
      </w:r>
    </w:p>
    <w:p>
      <w:pPr>
        <w:spacing w:before="160" w:after="40"/>
      </w:pPr>
      <w:r>
        <w:rPr>
          <w:b/>
          <w:color w:val="1F5C8C"/>
          <w:sz w:val="18"/>
        </w:rPr>
        <w:t xml:space="preserve">PIR 4 / I&amp;W 2  </w:t>
      </w:r>
      <w:r>
        <w:rPr>
          <w:b/>
          <w:color w:val="142233"/>
          <w:sz w:val="20"/>
        </w:rPr>
        <w:t>New CISA KEV entries or emergency directives targeting OT/ICS device categories</w:t>
      </w:r>
      <w:r>
        <w:rPr>
          <w:i/>
          <w:color w:val="7A5A1E"/>
          <w:sz w:val="18"/>
        </w:rPr>
        <w:t xml:space="preserve">   [↑ Rising]</w:t>
      </w:r>
    </w:p>
    <w:p>
      <w:pPr>
        <w:spacing w:after="40"/>
        <w:ind w:left="283"/>
      </w:pPr>
      <w:r>
        <w:rPr>
          <w:color w:val="142233"/>
          <w:sz w:val="19"/>
        </w:rPr>
        <w:t>→ Watch for CISA adding OT-adjacent vulnerabilities to the Known Exploited Vulnerabilities catalog beyond the April PLC advisory — particularly new device categories in energy or water sectors.</w:t>
      </w:r>
    </w:p>
    <w:p>
      <w:pPr>
        <w:spacing w:after="40"/>
        <w:ind w:left="283"/>
      </w:pPr>
      <w:r>
        <w:rPr>
          <w:color w:val="142233"/>
          <w:sz w:val="19"/>
        </w:rPr>
        <w:t>→ Expansion into additional device types would confirm the Iranian campaign is broadening its target set beyond the Rockwell Automation PLC footprint established in April. An emergency directive targeting ICS devices would signal confirmed active exploitation at a new severity threshold.</w:t>
      </w:r>
    </w:p>
    <w:p>
      <w:pPr>
        <w:spacing w:after="40"/>
        <w:ind w:left="283"/>
      </w:pPr>
      <w:r>
        <w:rPr>
          <w:color w:val="142233"/>
          <w:sz w:val="19"/>
        </w:rPr>
        <w:t>→ Tied to: PIR 4, PIR 5 — vulnerability exploitation cadence and sector-specific risk indicators.</w:t>
      </w:r>
    </w:p>
    <w:p>
      <w:pPr>
        <w:spacing w:before="160" w:after="40"/>
      </w:pPr>
      <w:r>
        <w:rPr>
          <w:b/>
          <w:color w:val="1F5C8C"/>
          <w:sz w:val="18"/>
        </w:rPr>
        <w:t xml:space="preserve">PIR 1 / I&amp;W 3  </w:t>
      </w:r>
      <w:r>
        <w:rPr>
          <w:b/>
          <w:color w:val="142233"/>
          <w:sz w:val="20"/>
        </w:rPr>
        <w:t>Sandworm-attributed or Russian-aligned hacktivist claims against Western energy or logistics targets</w:t>
      </w:r>
      <w:r>
        <w:rPr>
          <w:i/>
          <w:color w:val="7A5A1E"/>
          <w:sz w:val="18"/>
        </w:rPr>
        <w:t xml:space="preserve">   [↑ Rising]</w:t>
      </w:r>
    </w:p>
    <w:p>
      <w:pPr>
        <w:spacing w:after="40"/>
        <w:ind w:left="283"/>
      </w:pPr>
      <w:r>
        <w:rPr>
          <w:color w:val="142233"/>
          <w:sz w:val="19"/>
        </w:rPr>
        <w:t>→ Watch for Sandworm (APT44/GRU Unit 74455), NoName057(16), or similar Russian-aligned groups claiming or conducting disruption operations against European or U.S. energy, refinery, port, or logistics targets.</w:t>
      </w:r>
    </w:p>
    <w:p>
      <w:pPr>
        <w:spacing w:after="40"/>
        <w:ind w:left="283"/>
      </w:pPr>
      <w:r>
        <w:rPr>
          <w:color w:val="142233"/>
          <w:sz w:val="19"/>
        </w:rPr>
        <w:t>→ Ukraine’s campaign is producing the worst Russian domestic fuel pressure in over a decade. The 2015–2016 Sandworm precedent established that this level of strategic stress correlates with expanded state-authorized cyber operations against infrastructure. Sandworm’s current edge-device pivot (confirmed by Amazon Threat Intelligence, late 2025) lowers the technical barrier for new U.S. or European targeting.</w:t>
      </w:r>
    </w:p>
    <w:p>
      <w:pPr>
        <w:spacing w:after="40"/>
        <w:ind w:left="283"/>
      </w:pPr>
      <w:r>
        <w:rPr>
          <w:color w:val="142233"/>
          <w:sz w:val="19"/>
        </w:rPr>
        <w:t>→ Tied to: PIR 1, PIR 3 — Russian adversary intent and geopolitical escalation indicators.</w:t>
      </w:r>
    </w:p>
    <w:p>
      <w:pPr>
        <w:spacing w:before="160" w:after="40"/>
      </w:pPr>
      <w:r>
        <w:rPr>
          <w:b/>
          <w:color w:val="1F5C8C"/>
          <w:sz w:val="18"/>
        </w:rPr>
        <w:t xml:space="preserve">PIR 2 / I&amp;W 4  </w:t>
      </w:r>
      <w:r>
        <w:rPr>
          <w:b/>
          <w:color w:val="142233"/>
          <w:sz w:val="20"/>
        </w:rPr>
        <w:t>Texas AG breach notification filings from healthcare or public-sector entities</w:t>
      </w:r>
      <w:r>
        <w:rPr>
          <w:i/>
          <w:color w:val="7A5A1E"/>
          <w:sz w:val="18"/>
        </w:rPr>
        <w:t xml:space="preserve">   [↑ Rising]</w:t>
      </w:r>
    </w:p>
    <w:p>
      <w:pPr>
        <w:spacing w:after="40"/>
        <w:ind w:left="283"/>
      </w:pPr>
      <w:r>
        <w:rPr>
          <w:color w:val="142233"/>
          <w:sz w:val="19"/>
        </w:rPr>
        <w:t>→ Watch for additional Texas healthcare, education, or municipal breach notifications filed with the Texas AG or HHS within the next 30 days. Texas law requires government bodies to report breaches affecting 250 or more residents within 30 days of discovery.</w:t>
      </w:r>
    </w:p>
    <w:p>
      <w:pPr>
        <w:spacing w:after="40"/>
        <w:ind w:left="283"/>
      </w:pPr>
      <w:r>
        <w:rPr>
          <w:color w:val="142233"/>
          <w:sz w:val="19"/>
        </w:rPr>
        <w:t>→ A cluster of new filings would confirm that under-resourced Texas public-service organizations are under sustained targeting — and that the litigation pattern demonstrated this week is expanding beyond isolated cases into a sector-wide governance exposure.</w:t>
      </w:r>
    </w:p>
    <w:p>
      <w:pPr>
        <w:spacing w:after="40"/>
        <w:ind w:left="283"/>
      </w:pPr>
      <w:r>
        <w:rPr>
          <w:color w:val="142233"/>
          <w:sz w:val="19"/>
        </w:rPr>
        <w:t>→ Tied to: PIR 2, PIR 6 — Texas sector disruption signals and governance risk indicators.</w:t>
      </w:r>
    </w:p>
    <w:p>
      <w:pPr>
        <w:spacing w:before="160" w:after="40"/>
      </w:pPr>
      <w:r>
        <w:rPr>
          <w:b/>
          <w:color w:val="1F5C8C"/>
          <w:sz w:val="18"/>
        </w:rPr>
        <w:t xml:space="preserve">PIR 3 / I&amp;W 5  </w:t>
      </w:r>
      <w:r>
        <w:rPr>
          <w:b/>
          <w:color w:val="142233"/>
          <w:sz w:val="20"/>
        </w:rPr>
        <w:t>U.S.-Iran ceasefire framework deterioration — confidence upgrade threshold</w:t>
      </w:r>
      <w:r>
        <w:rPr>
          <w:i/>
          <w:color w:val="7A5A1E"/>
          <w:sz w:val="18"/>
        </w:rPr>
        <w:t xml:space="preserve">   [→ Sustained]</w:t>
      </w:r>
    </w:p>
    <w:p>
      <w:pPr>
        <w:spacing w:after="40"/>
        <w:ind w:left="283"/>
      </w:pPr>
      <w:r>
        <w:rPr>
          <w:color w:val="142233"/>
          <w:sz w:val="19"/>
        </w:rPr>
        <w:t>→ Watch for Iranian parliamentary statements hardening the “ceasefire management” framing, additional IRGC maritime actions in the Strait of Hormuz, or U.S. military posture changes in the region beyond June 26 retaliatory strikes.</w:t>
      </w:r>
    </w:p>
    <w:p>
      <w:pPr>
        <w:spacing w:after="40"/>
        <w:ind w:left="283"/>
      </w:pPr>
      <w:r>
        <w:rPr>
          <w:color w:val="142233"/>
          <w:sz w:val="19"/>
        </w:rPr>
        <w:t>→ This is a threshold indicator: if the ceasefire framework collapses or U.S.-Iran exchanges escalate beyond the current single exchange, the MODERATE confidence tier in KJ-1 upgrades to HIGH and client notification protocols activate.</w:t>
      </w:r>
    </w:p>
    <w:p>
      <w:pPr>
        <w:spacing w:after="40"/>
        <w:ind w:left="283"/>
      </w:pPr>
      <w:r>
        <w:rPr>
          <w:color w:val="142233"/>
          <w:sz w:val="19"/>
        </w:rPr>
        <w:t>→ Tied to: PIR 3, PIR 7 — geopolitical escalation and adversary decision-cycle indicators.</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your organization has pre-assigned ownership over the four decisions that determine legal and operational exposure after a cyber incident: breach determination, regulatory notification, evidence preservation, and public communications authority. This week’s Texas cases demonstrated that technical recovery is not the primary governance failure. The failure is the absence of pre-assigned decision authority before the event — and the resulting loss of the 72-hour window that determines litigation posture, insurance coverage, and regulatory standing.</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CISO, General Counsel, COO, and Privacy Officer. CFO ownership is required where cyber insurance coordination, ransomware payment authority, or financial disclosure thresholds are implicated. For OT environments: COO and operations leadership must hold isolation authority — this decision cannot route through IT alone.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Litigation before formal notification. Regulatory exposure from missed HIPAA, CIRCIA, or Texas breach notification deadlines. Insurance disputes from incomplete evidence chains. Board-level credibility loss when counsel asks who made the breach determination and the answer is unclear. For OT environments: an undocumented isolation decision — or failure to isolate — becomes a liability in any subsequent regulatory inquiry.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Run a 60-minute tabletop with CEO, CISO, General Counsel, and COO on one scenario: a ransomware group has posted your organization’s name on a dark-web leak site. No internal encryption has been confirmed. Who calls whom, in what order, and what is documented in the first 72 hours? For energy and water operators: add a second scenario where an OT vendor reports anomalous access to a PLC. Who has authority to isolate? What is the threshold? If those sequences are not rehearsed, the governance failure is already in place.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Breach determination records and the timestamp of the decision. Ransom notes and dark-web claim captures. Firewall logs, OT exposure records, and vendor remote-access logs. Forensic image chain of custody. Insurer notice and outside counsel engagement records. All executive communications from discovery through first public statement. For OT: PLC and HMI configuration baselines, internet exposure records, and isolation decision authority documentation.</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Source Basis — ATB-2026-16</w:t>
      </w:r>
    </w:p>
    <w:p>
      <w:pPr>
        <w:spacing w:before="200"/>
      </w:pPr>
      <w:r>
        <w:rPr>
          <w:rFonts w:ascii="Calibri" w:hAnsi="Calibri"/>
          <w:b/>
          <w:color w:val="1F5C8C"/>
          <w:sz w:val="18"/>
        </w:rPr>
        <w:t>PRIMARY SOURCES — ATB-2026-16 — COVERAGE WEEK 21–27 JUNE 2026</w:t>
      </w:r>
    </w:p>
    <w:p>
      <w:pPr>
        <w:spacing w:before="120" w:after="20"/>
      </w:pPr>
      <w:r>
        <w:rPr>
          <w:rFonts w:ascii="Calibri" w:hAnsi="Calibri"/>
          <w:b/>
          <w:color w:val="7A5A1E"/>
          <w:sz w:val="15"/>
        </w:rPr>
        <w:t>GOVERNMENT</w:t>
        <w:br/>
      </w:r>
      <w:r>
        <w:rPr>
          <w:b/>
          <w:color w:val="142233"/>
          <w:sz w:val="20"/>
        </w:rPr>
        <w:t>CISA/FBI/NSA/EPA/DOE/CNMF Joint Advisory AA26-097A — April 7, 2026</w:t>
      </w:r>
    </w:p>
    <w:p>
      <w:pPr>
        <w:spacing w:after="20"/>
      </w:pPr>
      <w:hyperlink r:id="rId11">
        <w:r>
          <w:rPr>
            <w:color w:val="1F5C8C"/>
            <w:u w:val="single"/>
            <w:sz w:val="17"/>
            <w:rFonts w:ascii="Consolas"/>
          </w:rPr>
          <w:t>ic3.gov/CSA/2026/260407.pdf</w:t>
        </w:r>
      </w:hyperlink>
    </w:p>
    <w:p>
      <w:pPr>
        <w:spacing w:after="40"/>
      </w:pPr>
      <w:r>
        <w:rPr>
          <w:i/>
          <w:color w:val="5C5C5C"/>
          <w:sz w:val="17"/>
        </w:rPr>
        <w:t>Six-agency confirmation of IRGC-CEC active exploitation of Rockwell Automation PLCs and HMIs in U.S. energy, water, and government sectors since at least March 2026. Confirms operational disruptions and financial losses. Primary source for HIGH confidence tier in KJ-1. Advisory remains active and unrescinded.</w:t>
      </w:r>
    </w:p>
    <w:p>
      <w:pPr>
        <w:spacing w:before="120" w:after="20"/>
      </w:pPr>
      <w:r>
        <w:rPr>
          <w:rFonts w:ascii="Calibri" w:hAnsi="Calibri"/>
          <w:b/>
          <w:color w:val="7A5A1E"/>
          <w:sz w:val="15"/>
        </w:rPr>
        <w:t>GOVERNMENT</w:t>
        <w:br/>
      </w:r>
      <w:r>
        <w:rPr>
          <w:b/>
          <w:color w:val="142233"/>
          <w:sz w:val="20"/>
        </w:rPr>
        <w:t>EPA/FBI/CISA/NSA Joint Advisory — Water Sector Warning — April 7, 2026</w:t>
      </w:r>
    </w:p>
    <w:p>
      <w:pPr>
        <w:spacing w:after="20"/>
      </w:pPr>
      <w:hyperlink r:id="rId12">
        <w:r>
          <w:rPr>
            <w:color w:val="1F5C8C"/>
            <w:u w:val="single"/>
            <w:sz w:val="17"/>
            <w:rFonts w:ascii="Consolas"/>
          </w:rPr>
          <w:t>epa.gov — Iranian-Affiliated Cyber Actors Water Sector Advisory</w:t>
        </w:r>
      </w:hyperlink>
    </w:p>
    <w:p>
      <w:pPr>
        <w:spacing w:after="40"/>
      </w:pPr>
      <w:r>
        <w:rPr>
          <w:i/>
          <w:color w:val="5C5C5C"/>
          <w:sz w:val="17"/>
        </w:rPr>
        <w:t>Water sector-specific advisory confirming Iranian actors are disrupting U.S. drinking water and wastewater systems through configuration wiping, HMI manipulation, and sensor tampering. Names water sector as explicit target set for the OT exploitation campaign.</w:t>
      </w:r>
    </w:p>
    <w:p>
      <w:pPr>
        <w:spacing w:before="120" w:after="20"/>
      </w:pPr>
      <w:r>
        <w:rPr>
          <w:rFonts w:ascii="Calibri" w:hAnsi="Calibri"/>
          <w:b/>
          <w:color w:val="7A5A1E"/>
          <w:sz w:val="15"/>
        </w:rPr>
        <w:t>REGULATORY</w:t>
        <w:br/>
      </w:r>
      <w:r>
        <w:rPr>
          <w:b/>
          <w:color w:val="142233"/>
          <w:sz w:val="20"/>
        </w:rPr>
        <w:t>Texas Attorney General Breach Notification Filing — Alamo Heights ISD — June 23, 2026</w:t>
      </w:r>
    </w:p>
    <w:p>
      <w:pPr>
        <w:spacing w:after="20"/>
      </w:pPr>
      <w:hyperlink r:id="rId13">
        <w:r>
          <w:rPr>
            <w:color w:val="1F5C8C"/>
            <w:u w:val="single"/>
            <w:sz w:val="17"/>
            <w:rFonts w:ascii="Consolas"/>
          </w:rPr>
          <w:t>ksat.com — Texas AG Confirms AHISD Breach</w:t>
        </w:r>
      </w:hyperlink>
    </w:p>
    <w:p>
      <w:pPr>
        <w:spacing w:after="40"/>
      </w:pPr>
      <w:r>
        <w:rPr>
          <w:i/>
          <w:color w:val="5C5C5C"/>
          <w:sz w:val="17"/>
        </w:rPr>
        <w:t>Confirmed 26,629 individuals affected. Data categories: Social Security numbers, driver’s license numbers, financial account data, medical information. Cyber insurance recovery: $36,000+. Breach occurred March 2026; notification via U.S. Mail. Cited for confirmed breach count, data scope, and notification timeline.</w:t>
      </w:r>
    </w:p>
    <w:p>
      <w:pPr>
        <w:spacing w:before="120" w:after="20"/>
      </w:pPr>
      <w:r>
        <w:rPr>
          <w:rFonts w:ascii="Calibri" w:hAnsi="Calibri"/>
          <w:b/>
          <w:color w:val="7A5A1E"/>
          <w:sz w:val="15"/>
        </w:rPr>
        <w:t>WIRE / MAJOR MEDIA</w:t>
        <w:br/>
      </w:r>
      <w:r>
        <w:rPr>
          <w:b/>
          <w:color w:val="142233"/>
          <w:sz w:val="20"/>
        </w:rPr>
        <w:t>NPR — June 27, 2026 — U.S. Strikes Iran After Strait of Hormuz Drone Attack</w:t>
      </w:r>
    </w:p>
    <w:p>
      <w:pPr>
        <w:spacing w:after="20"/>
      </w:pPr>
      <w:hyperlink r:id="rId14">
        <w:r>
          <w:rPr>
            <w:color w:val="1F5C8C"/>
            <w:u w:val="single"/>
            <w:sz w:val="17"/>
            <w:rFonts w:ascii="Consolas"/>
          </w:rPr>
          <w:t>npr.org — U.S. Strikes Iran</w:t>
        </w:r>
      </w:hyperlink>
    </w:p>
    <w:p>
      <w:pPr>
        <w:spacing w:after="40"/>
      </w:pPr>
      <w:r>
        <w:rPr>
          <w:i/>
          <w:color w:val="5C5C5C"/>
          <w:sz w:val="17"/>
        </w:rPr>
        <w:t>Confirms IMO evacuation suspension, pre-attack transit volume (78 vessels June 24), approximately 500 ships remaining in area, ceasefire framework context, and Iranian parliamentary framing of strike as “ceasefire management.” Cyber implications are Liberty CTI assessment.</w:t>
      </w:r>
    </w:p>
    <w:p>
      <w:pPr>
        <w:spacing w:before="120" w:after="20"/>
      </w:pPr>
      <w:r>
        <w:rPr>
          <w:rFonts w:ascii="Calibri" w:hAnsi="Calibri"/>
          <w:b/>
          <w:color w:val="7A5A1E"/>
          <w:sz w:val="15"/>
        </w:rPr>
        <w:t>WIRE / MAJOR MEDIA</w:t>
        <w:br/>
      </w:r>
      <w:r>
        <w:rPr>
          <w:b/>
          <w:color w:val="142233"/>
          <w:sz w:val="20"/>
        </w:rPr>
        <w:t>RFE/RL — June 24, 2026 — Russia Fuel Shortage Scope</w:t>
      </w:r>
    </w:p>
    <w:p>
      <w:pPr>
        <w:spacing w:after="20"/>
      </w:pPr>
      <w:hyperlink r:id="rId15">
        <w:r>
          <w:rPr>
            <w:color w:val="1F5C8C"/>
            <w:u w:val="single"/>
            <w:sz w:val="17"/>
            <w:rFonts w:ascii="Consolas"/>
          </w:rPr>
          <w:t>rferl.org — Russia Fuel Shortages</w:t>
        </w:r>
      </w:hyperlink>
    </w:p>
    <w:p>
      <w:pPr>
        <w:spacing w:after="40"/>
      </w:pPr>
      <w:r>
        <w:rPr>
          <w:i/>
          <w:color w:val="5C5C5C"/>
          <w:sz w:val="17"/>
        </w:rPr>
        <w:t>Confirms 55 of 83 Russian federal regions under mandatory fuel restrictions as of June 24; more than 20 percent of refining capacity offline; Kapotnya refinery offline through end of 2026; IEA “unprecedented” characterization. Russian cyber implications are Liberty CTI assessment using Sandworm historical precedent.</w:t>
      </w:r>
    </w:p>
    <w:p>
      <w:pPr>
        <w:spacing w:before="120" w:after="20"/>
      </w:pPr>
      <w:r>
        <w:rPr>
          <w:rFonts w:ascii="Calibri" w:hAnsi="Calibri"/>
          <w:b/>
          <w:color w:val="7A5A1E"/>
          <w:sz w:val="15"/>
        </w:rPr>
        <w:t>WIRE / MAJOR MEDIA</w:t>
        <w:br/>
      </w:r>
      <w:r>
        <w:rPr>
          <w:b/>
          <w:color w:val="142233"/>
          <w:sz w:val="20"/>
        </w:rPr>
        <w:t>NPR / Euronews / Al Jazeera — June 21, 2026 — Crimea Gasoline Suspension</w:t>
      </w:r>
    </w:p>
    <w:p>
      <w:pPr>
        <w:spacing w:after="20"/>
      </w:pPr>
      <w:hyperlink r:id="rId16">
        <w:r>
          <w:rPr>
            <w:color w:val="1F5C8C"/>
            <w:u w:val="single"/>
            <w:sz w:val="17"/>
            <w:rFonts w:ascii="Consolas"/>
          </w:rPr>
          <w:t>npr.org — Crimea Fuel Crisis</w:t>
        </w:r>
      </w:hyperlink>
    </w:p>
    <w:p>
      <w:pPr>
        <w:spacing w:after="40"/>
      </w:pPr>
      <w:r>
        <w:rPr>
          <w:i/>
          <w:color w:val="5C5C5C"/>
          <w:sz w:val="17"/>
        </w:rPr>
        <w:t>Confirms civilian gasoline sales suspended June 21 by Kremlin-appointed Aksyonov; four killed in overnight drone attacks; drone strike on Black Sea oil terminal in Chushka confirmed. Used for Russia fuel crisis severity assessment.</w:t>
      </w:r>
    </w:p>
    <w:p>
      <w:pPr>
        <w:spacing w:before="120" w:after="20"/>
      </w:pPr>
      <w:r>
        <w:rPr>
          <w:rFonts w:ascii="Calibri" w:hAnsi="Calibri"/>
          <w:b/>
          <w:color w:val="7A5A1E"/>
          <w:sz w:val="15"/>
        </w:rPr>
        <w:t>SECONDARY — LITIGATION REPORTING</w:t>
        <w:br/>
      </w:r>
      <w:r>
        <w:rPr>
          <w:b/>
          <w:color w:val="142233"/>
          <w:sz w:val="20"/>
        </w:rPr>
        <w:t>Digital Forensics Magazine / classaction.org — June 25–26, 2026</w:t>
      </w:r>
    </w:p>
    <w:p>
      <w:pPr>
        <w:spacing w:after="20"/>
      </w:pPr>
      <w:hyperlink r:id="rId17">
        <w:r>
          <w:rPr>
            <w:color w:val="1F5C8C"/>
            <w:u w:val="single"/>
            <w:sz w:val="17"/>
            <w:rFonts w:ascii="Consolas"/>
          </w:rPr>
          <w:t>digitalforensicsmagazine.com — News Roundup June 26</w:t>
        </w:r>
      </w:hyperlink>
    </w:p>
    <w:p>
      <w:pPr>
        <w:spacing w:after="40"/>
      </w:pPr>
      <w:r>
        <w:rPr>
          <w:i/>
          <w:color w:val="5C5C5C"/>
          <w:sz w:val="17"/>
        </w:rPr>
        <w:t>Cited for litigation facts only. Confirms proposed class-action lawsuits against South Texas Spinal Clinic PA and Soniva Dental following Gentlemen ransomware group claims. Allegations are unconfirmed findings. South Texas Spinal Clinic had not confirmed the breach as of June 15, 2026.</w:t>
      </w:r>
    </w:p>
    <w:p>
      <w:pPr>
        <w:spacing w:before="120" w:after="20"/>
      </w:pPr>
      <w:r>
        <w:rPr>
          <w:rFonts w:ascii="Calibri" w:hAnsi="Calibri"/>
          <w:b/>
          <w:color w:val="7A5A1E"/>
          <w:sz w:val="15"/>
        </w:rPr>
        <w:t>SECONDARY — HISTORICAL PRECEDENT</w:t>
        <w:br/>
      </w:r>
      <w:r>
        <w:rPr>
          <w:b/>
          <w:color w:val="142233"/>
          <w:sz w:val="20"/>
        </w:rPr>
        <w:t>Sandworm / APT44 Historical Record — MITRE ATT&amp;CK G0034 / Mandiant / Dragos</w:t>
      </w:r>
    </w:p>
    <w:p>
      <w:pPr>
        <w:spacing w:after="20"/>
      </w:pPr>
      <w:hyperlink r:id="rId18">
        <w:r>
          <w:rPr>
            <w:color w:val="1F5C8C"/>
            <w:u w:val="single"/>
            <w:sz w:val="17"/>
            <w:rFonts w:ascii="Consolas"/>
          </w:rPr>
          <w:t>attack.mitre.org — Sandworm Group G0034</w:t>
        </w:r>
      </w:hyperlink>
    </w:p>
    <w:p>
      <w:pPr>
        <w:spacing w:after="40"/>
      </w:pPr>
      <w:r>
        <w:rPr>
          <w:i/>
          <w:color w:val="5C5C5C"/>
          <w:sz w:val="17"/>
        </w:rPr>
        <w:t>Cited for historical precedent only. Documents December 2015 BlackEnergy grid attack (230,000 Ukrainians without power) and December 2016 Industroyer/CRASHOVERRIDE Kyiv attack during periods of Russian strategic pressure. Used to support KJ-2 Russia pressure-to-cyber-activity correlation. Does not constitute confirmed new activity this week.</w:t>
      </w:r>
    </w:p>
    <w:p>
      <w:pPr>
        <w:pBdr>
          <w:bottom w:val="single" w:sz="4" w:space="4" w:color="CCCCCC"/>
        </w:pBdr>
      </w:pPr>
    </w:p>
    <w:p>
      <w:pPr>
        <w:spacing w:after="160"/>
      </w:pPr>
      <w:r>
        <w:rPr>
          <w:rFonts w:ascii="Georgia" w:hAnsi="Georgia"/>
          <w:b w:val="0"/>
          <w:i w:val="0"/>
          <w:color w:val="142233"/>
          <w:sz w:val="21"/>
        </w:rPr>
        <w:br/>
        <w:t xml:space="preserve"> Liberty CTI — San Antonio, Texas — libertycti.com — ATB-2026-16 — UNCLASSIFIED // OPEN SOURCE // PROPRIETARY</w:t>
        <w:br/>
        <w:t xml:space="preserve"> </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3.gov/CSA/2026/260407.pdf" TargetMode="External"/><Relationship Id="rId12" Type="http://schemas.openxmlformats.org/officeDocument/2006/relationships/hyperlink" Target="https://www.epa.gov/newsreleases/epa-fbi-cisa-nsa-issue-joint-cybersecurity-advisory-water-system-regarding-iranian" TargetMode="External"/><Relationship Id="rId13" Type="http://schemas.openxmlformats.org/officeDocument/2006/relationships/hyperlink" Target="https://www.ksat.com/news/local/2026/06/26/data-breach-affects-more-than-26k-at-alamo-heights-isd-paxton-says/" TargetMode="External"/><Relationship Id="rId14" Type="http://schemas.openxmlformats.org/officeDocument/2006/relationships/hyperlink" Target="https://www.npr.org/2026/06/27/nx-s1-5872954/us-strikes-iran" TargetMode="External"/><Relationship Id="rId15" Type="http://schemas.openxmlformats.org/officeDocument/2006/relationships/hyperlink" Target="https://www.rferl.org/a/ukraine-russia-oil-refinery-fuel-shortages-kremlin/33787903.html" TargetMode="External"/><Relationship Id="rId16" Type="http://schemas.openxmlformats.org/officeDocument/2006/relationships/hyperlink" Target="https://www.npr.org/2026/06/21/g-s1-129200/ukrainian-attacks-russia-crimea-halt-gas-sales" TargetMode="External"/><Relationship Id="rId17" Type="http://schemas.openxmlformats.org/officeDocument/2006/relationships/hyperlink" Target="https://digitalforensicsmagazine.com/news-roundup-26th-june-2026/" TargetMode="External"/><Relationship Id="rId18" Type="http://schemas.openxmlformats.org/officeDocument/2006/relationships/hyperlink" Target="https://attack.mitre.org/groups/G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