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b/>
          <w:color w:val="7A5A1E"/>
          <w:sz w:val="19"/>
        </w:rPr>
        <w:t>LIBERTY CYBER THREAT INTELLIGENCE</w:t>
      </w:r>
    </w:p>
    <w:p>
      <w:pPr>
        <w:spacing w:after="80"/>
        <w:jc w:val="center"/>
      </w:pPr>
      <w:r>
        <w:rPr>
          <w:rFonts w:ascii="Calibri" w:hAnsi="Calibri"/>
          <w:b/>
          <w:color w:val="142233"/>
          <w:sz w:val="48"/>
        </w:rPr>
        <w:t>THE ALAMO THREAT BRIEF™</w:t>
      </w:r>
    </w:p>
    <w:p>
      <w:pPr>
        <w:spacing w:after="200"/>
        <w:jc w:val="center"/>
      </w:pPr>
      <w:r>
        <w:rPr>
          <w:rFonts w:ascii="Consolas" w:hAnsi="Consolas"/>
          <w:color w:val="5C5C5C"/>
          <w:sz w:val="16"/>
        </w:rPr>
        <w:t>OPEN SOURCE INTELLIGENCE</w:t>
      </w:r>
    </w:p>
    <w:tbl>
      <w:tblPr>
        <w:tblW w:type="auto" w:w="0"/>
        <w:jc w:val="center"/>
        <w:tblLook w:firstColumn="1" w:firstRow="1" w:lastColumn="0" w:lastRow="0" w:noHBand="0" w:noVBand="1" w:val="04A0"/>
      </w:tblPr>
      <w:tblGrid>
        <w:gridCol w:w="1928"/>
        <w:gridCol w:w="7200"/>
      </w:tblGrid>
      <w:tr>
        <w:tc>
          <w:tcPr>
            <w:tcW w:type="dxa" w:w="4873"/>
            <w:tcBorders>
              <w:top w:val="single" w:sz="4" w:color="E0DACB"/>
              <w:left w:val="single" w:sz="4" w:color="E0DACB"/>
              <w:bottom w:val="single" w:sz="4" w:color="E0DACB"/>
              <w:right w:val="single" w:sz="4" w:color="E0DACB"/>
            </w:tcBorders>
            <w:shd w:val="clear" w:fill="F5F1E8"/>
          </w:tcPr>
          <w:p>
            <w:r>
              <w:rPr>
                <w:rFonts w:ascii="Calibri" w:hAnsi="Calibri"/>
                <w:b/>
                <w:color w:val="7A5A1E"/>
                <w:sz w:val="16"/>
              </w:rPr>
              <w:t>ISSUE</w:t>
            </w:r>
          </w:p>
        </w:tc>
        <w:tc>
          <w:tcPr>
            <w:tcW w:type="dxa" w:w="4873"/>
            <w:tcBorders>
              <w:top w:val="single" w:sz="4" w:color="E0DACB"/>
              <w:left w:val="single" w:sz="4" w:color="E0DACB"/>
              <w:bottom w:val="single" w:sz="4" w:color="E0DACB"/>
              <w:right w:val="single" w:sz="4" w:color="E0DACB"/>
            </w:tcBorders>
          </w:tcPr>
          <w:p>
            <w:r>
              <w:rPr>
                <w:rFonts w:ascii="Calibri" w:hAnsi="Calibri"/>
                <w:color w:val="142233"/>
                <w:sz w:val="19"/>
              </w:rPr>
              <w:t>ATB-2026-17</w:t>
            </w:r>
          </w:p>
        </w:tc>
      </w:tr>
      <w:tr>
        <w:tc>
          <w:tcPr>
            <w:tcW w:type="dxa" w:w="4873"/>
            <w:tcBorders>
              <w:top w:val="single" w:sz="4" w:color="E0DACB"/>
              <w:left w:val="single" w:sz="4" w:color="E0DACB"/>
              <w:bottom w:val="single" w:sz="4" w:color="E0DACB"/>
              <w:right w:val="single" w:sz="4" w:color="E0DACB"/>
            </w:tcBorders>
            <w:shd w:val="clear" w:fill="F5F1E8"/>
          </w:tcPr>
          <w:p>
            <w:r>
              <w:rPr>
                <w:rFonts w:ascii="Calibri" w:hAnsi="Calibri"/>
                <w:b/>
                <w:color w:val="7A5A1E"/>
                <w:sz w:val="16"/>
              </w:rPr>
              <w:t>COVERAGE PERIOD</w:t>
            </w:r>
          </w:p>
        </w:tc>
        <w:tc>
          <w:tcPr>
            <w:tcW w:type="dxa" w:w="4873"/>
            <w:tcBorders>
              <w:top w:val="single" w:sz="4" w:color="E0DACB"/>
              <w:left w:val="single" w:sz="4" w:color="E0DACB"/>
              <w:bottom w:val="single" w:sz="4" w:color="E0DACB"/>
              <w:right w:val="single" w:sz="4" w:color="E0DACB"/>
            </w:tcBorders>
          </w:tcPr>
          <w:p>
            <w:r>
              <w:rPr>
                <w:rFonts w:ascii="Calibri" w:hAnsi="Calibri"/>
                <w:color w:val="142233"/>
                <w:sz w:val="19"/>
              </w:rPr>
              <w:t>28 JUNE–4 JULY 2026</w:t>
            </w:r>
          </w:p>
        </w:tc>
      </w:tr>
      <w:tr>
        <w:tc>
          <w:tcPr>
            <w:tcW w:type="dxa" w:w="4873"/>
            <w:tcBorders>
              <w:top w:val="single" w:sz="4" w:color="E0DACB"/>
              <w:left w:val="single" w:sz="4" w:color="E0DACB"/>
              <w:bottom w:val="single" w:sz="4" w:color="E0DACB"/>
              <w:right w:val="single" w:sz="4" w:color="E0DACB"/>
            </w:tcBorders>
            <w:shd w:val="clear" w:fill="F5F1E8"/>
          </w:tcPr>
          <w:p>
            <w:r>
              <w:rPr>
                <w:rFonts w:ascii="Calibri" w:hAnsi="Calibri"/>
                <w:b/>
                <w:color w:val="7A5A1E"/>
                <w:sz w:val="16"/>
              </w:rPr>
              <w:t>PUBLICATION DATE</w:t>
            </w:r>
          </w:p>
        </w:tc>
        <w:tc>
          <w:tcPr>
            <w:tcW w:type="dxa" w:w="4873"/>
            <w:tcBorders>
              <w:top w:val="single" w:sz="4" w:color="E0DACB"/>
              <w:left w:val="single" w:sz="4" w:color="E0DACB"/>
              <w:bottom w:val="single" w:sz="4" w:color="E0DACB"/>
              <w:right w:val="single" w:sz="4" w:color="E0DACB"/>
            </w:tcBorders>
          </w:tcPr>
          <w:p>
            <w:r>
              <w:rPr>
                <w:rFonts w:ascii="Calibri" w:hAnsi="Calibri"/>
                <w:color w:val="142233"/>
                <w:sz w:val="19"/>
              </w:rPr>
              <w:t>2026-07-04</w:t>
            </w:r>
          </w:p>
        </w:tc>
      </w:tr>
      <w:tr>
        <w:tc>
          <w:tcPr>
            <w:tcW w:type="dxa" w:w="4873"/>
            <w:tcBorders>
              <w:top w:val="single" w:sz="4" w:color="E0DACB"/>
              <w:left w:val="single" w:sz="4" w:color="E0DACB"/>
              <w:bottom w:val="single" w:sz="4" w:color="E0DACB"/>
              <w:right w:val="single" w:sz="4" w:color="E0DACB"/>
            </w:tcBorders>
            <w:shd w:val="clear" w:fill="F5F1E8"/>
          </w:tcPr>
          <w:p>
            <w:r>
              <w:rPr>
                <w:rFonts w:ascii="Calibri" w:hAnsi="Calibri"/>
                <w:b/>
                <w:color w:val="7A5A1E"/>
                <w:sz w:val="16"/>
              </w:rPr>
              <w:t>DOMINANT JUDGMENT</w:t>
            </w:r>
          </w:p>
        </w:tc>
        <w:tc>
          <w:tcPr>
            <w:tcW w:type="dxa" w:w="4873"/>
            <w:tcBorders>
              <w:top w:val="single" w:sz="4" w:color="E0DACB"/>
              <w:left w:val="single" w:sz="4" w:color="E0DACB"/>
              <w:bottom w:val="single" w:sz="4" w:color="E0DACB"/>
              <w:right w:val="single" w:sz="4" w:color="E0DACB"/>
            </w:tcBorders>
          </w:tcPr>
          <w:p>
            <w:r>
              <w:rPr>
                <w:rFonts w:ascii="Calibri" w:hAnsi="Calibri"/>
                <w:color w:val="142233"/>
                <w:sz w:val="19"/>
              </w:rPr>
              <w:t>DIVERGING TRACKS, ONE EXPOSURE</w:t>
            </w:r>
          </w:p>
        </w:tc>
      </w:tr>
    </w:tbl>
    <w:p>
      <w:pPr>
        <w:spacing w:after="80"/>
      </w:pPr>
    </w:p>
    <w:p>
      <w:pPr>
        <w:jc w:val="center"/>
      </w:pPr>
      <w:r>
        <w:rPr>
          <w:i/>
          <w:color w:val="5C5C5C"/>
          <w:sz w:val="20"/>
        </w:rPr>
        <w:t>Executive decision intelligence for Texas critical infrastructure.</w:t>
      </w:r>
    </w:p>
    <w:p>
      <w:pPr>
        <w:pBdr>
          <w:bottom w:val="single" w:sz="10" w:space="4" w:color="A67C2E"/>
        </w:pBdr>
        <w:spacing w:after="200"/>
      </w:pPr>
    </w:p>
    <w:p>
      <w:pPr>
        <w:spacing w:before="160" w:after="40"/>
      </w:pPr>
      <w:r>
        <w:rPr>
          <w:b/>
          <w:color w:val="7A5A1E"/>
          <w:sz w:val="20"/>
        </w:rPr>
        <w:t>Board Implications This Week — Ask</w:t>
      </w:r>
    </w:p>
    <w:p>
      <w:pPr>
        <w:spacing w:after="40"/>
      </w:pPr>
      <w:r>
        <w:rPr>
          <w:rFonts w:ascii="Georgia" w:hAnsi="Georgia"/>
          <w:b w:val="0"/>
          <w:i w:val="0"/>
          <w:color w:val="142233"/>
          <w:sz w:val="19"/>
        </w:rPr>
        <w:t>Has diplomatic progress on the Iran track influenced our OT isolation or vendor-access posture in any way? If the answer is yes, that decision needs to be reversed and documented.</w:t>
      </w:r>
    </w:p>
    <w:p>
      <w:pPr>
        <w:spacing w:before="160" w:after="40"/>
      </w:pPr>
      <w:r>
        <w:rPr>
          <w:b/>
          <w:color w:val="7A5A1E"/>
          <w:sz w:val="20"/>
        </w:rPr>
        <w:t>Board Implications This Week — Direct</w:t>
      </w:r>
    </w:p>
    <w:p>
      <w:pPr>
        <w:spacing w:after="40"/>
      </w:pPr>
      <w:r>
        <w:rPr>
          <w:rFonts w:ascii="Georgia" w:hAnsi="Georgia"/>
          <w:b w:val="0"/>
          <w:i w:val="0"/>
          <w:color w:val="142233"/>
          <w:sz w:val="19"/>
        </w:rPr>
        <w:t>Confirm that vendor-disconnection and OT isolation authority delegated after the June 25–26 Hormuz exchange remains active and has not been quietly relaxed following this week’s ceasefire headlines.</w:t>
      </w:r>
    </w:p>
    <w:p>
      <w:pPr>
        <w:spacing w:before="160" w:after="40"/>
      </w:pPr>
      <w:r>
        <w:rPr>
          <w:b/>
          <w:color w:val="7A5A1E"/>
          <w:sz w:val="20"/>
        </w:rPr>
        <w:t>Board Implications This Week — Document</w:t>
      </w:r>
    </w:p>
    <w:p>
      <w:pPr>
        <w:spacing w:after="40"/>
      </w:pPr>
      <w:r>
        <w:rPr>
          <w:rFonts w:ascii="Georgia" w:hAnsi="Georgia"/>
          <w:b w:val="0"/>
          <w:i w:val="0"/>
          <w:color w:val="142233"/>
          <w:sz w:val="19"/>
        </w:rPr>
        <w:t>Record any decision to maintain or adjust isolation posture this week, with the rationale. If posture changes later prove premature, this record is what shows leadership acted on evidence, not headlines.</w:t>
      </w:r>
    </w:p>
    <w:p>
      <w:pPr>
        <w:spacing w:before="160" w:after="40"/>
      </w:pPr>
      <w:r>
        <w:rPr>
          <w:b/>
          <w:color w:val="7A5A1E"/>
          <w:sz w:val="20"/>
        </w:rPr>
        <w:t>Board Implications This Week — Watch</w:t>
      </w:r>
    </w:p>
    <w:p>
      <w:pPr>
        <w:spacing w:after="40"/>
      </w:pPr>
      <w:r>
        <w:rPr>
          <w:rFonts w:ascii="Georgia" w:hAnsi="Georgia"/>
          <w:b w:val="0"/>
          <w:i w:val="0"/>
          <w:color w:val="142233"/>
          <w:sz w:val="19"/>
        </w:rPr>
        <w:t>Task threat intelligence or legal counsel to flag the first U.S. primary-source advisory (CISA/FBI/NSA) corroborating the Israeli-reported rise in Iranian cyber activity. That is the confidence-upgrade trigger, not this week’s single-source reporting.</w:t>
      </w:r>
    </w:p>
    <w:p>
      <w:pPr>
        <w:spacing w:after="160"/>
      </w:pPr>
      <w:r>
        <w:rPr>
          <w:rFonts w:ascii="Georgia" w:hAnsi="Georgia"/>
          <w:b w:val="0"/>
          <w:i w:val="0"/>
          <w:color w:val="142233"/>
          <w:sz w:val="21"/>
        </w:rPr>
        <w:t>Section I</w:t>
      </w:r>
    </w:p>
    <w:p>
      <w:pPr>
        <w:spacing w:before="320" w:after="120"/>
        <w:pBdr>
          <w:bottom w:val="single" w:sz="6" w:space="4" w:color="A67C2E"/>
        </w:pBdr>
      </w:pPr>
      <w:r>
        <w:rPr>
          <w:rFonts w:ascii="Calibri" w:hAnsi="Calibri"/>
          <w:b/>
          <w:color w:val="7A5A1E"/>
          <w:sz w:val="27"/>
        </w:rPr>
        <w:t>What Changed This Week</w:t>
      </w:r>
    </w:p>
    <w:p>
      <w:pPr>
        <w:spacing w:before="200" w:after="120"/>
      </w:pPr>
      <w:r>
        <w:rPr>
          <w:rFonts w:ascii="Calibri" w:hAnsi="Calibri"/>
          <w:b/>
          <w:color w:val="142233"/>
          <w:sz w:val="23"/>
        </w:rPr>
        <w:t>U.S.-Iran Diplomacy Advances While Cyber Activity Reportedly Intensifies</w:t>
      </w:r>
    </w:p>
    <w:p>
      <w:pPr>
        <w:spacing w:after="160"/>
      </w:pPr>
      <w:r>
        <w:rPr>
          <w:rFonts w:ascii="Georgia" w:hAnsi="Georgia"/>
          <w:b w:val="0"/>
          <w:i w:val="0"/>
          <w:color w:val="142233"/>
          <w:sz w:val="21"/>
        </w:rPr>
        <w:t xml:space="preserve">On </w:t>
      </w:r>
      <w:r>
        <w:rPr>
          <w:rFonts w:ascii="Georgia" w:hAnsi="Georgia"/>
          <w:b/>
          <w:i w:val="0"/>
          <w:color w:val="142233"/>
          <w:sz w:val="21"/>
        </w:rPr>
        <w:t>30 June–2 July 2026</w:t>
      </w:r>
      <w:r>
        <w:rPr>
          <w:rFonts w:ascii="Georgia" w:hAnsi="Georgia"/>
          <w:b w:val="0"/>
          <w:i w:val="0"/>
          <w:color w:val="142233"/>
          <w:sz w:val="21"/>
        </w:rPr>
        <w:t>, U.S. and Iranian negotiators met in Doha through Qatari and Pakistani mediators, advancing implementation of the $6 billion frozen-asset release and standing up a Joint Hormuz Committee to manage strait governance going forward. This is genuine diplomatic movement beyond last week’s kinetic exchange. At the same time, Israel’s cyber chief told German outlet WELT that Iranian cyber operations have intensified sharply since the war began, including increased coordination among Iranian-aligned groups and targeting of critical infrastructure and smaller businesses. These two developments are happening on separate tracks, not a single one, and Texas executives should not assume the first cancels out the second.</w:t>
      </w:r>
    </w:p>
    <w:p>
      <w:pPr>
        <w:spacing w:before="200" w:after="120"/>
      </w:pPr>
      <w:r>
        <w:rPr>
          <w:rFonts w:ascii="Calibri" w:hAnsi="Calibri"/>
          <w:b/>
          <w:color w:val="142233"/>
          <w:sz w:val="23"/>
        </w:rPr>
        <w:t>Hormuz Threat Level Raised to “Substantial” Despite Talks Progress</w:t>
      </w:r>
    </w:p>
    <w:p>
      <w:pPr>
        <w:spacing w:after="160"/>
      </w:pPr>
      <w:r>
        <w:rPr>
          <w:rFonts w:ascii="Georgia" w:hAnsi="Georgia"/>
          <w:b w:val="0"/>
          <w:i w:val="0"/>
          <w:color w:val="142233"/>
          <w:sz w:val="21"/>
        </w:rPr>
        <w:t xml:space="preserve">The Joint Maritime Information Center formally raised the Strait of Hormuz maritime security threat level to </w:t>
      </w:r>
      <w:r>
        <w:rPr>
          <w:rFonts w:ascii="Georgia" w:hAnsi="Georgia"/>
          <w:b/>
          <w:i w:val="0"/>
          <w:color w:val="142233"/>
          <w:sz w:val="21"/>
        </w:rPr>
        <w:t>“substantial”</w:t>
      </w:r>
      <w:r>
        <w:rPr>
          <w:rFonts w:ascii="Georgia" w:hAnsi="Georgia"/>
          <w:b w:val="0"/>
          <w:i w:val="0"/>
          <w:color w:val="142233"/>
          <w:sz w:val="21"/>
        </w:rPr>
        <w:t xml:space="preserve"> this week, even as commercial traffic remained comparatively steady and diplomatic talks advanced. Transit volume remains well below pre-war levels. The juxtaposition — rising formal threat classification alongside diplomatic progress — is itself the indicator worth tracking, not a contradiction to resolve.</w:t>
      </w:r>
    </w:p>
    <w:p>
      <w:pPr>
        <w:spacing w:before="200" w:after="120"/>
      </w:pPr>
      <w:r>
        <w:rPr>
          <w:rFonts w:ascii="Calibri" w:hAnsi="Calibri"/>
          <w:b/>
          <w:color w:val="142233"/>
          <w:sz w:val="23"/>
        </w:rPr>
        <w:t>Ukraine Strikes St. Petersburg and Vysotsk Port, Continuing an Established Campaign</w:t>
      </w:r>
    </w:p>
    <w:p>
      <w:pPr>
        <w:spacing w:after="160"/>
      </w:pPr>
      <w:r>
        <w:rPr>
          <w:rFonts w:ascii="Georgia" w:hAnsi="Georgia"/>
          <w:b w:val="0"/>
          <w:i w:val="0"/>
          <w:color w:val="142233"/>
          <w:sz w:val="21"/>
        </w:rPr>
        <w:t xml:space="preserve">Ukraine struck the St. Petersburg oil terminal and Vysotsk port infrastructure on </w:t>
      </w:r>
      <w:r>
        <w:rPr>
          <w:rFonts w:ascii="Georgia" w:hAnsi="Georgia"/>
          <w:b/>
          <w:i w:val="0"/>
          <w:color w:val="142233"/>
          <w:sz w:val="21"/>
        </w:rPr>
        <w:t>4 July 2026</w:t>
      </w:r>
      <w:r>
        <w:rPr>
          <w:rFonts w:ascii="Georgia" w:hAnsi="Georgia"/>
          <w:b w:val="0"/>
          <w:i w:val="0"/>
          <w:color w:val="142233"/>
          <w:sz w:val="21"/>
        </w:rPr>
        <w:t>, part of an “almost daily” campaign against Russian refining and export infrastructure that has been running for months and was already the subject of ATB-2026-16’s KJ-2. Russian fuel rationing continues across multiple regions. This is a continuation, not a new development in kind — noted here for currency, not as a fresh judgment.</w:t>
      </w:r>
    </w:p>
    <w:p>
      <w:pPr>
        <w:spacing w:before="200" w:after="120"/>
      </w:pPr>
      <w:r>
        <w:rPr>
          <w:rFonts w:ascii="Calibri" w:hAnsi="Calibri"/>
          <w:b/>
          <w:color w:val="142233"/>
          <w:sz w:val="23"/>
        </w:rPr>
        <w:t>WSJ: Corporate Infrastructure Now Explicit Military Target Category</w:t>
      </w:r>
    </w:p>
    <w:p>
      <w:pPr>
        <w:spacing w:after="160"/>
      </w:pPr>
      <w:r>
        <w:rPr>
          <w:rFonts w:ascii="Georgia" w:hAnsi="Georgia"/>
          <w:b w:val="0"/>
          <w:i w:val="0"/>
          <w:color w:val="142233"/>
          <w:sz w:val="21"/>
        </w:rPr>
        <w:t xml:space="preserve">The Wall Street Journal reported on </w:t>
      </w:r>
      <w:r>
        <w:rPr>
          <w:rFonts w:ascii="Georgia" w:hAnsi="Georgia"/>
          <w:b/>
          <w:i w:val="0"/>
          <w:color w:val="142233"/>
          <w:sz w:val="21"/>
        </w:rPr>
        <w:t>4 July 2026</w:t>
      </w:r>
      <w:r>
        <w:rPr>
          <w:rFonts w:ascii="Georgia" w:hAnsi="Georgia"/>
          <w:b w:val="0"/>
          <w:i w:val="0"/>
          <w:color w:val="142233"/>
          <w:sz w:val="21"/>
        </w:rPr>
        <w:t xml:space="preserve"> that modern warfare is increasingly targeting corporate-owned assets — data centers, refineries, utilities, ports, petrochemical facilities, and civilian airports — with disputes already emerging between companies and governments over who bears the cost of hardening them. This is new reporting this week, unconnected to either the Iran or Russia threads, and is the clearest evidence yet that Texas concentration in these exact sectors carries strategic value independent of any single active conflict.</w:t>
      </w:r>
    </w:p>
    <w:p>
      <w:pPr>
        <w:spacing w:after="160"/>
      </w:pPr>
      <w:r>
        <w:rPr>
          <w:rFonts w:ascii="Georgia" w:hAnsi="Georgia"/>
          <w:b w:val="0"/>
          <w:i w:val="0"/>
          <w:color w:val="142233"/>
          <w:sz w:val="21"/>
        </w:rPr>
        <w:t>Section II</w:t>
      </w:r>
    </w:p>
    <w:p>
      <w:pPr>
        <w:spacing w:before="320" w:after="120"/>
        <w:pBdr>
          <w:bottom w:val="single" w:sz="6" w:space="4" w:color="A67C2E"/>
        </w:pBdr>
      </w:pPr>
      <w:r>
        <w:rPr>
          <w:rFonts w:ascii="Calibri" w:hAnsi="Calibri"/>
          <w:b/>
          <w:color w:val="7A5A1E"/>
          <w:sz w:val="27"/>
        </w:rPr>
        <w:t>Key Judgments</w:t>
      </w:r>
    </w:p>
    <w:p>
      <w:pPr>
        <w:spacing w:after="40" w:before="200"/>
      </w:pPr>
      <w:r>
        <w:rPr>
          <w:rFonts w:ascii="Calibri" w:hAnsi="Calibri"/>
          <w:b/>
          <w:color w:val="1F5C8C"/>
          <w:sz w:val="19"/>
        </w:rPr>
        <w:t xml:space="preserve">KJ-1  </w:t>
      </w:r>
      <w:r>
        <w:rPr>
          <w:rFonts w:ascii="Georgia" w:hAnsi="Georgia"/>
          <w:b w:val="0"/>
          <w:i w:val="0"/>
          <w:color w:val="142233"/>
          <w:sz w:val="21"/>
        </w:rPr>
        <w:br/>
        <w:t xml:space="preserve"> Liberty CTI assesses it is </w:t>
      </w:r>
      <w:r>
        <w:rPr>
          <w:rFonts w:ascii="Georgia" w:hAnsi="Georgia"/>
          <w:b/>
          <w:i w:val="0"/>
          <w:color w:val="142233"/>
          <w:sz w:val="21"/>
        </w:rPr>
        <w:t>likely</w:t>
      </w:r>
      <w:r>
        <w:rPr>
          <w:rFonts w:ascii="Georgia" w:hAnsi="Georgia"/>
          <w:b w:val="0"/>
          <w:i w:val="0"/>
          <w:color w:val="142233"/>
          <w:sz w:val="21"/>
        </w:rPr>
        <w:t xml:space="preserve"> (55–80%) that Iran’s diplomatic and cyber tracks are diverging rather than moving together, and that Texas energy, water, and finance operators should treat diplomatic progress as analytically separate from cyber risk. </w:t>
      </w:r>
      <w:r>
        <w:rPr>
          <w:rFonts w:ascii="Consolas" w:hAnsi="Consolas"/>
          <w:b w:val="0"/>
          <w:i w:val="0"/>
          <w:color w:val="7A5A1E"/>
          <w:sz w:val="16"/>
        </w:rPr>
        <w:t>MODERATE CONFIDENCE</w:t>
      </w:r>
      <w:r>
        <w:br/>
      </w:r>
      <w:r>
        <w:br/>
      </w:r>
      <w:r>
        <w:br/>
      </w:r>
    </w:p>
    <w:p>
      <w:pPr>
        <w:spacing w:after="40"/>
        <w:ind w:left="283"/>
      </w:pPr>
      <w:r>
        <w:rPr>
          <w:i/>
          <w:color w:val="5C5C5C"/>
          <w:sz w:val="18"/>
        </w:rPr>
        <w:t>Source basis / uncertainty: Source basis: NPR/CBS/CNN reporting on Doha talks and Joint Hormuz Committee formation, 30 June–2 July 2026; WELT interview with Israel’s cyber chief, 30 June 2026; Joint Maritime Information Center Hormuz threat-level designation. Primary uncertainty: the cyber-intensification claim is single-sourced to a foreign official during active conflict and lacks independent U.S. government corroboration.</w:t>
      </w:r>
    </w:p>
    <w:p>
      <w:pPr>
        <w:spacing w:after="120"/>
        <w:ind w:left="283"/>
      </w:pPr>
      <w:r>
        <w:rPr>
          <w:color w:val="7A5A1E"/>
          <w:sz w:val="19"/>
        </w:rPr>
        <w:t>Decision implication: Decision Implication: Do not let diplomatic news cycles trigger a relaxation of OT isolation or vendor-access controls put in place after the June 25–26 Hormuz exchange.</w:t>
      </w:r>
    </w:p>
    <w:p>
      <w:pPr>
        <w:spacing w:after="40" w:before="200"/>
      </w:pPr>
      <w:r>
        <w:rPr>
          <w:rFonts w:ascii="Calibri" w:hAnsi="Calibri"/>
          <w:b/>
          <w:color w:val="1F5C8C"/>
          <w:sz w:val="19"/>
        </w:rPr>
        <w:t xml:space="preserve">KJ-2  </w:t>
      </w:r>
      <w:r>
        <w:rPr>
          <w:rFonts w:ascii="Georgia" w:hAnsi="Georgia"/>
          <w:b w:val="0"/>
          <w:i w:val="0"/>
          <w:color w:val="142233"/>
          <w:sz w:val="21"/>
        </w:rPr>
        <w:br/>
        <w:t xml:space="preserve"> Liberty CTI maintains its assessment from ATB-2026-16 that Russia’s fuel crisis is </w:t>
      </w:r>
      <w:r>
        <w:rPr>
          <w:rFonts w:ascii="Georgia" w:hAnsi="Georgia"/>
          <w:b/>
          <w:i w:val="0"/>
          <w:color w:val="142233"/>
          <w:sz w:val="21"/>
        </w:rPr>
        <w:t>likely</w:t>
      </w:r>
      <w:r>
        <w:rPr>
          <w:rFonts w:ascii="Georgia" w:hAnsi="Georgia"/>
          <w:b w:val="0"/>
          <w:i w:val="0"/>
          <w:color w:val="142233"/>
          <w:sz w:val="21"/>
        </w:rPr>
        <w:t xml:space="preserve"> (55–80%) to raise cyber-enabled collection and retaliation-signaling incentive against Western energy and logistics targets. </w:t>
      </w:r>
      <w:r>
        <w:rPr>
          <w:rFonts w:ascii="Consolas" w:hAnsi="Consolas"/>
          <w:b w:val="0"/>
          <w:i w:val="0"/>
          <w:color w:val="7A5A1E"/>
          <w:sz w:val="16"/>
        </w:rPr>
        <w:t>MODERATE CONFIDENCE</w:t>
      </w:r>
      <w:r>
        <w:br/>
      </w:r>
      <w:r>
        <w:br/>
      </w:r>
      <w:r>
        <w:br/>
      </w:r>
    </w:p>
    <w:p>
      <w:pPr>
        <w:spacing w:after="40"/>
        <w:ind w:left="283"/>
      </w:pPr>
      <w:r>
        <w:rPr>
          <w:i/>
          <w:color w:val="5C5C5C"/>
          <w:sz w:val="18"/>
        </w:rPr>
        <w:t>Source basis / uncertainty: Source basis: AP, Reuters, and Washington Post reporting on the 4 July St. Petersburg/Vysotsk strike and continuing Russian fuel rationing. Primary uncertainty: no new cyber-specific evidence emerged this week; the judgment is carried forward unchanged rather than re-derived.</w:t>
      </w:r>
    </w:p>
    <w:p>
      <w:pPr>
        <w:spacing w:after="120"/>
        <w:ind w:left="283"/>
      </w:pPr>
      <w:r>
        <w:rPr>
          <w:color w:val="7A5A1E"/>
          <w:sz w:val="19"/>
        </w:rPr>
        <w:t>Decision implication: Decision Implication: No new action required beyond what ATB-2026-16 already specified. Continue monitoring for a cyber-specific indicator, not just additional kinetic strikes.</w:t>
      </w:r>
    </w:p>
    <w:p>
      <w:pPr>
        <w:spacing w:after="40" w:before="200"/>
      </w:pPr>
      <w:r>
        <w:rPr>
          <w:rFonts w:ascii="Calibri" w:hAnsi="Calibri"/>
          <w:b/>
          <w:color w:val="1F5C8C"/>
          <w:sz w:val="19"/>
        </w:rPr>
        <w:t xml:space="preserve">KJ-3  </w:t>
      </w:r>
      <w:r>
        <w:rPr>
          <w:rFonts w:ascii="Georgia" w:hAnsi="Georgia"/>
          <w:b w:val="0"/>
          <w:i w:val="0"/>
          <w:color w:val="142233"/>
          <w:sz w:val="21"/>
        </w:rPr>
        <w:br/>
        <w:t xml:space="preserve"> Liberty CTI assesses it is </w:t>
      </w:r>
      <w:r>
        <w:rPr>
          <w:rFonts w:ascii="Georgia" w:hAnsi="Georgia"/>
          <w:b/>
          <w:i w:val="0"/>
          <w:color w:val="142233"/>
          <w:sz w:val="21"/>
        </w:rPr>
        <w:t>likely</w:t>
      </w:r>
      <w:r>
        <w:rPr>
          <w:rFonts w:ascii="Georgia" w:hAnsi="Georgia"/>
          <w:b w:val="0"/>
          <w:i w:val="0"/>
          <w:color w:val="142233"/>
          <w:sz w:val="21"/>
        </w:rPr>
        <w:t xml:space="preserve"> (55–80%) that privately owned infrastructure — data centers, refineries, ports, and utilities — will face growing formal pressure to adopt military-grade hardening standards, creating new cost and governance questions for Texas operators within the next 6–12 months. </w:t>
      </w:r>
      <w:r>
        <w:rPr>
          <w:rFonts w:ascii="Consolas" w:hAnsi="Consolas"/>
          <w:b w:val="0"/>
          <w:i w:val="0"/>
          <w:color w:val="7A5A1E"/>
          <w:sz w:val="16"/>
        </w:rPr>
        <w:t>MODERATE CONFIDENCE</w:t>
      </w:r>
      <w:r>
        <w:br/>
      </w:r>
      <w:r>
        <w:br/>
      </w:r>
      <w:r>
        <w:br/>
      </w:r>
    </w:p>
    <w:p>
      <w:pPr>
        <w:spacing w:after="40"/>
        <w:ind w:left="283"/>
      </w:pPr>
      <w:r>
        <w:rPr>
          <w:i/>
          <w:color w:val="5C5C5C"/>
          <w:sz w:val="18"/>
        </w:rPr>
        <w:t>Source basis / uncertainty: Source basis: Wall Street Journal reporting, 4 July 2026, on corporate-government disputes over infrastructure-hardening costs. Primary uncertainty: this is trend synthesis from a single outlet; no U.S. regulatory action has yet been proposed.</w:t>
      </w:r>
    </w:p>
    <w:p>
      <w:pPr>
        <w:spacing w:after="120"/>
        <w:ind w:left="283"/>
      </w:pPr>
      <w:r>
        <w:rPr>
          <w:color w:val="7A5A1E"/>
          <w:sz w:val="19"/>
        </w:rPr>
        <w:t>Decision implication: Decision Implication: Texas data center, energy, and port operators should begin scoping what a military-grade hardening requirement would cost before it becomes a mandate rather than a trend article.</w:t>
      </w:r>
    </w:p>
    <w:p>
      <w:pPr>
        <w:spacing w:after="160"/>
      </w:pPr>
      <w:r>
        <w:rPr>
          <w:rFonts w:ascii="Georgia" w:hAnsi="Georgia"/>
          <w:b w:val="0"/>
          <w:i w:val="0"/>
          <w:color w:val="142233"/>
          <w:sz w:val="21"/>
        </w:rPr>
        <w:t>Section III</w:t>
      </w:r>
    </w:p>
    <w:p>
      <w:pPr>
        <w:spacing w:before="320" w:after="120"/>
        <w:pBdr>
          <w:bottom w:val="single" w:sz="6" w:space="4" w:color="A67C2E"/>
        </w:pBdr>
      </w:pPr>
      <w:r>
        <w:rPr>
          <w:rFonts w:ascii="Calibri" w:hAnsi="Calibri"/>
          <w:b/>
          <w:color w:val="7A5A1E"/>
          <w:sz w:val="27"/>
        </w:rPr>
        <w:t>Geopolitical Driver</w:t>
      </w:r>
    </w:p>
    <w:p>
      <w:pPr>
        <w:spacing w:after="160"/>
      </w:pPr>
      <w:r>
        <w:rPr>
          <w:rFonts w:ascii="Georgia" w:hAnsi="Georgia"/>
          <w:b w:val="0"/>
          <w:i w:val="0"/>
          <w:color w:val="142233"/>
          <w:sz w:val="21"/>
        </w:rPr>
        <w:t>Two active conflicts are running on independent timelines that both intersect Texas exposure. Iran is simultaneously negotiating sanctions and asset relief while its cyber apparatus reportedly continues operating at an elevated tempo — a pattern consistent with preserving diplomatic flexibility while not standing down cyber capability. Russia’s battlefield and fuel-logistics pressure continues to build retaliation incentive against the Western energy and logistics networks supporting Ukraine, independent of any negotiation track. Neither driver is new this week; what is new is the diplomatic progress on the Iran side and the WSJ framing of corporate infrastructure as a recognized target category in both.</w:t>
      </w:r>
    </w:p>
    <w:p>
      <w:pPr>
        <w:spacing w:after="160"/>
      </w:pPr>
      <w:r>
        <w:rPr>
          <w:rFonts w:ascii="Georgia" w:hAnsi="Georgia"/>
          <w:b w:val="0"/>
          <w:i w:val="0"/>
          <w:color w:val="142233"/>
          <w:sz w:val="21"/>
        </w:rPr>
        <w:t>Section IV</w:t>
      </w:r>
    </w:p>
    <w:p>
      <w:pPr>
        <w:spacing w:before="320" w:after="120"/>
        <w:pBdr>
          <w:bottom w:val="single" w:sz="6" w:space="4" w:color="A67C2E"/>
        </w:pBdr>
      </w:pPr>
      <w:r>
        <w:rPr>
          <w:rFonts w:ascii="Calibri" w:hAnsi="Calibri"/>
          <w:b/>
          <w:color w:val="7A5A1E"/>
          <w:sz w:val="27"/>
        </w:rPr>
        <w:t>Why This Matters to Texas</w:t>
      </w:r>
    </w:p>
    <w:p>
      <w:pPr>
        <w:spacing w:after="160"/>
      </w:pPr>
      <w:r>
        <w:rPr>
          <w:rFonts w:ascii="Georgia" w:hAnsi="Georgia"/>
          <w:b w:val="0"/>
          <w:i w:val="0"/>
          <w:color w:val="142233"/>
          <w:sz w:val="21"/>
        </w:rPr>
        <w:t>Texas carries direct exposure through LNG, refining, petrochemicals, maritime ports, water utilities, and finance — the same sector list both the Iran and Russia threads run through, and the same list the WSJ reporting names as newly recognized military-value target categories. The board-level risk this week is narrower than “is there conflict risk” — it is whether leadership lets diplomatic progress on one front quietly erode vigilance that should remain independent of it.</w:t>
      </w:r>
    </w:p>
    <w:p>
      <w:pPr>
        <w:spacing w:before="320" w:after="120"/>
        <w:pBdr>
          <w:bottom w:val="single" w:sz="6" w:space="4" w:color="A67C2E"/>
        </w:pBdr>
      </w:pPr>
      <w:r>
        <w:rPr>
          <w:rFonts w:ascii="Calibri" w:hAnsi="Calibri"/>
          <w:b/>
          <w:color w:val="7A5A1E"/>
          <w:sz w:val="27"/>
        </w:rPr>
        <w:t>Cross-Sector Cascade Assessment</w:t>
      </w:r>
    </w:p>
    <w:tbl>
      <w:tblPr>
        <w:tblW w:type="auto" w:w="0"/>
        <w:jc w:val="center"/>
        <w:tblLook w:firstColumn="1" w:firstRow="1" w:lastColumn="0" w:lastRow="0" w:noHBand="0" w:noVBand="1" w:val="04A0"/>
      </w:tblPr>
      <w:tblGrid>
        <w:gridCol w:w="1814"/>
        <w:gridCol w:w="7370"/>
      </w:tblGrid>
      <w:tr>
        <w:tc>
          <w:tcPr>
            <w:tcW w:type="dxa" w:w="4873"/>
            <w:shd w:val="clear" w:fill="EAF0F6"/>
            <w:tcBorders>
              <w:top w:val="single" w:sz="4" w:color="CCCCCC"/>
              <w:left w:val="single" w:sz="4" w:color="CCCCCC"/>
              <w:bottom w:val="single" w:sz="4" w:color="CCCCCC"/>
              <w:right w:val="single" w:sz="4" w:color="CCCCCC"/>
            </w:tcBorders>
          </w:tcPr>
          <w:p>
            <w:r>
              <w:rPr>
                <w:rFonts w:ascii="Calibri" w:hAnsi="Calibri"/>
                <w:b/>
                <w:color w:val="1F5C8C"/>
                <w:sz w:val="18"/>
              </w:rPr>
              <w:t>Energy LNG / Refining / Ports</w:t>
            </w:r>
          </w:p>
        </w:tc>
        <w:tc>
          <w:tcPr>
            <w:tcW w:type="dxa" w:w="4873"/>
            <w:tcBorders>
              <w:top w:val="single" w:sz="4" w:color="CCCCCC"/>
              <w:left w:val="single" w:sz="4" w:color="CCCCCC"/>
              <w:bottom w:val="single" w:sz="4" w:color="CCCCCC"/>
              <w:right w:val="single" w:sz="4" w:color="CCCCCC"/>
            </w:tcBorders>
          </w:tcPr>
          <w:p>
            <w:r>
              <w:br/>
            </w:r>
            <w:r>
              <w:rPr>
                <w:rFonts w:ascii="Georgia" w:hAnsi="Georgia"/>
                <w:b/>
                <w:i w:val="0"/>
                <w:color w:val="142233"/>
                <w:sz w:val="19"/>
              </w:rPr>
              <w:t>What changed:</w:t>
            </w:r>
            <w:r>
              <w:rPr>
                <w:rFonts w:ascii="Georgia" w:hAnsi="Georgia"/>
                <w:b w:val="0"/>
                <w:i w:val="0"/>
                <w:color w:val="142233"/>
                <w:sz w:val="19"/>
              </w:rPr>
              <w:t xml:space="preserve"> The confirmed Iranian PLC/HMI campaign (CISA AA26-097A, carried forward) now has fresh, if single-sourced, evidence of intensification. </w:t>
            </w:r>
            <w:r>
              <w:rPr>
                <w:rFonts w:ascii="Georgia" w:hAnsi="Georgia"/>
                <w:b/>
                <w:i w:val="0"/>
                <w:color w:val="142233"/>
                <w:sz w:val="19"/>
              </w:rPr>
              <w:t>Why it matters locally:</w:t>
            </w:r>
            <w:r>
              <w:rPr>
                <w:rFonts w:ascii="Georgia" w:hAnsi="Georgia"/>
                <w:b w:val="0"/>
                <w:i w:val="0"/>
                <w:color w:val="142233"/>
                <w:sz w:val="19"/>
              </w:rPr>
              <w:t xml:space="preserve"> Texas LNG, refining, and petrochemical operators are named-category targets in both the Iran advisory and the new WSJ infrastructure-targeting reporting. </w:t>
            </w:r>
            <w:r>
              <w:rPr>
                <w:rFonts w:ascii="Georgia" w:hAnsi="Georgia"/>
                <w:b/>
                <w:i w:val="0"/>
                <w:color w:val="142233"/>
                <w:sz w:val="19"/>
              </w:rPr>
              <w:t>Cascade risk:</w:t>
            </w:r>
            <w:r>
              <w:rPr>
                <w:rFonts w:ascii="Georgia" w:hAnsi="Georgia"/>
                <w:b w:val="0"/>
                <w:i w:val="0"/>
                <w:color w:val="142233"/>
                <w:sz w:val="19"/>
              </w:rPr>
              <w:t xml:space="preserve"> OT compromise at a single refining or port node cascades to logistics, finance, and regional fuel supply within hours.</w:t>
              <w:br/>
              <w:t xml:space="preserve"> </w:t>
            </w:r>
          </w:p>
        </w:tc>
      </w:tr>
      <w:tr>
        <w:tc>
          <w:tcPr>
            <w:tcW w:type="dxa" w:w="4873"/>
            <w:shd w:val="clear" w:fill="EAF0F6"/>
            <w:tcBorders>
              <w:top w:val="single" w:sz="4" w:color="CCCCCC"/>
              <w:left w:val="single" w:sz="4" w:color="CCCCCC"/>
              <w:bottom w:val="single" w:sz="4" w:color="CCCCCC"/>
              <w:right w:val="single" w:sz="4" w:color="CCCCCC"/>
            </w:tcBorders>
          </w:tcPr>
          <w:p>
            <w:r>
              <w:rPr>
                <w:rFonts w:ascii="Calibri" w:hAnsi="Calibri"/>
                <w:b/>
                <w:color w:val="1F5C8C"/>
                <w:sz w:val="18"/>
              </w:rPr>
              <w:t>Financial Payments / Recovery / Sanctions</w:t>
            </w:r>
          </w:p>
        </w:tc>
        <w:tc>
          <w:tcPr>
            <w:tcW w:type="dxa" w:w="4873"/>
            <w:tcBorders>
              <w:top w:val="single" w:sz="4" w:color="CCCCCC"/>
              <w:left w:val="single" w:sz="4" w:color="CCCCCC"/>
              <w:bottom w:val="single" w:sz="4" w:color="CCCCCC"/>
              <w:right w:val="single" w:sz="4" w:color="CCCCCC"/>
            </w:tcBorders>
          </w:tcPr>
          <w:p>
            <w:r>
              <w:br/>
            </w:r>
            <w:r>
              <w:rPr>
                <w:rFonts w:ascii="Georgia" w:hAnsi="Georgia"/>
                <w:b/>
                <w:i w:val="0"/>
                <w:color w:val="142233"/>
                <w:sz w:val="19"/>
              </w:rPr>
              <w:t>What changed:</w:t>
            </w:r>
            <w:r>
              <w:rPr>
                <w:rFonts w:ascii="Georgia" w:hAnsi="Georgia"/>
                <w:b w:val="0"/>
                <w:i w:val="0"/>
                <w:color w:val="142233"/>
                <w:sz w:val="19"/>
              </w:rPr>
              <w:t xml:space="preserve"> The Joint Hormuz Committee and $6B asset-release process are new and untested mechanisms with no fixed resolution timeline. </w:t>
            </w:r>
            <w:r>
              <w:rPr>
                <w:rFonts w:ascii="Georgia" w:hAnsi="Georgia"/>
                <w:b/>
                <w:i w:val="0"/>
                <w:color w:val="142233"/>
                <w:sz w:val="19"/>
              </w:rPr>
              <w:t>Why it matters locally:</w:t>
            </w:r>
            <w:r>
              <w:rPr>
                <w:rFonts w:ascii="Georgia" w:hAnsi="Georgia"/>
                <w:b w:val="0"/>
                <w:i w:val="0"/>
                <w:color w:val="142233"/>
                <w:sz w:val="19"/>
              </w:rPr>
              <w:t xml:space="preserve"> Financial institutions supporting Texas energy, port, and logistics clients in the region should assume this diplomatic uncertainty extends for weeks, not days. </w:t>
            </w:r>
            <w:r>
              <w:rPr>
                <w:rFonts w:ascii="Georgia" w:hAnsi="Georgia"/>
                <w:b/>
                <w:i w:val="0"/>
                <w:color w:val="142233"/>
                <w:sz w:val="19"/>
              </w:rPr>
              <w:t>Cascade risk:</w:t>
            </w:r>
            <w:r>
              <w:rPr>
                <w:rFonts w:ascii="Georgia" w:hAnsi="Georgia"/>
                <w:b w:val="0"/>
                <w:i w:val="0"/>
                <w:color w:val="142233"/>
                <w:sz w:val="19"/>
              </w:rPr>
              <w:t xml:space="preserve"> Financial-sector degradation during a concurrent energy or port disruption extends restoration timelines rather than shortening them.</w:t>
              <w:br/>
              <w:t xml:space="preserve"> </w:t>
            </w:r>
          </w:p>
        </w:tc>
      </w:tr>
      <w:tr>
        <w:tc>
          <w:tcPr>
            <w:tcW w:type="dxa" w:w="4873"/>
            <w:shd w:val="clear" w:fill="EAF0F6"/>
            <w:tcBorders>
              <w:top w:val="single" w:sz="4" w:color="CCCCCC"/>
              <w:left w:val="single" w:sz="4" w:color="CCCCCC"/>
              <w:bottom w:val="single" w:sz="4" w:color="CCCCCC"/>
              <w:right w:val="single" w:sz="4" w:color="CCCCCC"/>
            </w:tcBorders>
          </w:tcPr>
          <w:p>
            <w:r>
              <w:rPr>
                <w:rFonts w:ascii="Calibri" w:hAnsi="Calibri"/>
                <w:b/>
                <w:color w:val="1F5C8C"/>
                <w:sz w:val="18"/>
              </w:rPr>
              <w:t>Healthcare / DIB / AI Infrastructure Hardening / Supply Chain</w:t>
            </w:r>
          </w:p>
        </w:tc>
        <w:tc>
          <w:tcPr>
            <w:tcW w:type="dxa" w:w="4873"/>
            <w:tcBorders>
              <w:top w:val="single" w:sz="4" w:color="CCCCCC"/>
              <w:left w:val="single" w:sz="4" w:color="CCCCCC"/>
              <w:bottom w:val="single" w:sz="4" w:color="CCCCCC"/>
              <w:right w:val="single" w:sz="4" w:color="CCCCCC"/>
            </w:tcBorders>
          </w:tcPr>
          <w:p>
            <w:r>
              <w:br/>
            </w:r>
            <w:r>
              <w:rPr>
                <w:rFonts w:ascii="Georgia" w:hAnsi="Georgia"/>
                <w:b/>
                <w:i w:val="0"/>
                <w:color w:val="142233"/>
                <w:sz w:val="19"/>
              </w:rPr>
              <w:t>Healthcare/DIB:</w:t>
            </w:r>
            <w:r>
              <w:rPr>
                <w:rFonts w:ascii="Georgia" w:hAnsi="Georgia"/>
                <w:b w:val="0"/>
                <w:i w:val="0"/>
                <w:color w:val="142233"/>
                <w:sz w:val="19"/>
              </w:rPr>
              <w:t xml:space="preserve"> No new current-week reporting; continuity exposure from prior weeks stands as carried-forward baseline. </w:t>
            </w:r>
            <w:r>
              <w:rPr>
                <w:rFonts w:ascii="Georgia" w:hAnsi="Georgia"/>
                <w:b/>
                <w:i w:val="0"/>
                <w:color w:val="142233"/>
                <w:sz w:val="19"/>
              </w:rPr>
              <w:t>AI/Data Centers:</w:t>
            </w:r>
            <w:r>
              <w:rPr>
                <w:rFonts w:ascii="Georgia" w:hAnsi="Georgia"/>
                <w:b w:val="0"/>
                <w:i w:val="0"/>
                <w:color w:val="142233"/>
                <w:sz w:val="19"/>
              </w:rPr>
              <w:t xml:space="preserve"> The WSJ reporting explicitly names data centers as a category now facing military-hardening discussion — a cost and governance conversation likely to reach Texas cloud and AI infrastructure operators before most boards expect it. </w:t>
            </w:r>
            <w:r>
              <w:rPr>
                <w:rFonts w:ascii="Georgia" w:hAnsi="Georgia"/>
                <w:b/>
                <w:i w:val="0"/>
                <w:color w:val="142233"/>
                <w:sz w:val="19"/>
              </w:rPr>
              <w:t>Cascade risk:</w:t>
            </w:r>
            <w:r>
              <w:rPr>
                <w:rFonts w:ascii="Georgia" w:hAnsi="Georgia"/>
                <w:b w:val="0"/>
                <w:i w:val="0"/>
                <w:color w:val="142233"/>
                <w:sz w:val="19"/>
              </w:rPr>
              <w:t xml:space="preserve"> A formal hardening standard, once proposed, will move faster through data-center and DIB contracts than through general commercial real estate.</w:t>
              <w:br/>
              <w:t xml:space="preserve"> </w:t>
            </w:r>
          </w:p>
        </w:tc>
      </w:tr>
    </w:tbl>
    <w:p>
      <w:pPr>
        <w:spacing w:after="120"/>
      </w:pPr>
    </w:p>
    <w:p>
      <w:pPr>
        <w:spacing w:after="160"/>
      </w:pPr>
      <w:r>
        <w:rPr>
          <w:rFonts w:ascii="Georgia" w:hAnsi="Georgia"/>
          <w:b w:val="0"/>
          <w:i w:val="0"/>
          <w:color w:val="142233"/>
          <w:sz w:val="21"/>
        </w:rPr>
        <w:t>Section V</w:t>
      </w:r>
    </w:p>
    <w:p>
      <w:pPr>
        <w:spacing w:before="320" w:after="120"/>
        <w:pBdr>
          <w:bottom w:val="single" w:sz="6" w:space="4" w:color="A67C2E"/>
        </w:pBdr>
      </w:pPr>
      <w:r>
        <w:rPr>
          <w:rFonts w:ascii="Calibri" w:hAnsi="Calibri"/>
          <w:b/>
          <w:color w:val="7A5A1E"/>
          <w:sz w:val="27"/>
        </w:rPr>
        <w:t>Indicators &amp; Warnings — PIR Watch, 1 to 4 Weeks</w:t>
      </w:r>
    </w:p>
    <w:p>
      <w:pPr>
        <w:spacing w:before="160" w:after="40"/>
      </w:pPr>
      <w:r>
        <w:rPr>
          <w:b/>
          <w:color w:val="1F5C8C"/>
          <w:sz w:val="18"/>
        </w:rPr>
        <w:t xml:space="preserve">PIR 2 / I&amp;W 1  </w:t>
      </w:r>
      <w:r>
        <w:rPr>
          <w:b/>
          <w:color w:val="142233"/>
          <w:sz w:val="20"/>
        </w:rPr>
        <w:t>U.S. primary-source corroboration of Iranian cyber intensification</w:t>
      </w:r>
      <w:r>
        <w:rPr>
          <w:i/>
          <w:color w:val="7A5A1E"/>
          <w:sz w:val="18"/>
        </w:rPr>
        <w:t xml:space="preserve">   [↑ Rising]</w:t>
      </w:r>
    </w:p>
    <w:p>
      <w:pPr>
        <w:spacing w:after="40"/>
        <w:ind w:left="283"/>
      </w:pPr>
      <w:r>
        <w:rPr>
          <w:color w:val="142233"/>
          <w:sz w:val="19"/>
        </w:rPr>
        <w:t>→ Watch for a CISA, FBI, or NSA advisory, or a named-victim disclosure, corroborating the Israeli-reported rise in Iranian cyber activity.</w:t>
      </w:r>
    </w:p>
    <w:p>
      <w:pPr>
        <w:spacing w:after="40"/>
        <w:ind w:left="283"/>
      </w:pPr>
      <w:r>
        <w:rPr>
          <w:color w:val="142233"/>
          <w:sz w:val="19"/>
        </w:rPr>
        <w:t>→ Would justify raising KJ-1 from MODERATE to HIGH confidence.</w:t>
      </w:r>
    </w:p>
    <w:p>
      <w:pPr>
        <w:spacing w:after="40"/>
        <w:ind w:left="283"/>
      </w:pPr>
      <w:r>
        <w:rPr>
          <w:color w:val="142233"/>
          <w:sz w:val="19"/>
        </w:rPr>
        <w:t>→ Tied to: PIR 2, cross-sector cyber and operational risk.</w:t>
      </w:r>
    </w:p>
    <w:p>
      <w:pPr>
        <w:spacing w:before="160" w:after="40"/>
      </w:pPr>
      <w:r>
        <w:rPr>
          <w:b/>
          <w:color w:val="1F5C8C"/>
          <w:sz w:val="18"/>
        </w:rPr>
        <w:t xml:space="preserve">PIR 1 / I&amp;W 2  </w:t>
      </w:r>
      <w:r>
        <w:rPr>
          <w:b/>
          <w:color w:val="142233"/>
          <w:sz w:val="20"/>
        </w:rPr>
        <w:t>Confirmed compromise of a named Texas energy, water, or port operator</w:t>
      </w:r>
      <w:r>
        <w:rPr>
          <w:i/>
          <w:color w:val="7A5A1E"/>
          <w:sz w:val="18"/>
        </w:rPr>
        <w:t xml:space="preserve">   [→ Sustained]</w:t>
      </w:r>
    </w:p>
    <w:p>
      <w:pPr>
        <w:spacing w:after="40"/>
        <w:ind w:left="283"/>
      </w:pPr>
      <w:r>
        <w:rPr>
          <w:color w:val="142233"/>
          <w:sz w:val="19"/>
        </w:rPr>
        <w:t>→ Watch for breach disclosures, SEC 8-Ks, or Texas Attorney General filings naming Iranian attribution against Texas-region infrastructure.</w:t>
      </w:r>
    </w:p>
    <w:p>
      <w:pPr>
        <w:spacing w:after="40"/>
        <w:ind w:left="283"/>
      </w:pPr>
      <w:r>
        <w:rPr>
          <w:color w:val="142233"/>
          <w:sz w:val="19"/>
        </w:rPr>
        <w:t>→ Would confirm the acceleration judgment is manifesting locally rather than remaining a foreign-reporting inference.</w:t>
      </w:r>
    </w:p>
    <w:p>
      <w:pPr>
        <w:spacing w:after="40"/>
        <w:ind w:left="283"/>
      </w:pPr>
      <w:r>
        <w:rPr>
          <w:color w:val="142233"/>
          <w:sz w:val="19"/>
        </w:rPr>
        <w:t>→ Tied to: PIR 1, nation-state targeting of Texas critical infrastructure.</w:t>
      </w:r>
    </w:p>
    <w:p>
      <w:pPr>
        <w:spacing w:before="160" w:after="40"/>
      </w:pPr>
      <w:r>
        <w:rPr>
          <w:b/>
          <w:color w:val="1F5C8C"/>
          <w:sz w:val="18"/>
        </w:rPr>
        <w:t xml:space="preserve">PIR 3 / I&amp;W 3  </w:t>
      </w:r>
      <w:r>
        <w:rPr>
          <w:b/>
          <w:color w:val="142233"/>
          <w:sz w:val="20"/>
        </w:rPr>
        <w:t>Collapse of the Doha talks track or a new Hormuz incident</w:t>
      </w:r>
      <w:r>
        <w:rPr>
          <w:i/>
          <w:color w:val="7A5A1E"/>
          <w:sz w:val="18"/>
        </w:rPr>
        <w:t xml:space="preserve">   [→ Sustained]</w:t>
      </w:r>
    </w:p>
    <w:p>
      <w:pPr>
        <w:spacing w:after="40"/>
        <w:ind w:left="283"/>
      </w:pPr>
      <w:r>
        <w:rPr>
          <w:color w:val="142233"/>
          <w:sz w:val="19"/>
        </w:rPr>
        <w:t>→ Watch for a formal breakdown of U.S.-Iran negotiations, a new shipping incident, or a further escalation of the Hormuz threat classification.</w:t>
      </w:r>
    </w:p>
    <w:p>
      <w:pPr>
        <w:spacing w:after="40"/>
        <w:ind w:left="283"/>
      </w:pPr>
      <w:r>
        <w:rPr>
          <w:color w:val="142233"/>
          <w:sz w:val="19"/>
        </w:rPr>
        <w:t>→ Would shift Liberty CTI’s posture from divergence monitoring toward direct crisis preparation guidance for Gulf-exposed sectors.</w:t>
      </w:r>
    </w:p>
    <w:p>
      <w:pPr>
        <w:spacing w:after="40"/>
        <w:ind w:left="283"/>
      </w:pPr>
      <w:r>
        <w:rPr>
          <w:color w:val="142233"/>
          <w:sz w:val="19"/>
        </w:rPr>
        <w:t>→ Tied to: PIR 3 and PIR 7, escalation indicators and geopolitical-cyber acceleration.</w:t>
      </w:r>
    </w:p>
    <w:p>
      <w:pPr>
        <w:spacing w:before="160" w:after="40"/>
      </w:pPr>
      <w:r>
        <w:rPr>
          <w:b/>
          <w:color w:val="1F5C8C"/>
          <w:sz w:val="18"/>
        </w:rPr>
        <w:t xml:space="preserve">PIR 6 / I&amp;W 4  </w:t>
      </w:r>
      <w:r>
        <w:rPr>
          <w:b/>
          <w:color w:val="142233"/>
          <w:sz w:val="20"/>
        </w:rPr>
        <w:t>U.S. regulatory movement on infrastructure-hardening standards</w:t>
      </w:r>
      <w:r>
        <w:rPr>
          <w:i/>
          <w:color w:val="7A5A1E"/>
          <w:sz w:val="18"/>
        </w:rPr>
        <w:t xml:space="preserve">   [↑ Rising]</w:t>
      </w:r>
    </w:p>
    <w:p>
      <w:pPr>
        <w:spacing w:after="40"/>
        <w:ind w:left="283"/>
      </w:pPr>
      <w:r>
        <w:rPr>
          <w:color w:val="142233"/>
          <w:sz w:val="19"/>
        </w:rPr>
        <w:t>→ Watch for federal agency guidance, legislation, or insurance-industry action responding to the corporate-infrastructure-as-military-target trend named in WSJ reporting.</w:t>
      </w:r>
    </w:p>
    <w:p>
      <w:pPr>
        <w:spacing w:after="40"/>
        <w:ind w:left="283"/>
      </w:pPr>
      <w:r>
        <w:rPr>
          <w:color w:val="142233"/>
          <w:sz w:val="19"/>
        </w:rPr>
        <w:t>→ Would convert this week’s trend reporting into a concrete compliance obligation for Texas data center, energy, and port operators.</w:t>
      </w:r>
    </w:p>
    <w:p>
      <w:pPr>
        <w:spacing w:after="40"/>
        <w:ind w:left="283"/>
      </w:pPr>
      <w:r>
        <w:rPr>
          <w:color w:val="142233"/>
          <w:sz w:val="19"/>
        </w:rPr>
        <w:t>→ Tied to: PIR 6, executive decision-relevant warning.</w:t>
      </w:r>
    </w:p>
    <w:p>
      <w:pPr>
        <w:spacing w:before="160" w:after="40"/>
      </w:pPr>
      <w:r>
        <w:rPr>
          <w:b/>
          <w:color w:val="1F5C8C"/>
          <w:sz w:val="18"/>
        </w:rPr>
        <w:t xml:space="preserve">PIR 5 / I&amp;W 5  </w:t>
      </w:r>
      <w:r>
        <w:rPr>
          <w:b/>
          <w:color w:val="142233"/>
          <w:sz w:val="20"/>
        </w:rPr>
        <w:t>Additional Ukrainian strikes causing a confirmed Russian fuel shock</w:t>
      </w:r>
      <w:r>
        <w:rPr>
          <w:i/>
          <w:color w:val="7A5A1E"/>
          <w:sz w:val="18"/>
        </w:rPr>
        <w:t xml:space="preserve">   [→ Sustained]</w:t>
      </w:r>
    </w:p>
    <w:p>
      <w:pPr>
        <w:spacing w:after="40"/>
        <w:ind w:left="283"/>
      </w:pPr>
      <w:r>
        <w:rPr>
          <w:color w:val="142233"/>
          <w:sz w:val="19"/>
        </w:rPr>
        <w:t>→ Watch for fuel rationing expanding beyond currently affected Russian regions, or a confirmed nationwide shortage event.</w:t>
      </w:r>
    </w:p>
    <w:p>
      <w:pPr>
        <w:spacing w:after="40"/>
        <w:ind w:left="283"/>
      </w:pPr>
      <w:r>
        <w:rPr>
          <w:color w:val="142233"/>
          <w:sz w:val="19"/>
        </w:rPr>
        <w:t>→ Would raise confidence that Russia's retaliation incentive is intensifying beyond the standing MODERATE-confidence baseline in KJ-2.</w:t>
      </w:r>
    </w:p>
    <w:p>
      <w:pPr>
        <w:spacing w:after="40"/>
        <w:ind w:left="283"/>
      </w:pPr>
      <w:r>
        <w:rPr>
          <w:color w:val="142233"/>
          <w:sz w:val="19"/>
        </w:rPr>
        <w:t>→ Tied to: PIR 5, strategic vulnerability exposure across critical infrastructure.</w:t>
      </w:r>
    </w:p>
    <w:p>
      <w:pPr>
        <w:spacing w:after="160"/>
      </w:pPr>
      <w:r>
        <w:rPr>
          <w:rFonts w:ascii="Georgia" w:hAnsi="Georgia"/>
          <w:b w:val="0"/>
          <w:i w:val="0"/>
          <w:color w:val="142233"/>
          <w:sz w:val="21"/>
        </w:rPr>
        <w:t>Section VI</w:t>
      </w:r>
    </w:p>
    <w:p>
      <w:pPr>
        <w:spacing w:before="320" w:after="120"/>
        <w:pBdr>
          <w:bottom w:val="single" w:sz="6" w:space="4" w:color="A67C2E"/>
        </w:pBdr>
      </w:pPr>
      <w:r>
        <w:rPr>
          <w:rFonts w:ascii="Calibri" w:hAnsi="Calibri"/>
          <w:b/>
          <w:color w:val="7A5A1E"/>
          <w:sz w:val="27"/>
        </w:rPr>
        <w:t>Governance Implication Block</w:t>
      </w:r>
    </w:p>
    <w:tbl>
      <w:tblPr>
        <w:tblW w:type="auto" w:w="0"/>
        <w:jc w:val="center"/>
        <w:tblLayout w:type="fixed"/>
        <w:tblLook w:firstColumn="1" w:firstRow="1" w:lastColumn="0" w:lastRow="0" w:noHBand="0" w:noVBand="1" w:val="04A0"/>
      </w:tblPr>
      <w:tblGrid>
        <w:gridCol w:w="2041"/>
        <w:gridCol w:w="7087"/>
      </w:tblGrid>
      <w:tr>
        <w:tc>
          <w:tcPr>
            <w:tcW w:type="dxa" w:w="2041"/>
            <w:shd w:val="clear" w:fill="F1ECDD"/>
            <w:tcBorders>
              <w:top w:val="single" w:sz="4" w:color="CCCCCC"/>
              <w:left w:val="single" w:sz="4" w:color="CCCCCC"/>
              <w:bottom w:val="single" w:sz="4" w:color="CCCCCC"/>
              <w:right w:val="single" w:sz="4" w:color="CCCCCC"/>
            </w:tcBorders>
          </w:tcPr>
          <w:p>
            <w:r>
              <w:rPr>
                <w:rFonts w:ascii="Calibri" w:hAnsi="Calibri"/>
                <w:b/>
                <w:color w:val="7A5A1E"/>
                <w:sz w:val="18"/>
              </w:rPr>
              <w:t>Decision at risk</w:t>
            </w:r>
          </w:p>
        </w:tc>
        <w:tc>
          <w:tcPr>
            <w:tcW w:type="dxa" w:w="4873"/>
            <w:tcBorders>
              <w:top w:val="single" w:sz="4" w:color="CCCCCC"/>
              <w:left w:val="single" w:sz="4" w:color="CCCCCC"/>
              <w:bottom w:val="single" w:sz="4" w:color="CCCCCC"/>
              <w:right w:val="single" w:sz="4" w:color="CCCCCC"/>
            </w:tcBorders>
          </w:tcPr>
          <w:p>
            <w:r>
              <w:rPr>
                <w:rFonts w:ascii="Georgia" w:hAnsi="Georgia"/>
                <w:b w:val="0"/>
                <w:i w:val="0"/>
                <w:color w:val="142233"/>
                <w:sz w:val="19"/>
              </w:rPr>
              <w:t>Whether diplomatic progress on the Iran track is allowed to quietly lower OT isolation posture or vendor-access scrutiny put in place after the June 25–26 Hormuz exchange.</w:t>
            </w:r>
          </w:p>
        </w:tc>
      </w:tr>
      <w:tr>
        <w:tc>
          <w:tcPr>
            <w:tcW w:type="dxa" w:w="2041"/>
            <w:shd w:val="clear" w:fill="F1ECDD"/>
            <w:tcBorders>
              <w:top w:val="single" w:sz="4" w:color="CCCCCC"/>
              <w:left w:val="single" w:sz="4" w:color="CCCCCC"/>
              <w:bottom w:val="single" w:sz="4" w:color="CCCCCC"/>
              <w:right w:val="single" w:sz="4" w:color="CCCCCC"/>
            </w:tcBorders>
          </w:tcPr>
          <w:p>
            <w:r>
              <w:rPr>
                <w:rFonts w:ascii="Calibri" w:hAnsi="Calibri"/>
                <w:b/>
                <w:color w:val="7A5A1E"/>
                <w:sz w:val="18"/>
              </w:rPr>
              <w:t>Owner</w:t>
            </w:r>
          </w:p>
        </w:tc>
        <w:tc>
          <w:tcPr>
            <w:tcW w:type="dxa" w:w="4873"/>
            <w:tcBorders>
              <w:top w:val="single" w:sz="4" w:color="CCCCCC"/>
              <w:left w:val="single" w:sz="4" w:color="CCCCCC"/>
              <w:bottom w:val="single" w:sz="4" w:color="CCCCCC"/>
              <w:right w:val="single" w:sz="4" w:color="CCCCCC"/>
            </w:tcBorders>
          </w:tcPr>
          <w:p>
            <w:r>
              <w:rPr>
                <w:rFonts w:ascii="Georgia" w:hAnsi="Georgia"/>
                <w:b w:val="0"/>
                <w:i w:val="0"/>
                <w:color w:val="142233"/>
                <w:sz w:val="19"/>
              </w:rPr>
              <w:t>CEO / COO / CISO / General Counsel.</w:t>
            </w:r>
          </w:p>
        </w:tc>
      </w:tr>
      <w:tr>
        <w:tc>
          <w:tcPr>
            <w:tcW w:type="dxa" w:w="2041"/>
            <w:shd w:val="clear" w:fill="F1ECDD"/>
            <w:tcBorders>
              <w:top w:val="single" w:sz="4" w:color="CCCCCC"/>
              <w:left w:val="single" w:sz="4" w:color="CCCCCC"/>
              <w:bottom w:val="single" w:sz="4" w:color="CCCCCC"/>
              <w:right w:val="single" w:sz="4" w:color="CCCCCC"/>
            </w:tcBorders>
          </w:tcPr>
          <w:p>
            <w:r>
              <w:rPr>
                <w:rFonts w:ascii="Calibri" w:hAnsi="Calibri"/>
                <w:b/>
                <w:color w:val="7A5A1E"/>
                <w:sz w:val="18"/>
              </w:rPr>
              <w:t>Consequence of delay</w:t>
            </w:r>
          </w:p>
        </w:tc>
        <w:tc>
          <w:tcPr>
            <w:tcW w:type="dxa" w:w="4873"/>
            <w:tcBorders>
              <w:top w:val="single" w:sz="4" w:color="CCCCCC"/>
              <w:left w:val="single" w:sz="4" w:color="CCCCCC"/>
              <w:bottom w:val="single" w:sz="4" w:color="CCCCCC"/>
              <w:right w:val="single" w:sz="4" w:color="CCCCCC"/>
            </w:tcBorders>
          </w:tcPr>
          <w:p>
            <w:r>
              <w:rPr>
                <w:rFonts w:ascii="Georgia" w:hAnsi="Georgia"/>
                <w:b w:val="0"/>
                <w:i w:val="0"/>
                <w:color w:val="142233"/>
                <w:sz w:val="19"/>
              </w:rPr>
              <w:t>A diplomatic-good-news cycle creates false reassurance while the cyber track moves independently — the gap is discovered only after an incident, at which point the relaxed posture becomes the central exhibit in any regulatory or litigation review.</w:t>
            </w:r>
          </w:p>
        </w:tc>
      </w:tr>
      <w:tr>
        <w:tc>
          <w:tcPr>
            <w:tcW w:type="dxa" w:w="2041"/>
            <w:shd w:val="clear" w:fill="F1ECDD"/>
            <w:tcBorders>
              <w:top w:val="single" w:sz="4" w:color="CCCCCC"/>
              <w:left w:val="single" w:sz="4" w:color="CCCCCC"/>
              <w:bottom w:val="single" w:sz="4" w:color="CCCCCC"/>
              <w:right w:val="single" w:sz="4" w:color="CCCCCC"/>
            </w:tcBorders>
          </w:tcPr>
          <w:p>
            <w:r>
              <w:rPr>
                <w:rFonts w:ascii="Calibri" w:hAnsi="Calibri"/>
                <w:b/>
                <w:color w:val="7A5A1E"/>
                <w:sz w:val="18"/>
              </w:rPr>
              <w:t>Action this week</w:t>
            </w:r>
          </w:p>
        </w:tc>
        <w:tc>
          <w:tcPr>
            <w:tcW w:type="dxa" w:w="4873"/>
            <w:tcBorders>
              <w:top w:val="single" w:sz="4" w:color="CCCCCC"/>
              <w:left w:val="single" w:sz="4" w:color="CCCCCC"/>
              <w:bottom w:val="single" w:sz="4" w:color="CCCCCC"/>
              <w:right w:val="single" w:sz="4" w:color="CCCCCC"/>
            </w:tcBorders>
          </w:tcPr>
          <w:p>
            <w:r>
              <w:rPr>
                <w:rFonts w:ascii="Georgia" w:hAnsi="Georgia"/>
                <w:b w:val="0"/>
                <w:i w:val="0"/>
                <w:color w:val="142233"/>
                <w:sz w:val="19"/>
              </w:rPr>
              <w:t>Confirm OT isolation and vendor-disconnection authority remains active regardless of diplomatic headlines. Do not let a ceasefire signal trigger a posture downgrade without an explicit, documented decision to do so.</w:t>
            </w:r>
          </w:p>
        </w:tc>
      </w:tr>
      <w:tr>
        <w:tc>
          <w:tcPr>
            <w:tcW w:type="dxa" w:w="2041"/>
            <w:shd w:val="clear" w:fill="F1ECDD"/>
            <w:tcBorders>
              <w:top w:val="single" w:sz="4" w:color="CCCCCC"/>
              <w:left w:val="single" w:sz="4" w:color="CCCCCC"/>
              <w:bottom w:val="single" w:sz="4" w:color="CCCCCC"/>
              <w:right w:val="single" w:sz="4" w:color="CCCCCC"/>
            </w:tcBorders>
          </w:tcPr>
          <w:p>
            <w:r>
              <w:rPr>
                <w:rFonts w:ascii="Calibri" w:hAnsi="Calibri"/>
                <w:b/>
                <w:color w:val="7A5A1E"/>
                <w:sz w:val="18"/>
              </w:rPr>
              <w:t>Record to preserve</w:t>
            </w:r>
          </w:p>
        </w:tc>
        <w:tc>
          <w:tcPr>
            <w:tcW w:type="dxa" w:w="4873"/>
            <w:tcBorders>
              <w:top w:val="single" w:sz="4" w:color="CCCCCC"/>
              <w:left w:val="single" w:sz="4" w:color="CCCCCC"/>
              <w:bottom w:val="single" w:sz="4" w:color="CCCCCC"/>
              <w:right w:val="single" w:sz="4" w:color="CCCCCC"/>
            </w:tcBorders>
          </w:tcPr>
          <w:p>
            <w:r>
              <w:rPr>
                <w:rFonts w:ascii="Georgia" w:hAnsi="Georgia"/>
                <w:b w:val="0"/>
                <w:i w:val="0"/>
                <w:color w:val="142233"/>
                <w:sz w:val="19"/>
              </w:rPr>
              <w:t>VPN and remote-access logs, OT exposure inventories, vendor access records, and any decision to maintain or relax isolation posture this week, with the rationale documented.</w:t>
            </w:r>
          </w:p>
        </w:tc>
      </w:tr>
    </w:tbl>
    <w:p>
      <w:pPr>
        <w:spacing w:after="120"/>
      </w:pPr>
    </w:p>
    <w:p>
      <w:pPr>
        <w:spacing w:after="160"/>
      </w:pPr>
      <w:r>
        <w:rPr>
          <w:rFonts w:ascii="Georgia" w:hAnsi="Georgia"/>
          <w:b w:val="0"/>
          <w:i w:val="0"/>
          <w:color w:val="142233"/>
          <w:sz w:val="21"/>
        </w:rPr>
        <w:t>From Warning to Decision</w:t>
      </w:r>
    </w:p>
    <w:p>
      <w:pPr>
        <w:spacing w:before="200" w:after="120"/>
      </w:pPr>
      <w:r>
        <w:rPr>
          <w:rFonts w:ascii="Calibri" w:hAnsi="Calibri"/>
          <w:b/>
          <w:color w:val="142233"/>
          <w:sz w:val="23"/>
        </w:rPr>
        <w:t>Test what this means for your organization.</w:t>
      </w:r>
    </w:p>
    <w:p>
      <w:pPr>
        <w:spacing w:after="160"/>
      </w:pPr>
      <w:r>
        <w:rPr>
          <w:rFonts w:ascii="Georgia" w:hAnsi="Georgia"/>
          <w:b w:val="0"/>
          <w:i w:val="0"/>
          <w:color w:val="142233"/>
          <w:sz w:val="21"/>
        </w:rPr>
        <w:t>Reading the warning is one thing. Knowing whether your leadership would recognize it, decide in time, and document the call is another. Liberty CTI starts by establishing your decision environment, then tests it under pressure.</w:t>
      </w:r>
    </w:p>
    <w:p>
      <w:pPr>
        <w:spacing w:after="160"/>
      </w:pPr>
      <w:r>
        <w:rPr>
          <w:rFonts w:ascii="Georgia" w:hAnsi="Georgia"/>
          <w:b w:val="0"/>
          <w:i w:val="0"/>
          <w:color w:val="142233"/>
          <w:sz w:val="21"/>
        </w:rPr>
        <w:t>EXECUTIVE INTELLIGENCE BASELINE + EXECUTIVE DECISION EXERCISE →</w:t>
      </w:r>
    </w:p>
    <w:p>
      <w:pPr>
        <w:spacing w:after="160"/>
      </w:pPr>
      <w:r>
        <w:rPr>
          <w:rFonts w:ascii="Georgia" w:hAnsi="Georgia"/>
          <w:b w:val="0"/>
          <w:i w:val="0"/>
          <w:color w:val="142233"/>
          <w:sz w:val="21"/>
        </w:rPr>
        <w:t>Section VII</w:t>
      </w:r>
    </w:p>
    <w:p>
      <w:pPr>
        <w:spacing w:before="320" w:after="120"/>
        <w:pBdr>
          <w:bottom w:val="single" w:sz="6" w:space="4" w:color="A67C2E"/>
        </w:pBdr>
      </w:pPr>
      <w:r>
        <w:rPr>
          <w:rFonts w:ascii="Calibri" w:hAnsi="Calibri"/>
          <w:b/>
          <w:color w:val="7A5A1E"/>
          <w:sz w:val="27"/>
        </w:rPr>
        <w:t>Actions This Week</w:t>
      </w:r>
    </w:p>
    <w:p>
      <w:pPr>
        <w:spacing w:after="160"/>
      </w:pPr>
      <w:r>
        <w:rPr>
          <w:rFonts w:ascii="Georgia" w:hAnsi="Georgia"/>
          <w:b w:val="0"/>
          <w:i w:val="0"/>
          <w:color w:val="142233"/>
          <w:sz w:val="21"/>
        </w:rPr>
        <w:t>Section VIII</w:t>
      </w:r>
    </w:p>
    <w:p>
      <w:pPr>
        <w:spacing w:before="320" w:after="120"/>
        <w:pBdr>
          <w:bottom w:val="single" w:sz="6" w:space="4" w:color="A67C2E"/>
        </w:pBdr>
      </w:pPr>
      <w:r>
        <w:rPr>
          <w:rFonts w:ascii="Calibri" w:hAnsi="Calibri"/>
          <w:b/>
          <w:color w:val="7A5A1E"/>
          <w:sz w:val="27"/>
        </w:rPr>
        <w:t>Prior Judgment Tracker</w:t>
      </w:r>
    </w:p>
    <w:tbl>
      <w:tblPr>
        <w:tblW w:type="auto" w:w="0"/>
        <w:jc w:val="center"/>
        <w:tblLayout w:type="fixed"/>
        <w:tblLook w:firstColumn="1" w:firstRow="1" w:lastColumn="0" w:lastRow="0" w:noHBand="0" w:noVBand="1" w:val="04A0"/>
      </w:tblPr>
      <w:tblGrid>
        <w:gridCol w:w="2041"/>
        <w:gridCol w:w="7087"/>
      </w:tblGrid>
      <w:tr>
        <w:tc>
          <w:tcPr>
            <w:tcW w:type="dxa" w:w="2041"/>
            <w:shd w:val="clear" w:fill="F1ECDD"/>
            <w:tcBorders>
              <w:top w:val="single" w:sz="4" w:color="CCCCCC"/>
              <w:left w:val="single" w:sz="4" w:color="CCCCCC"/>
              <w:bottom w:val="single" w:sz="4" w:color="CCCCCC"/>
              <w:right w:val="single" w:sz="4" w:color="CCCCCC"/>
            </w:tcBorders>
          </w:tcPr>
          <w:p>
            <w:r>
              <w:rPr>
                <w:rFonts w:ascii="Calibri" w:hAnsi="Calibri"/>
                <w:b/>
                <w:color w:val="7A5A1E"/>
                <w:sz w:val="18"/>
              </w:rPr>
              <w:t>Prior judgment (KJ-1, ATB-2026-16)</w:t>
            </w:r>
          </w:p>
        </w:tc>
        <w:tc>
          <w:tcPr>
            <w:tcW w:type="dxa" w:w="4873"/>
            <w:tcBorders>
              <w:top w:val="single" w:sz="4" w:color="CCCCCC"/>
              <w:left w:val="single" w:sz="4" w:color="CCCCCC"/>
              <w:bottom w:val="single" w:sz="4" w:color="CCCCCC"/>
              <w:right w:val="single" w:sz="4" w:color="CCCCCC"/>
            </w:tcBorders>
          </w:tcPr>
          <w:p>
            <w:r>
              <w:rPr>
                <w:rFonts w:ascii="Georgia" w:hAnsi="Georgia"/>
                <w:b w:val="0"/>
                <w:i w:val="0"/>
                <w:color w:val="142233"/>
                <w:sz w:val="19"/>
              </w:rPr>
              <w:t>Iranian PLC/HMI campaign against U.S. water, energy, and government targets likely accelerating following the June 25–26 Hormuz strikes.</w:t>
            </w:r>
          </w:p>
        </w:tc>
      </w:tr>
      <w:tr>
        <w:tc>
          <w:tcPr>
            <w:tcW w:type="dxa" w:w="2041"/>
            <w:shd w:val="clear" w:fill="F1ECDD"/>
            <w:tcBorders>
              <w:top w:val="single" w:sz="4" w:color="CCCCCC"/>
              <w:left w:val="single" w:sz="4" w:color="CCCCCC"/>
              <w:bottom w:val="single" w:sz="4" w:color="CCCCCC"/>
              <w:right w:val="single" w:sz="4" w:color="CCCCCC"/>
            </w:tcBorders>
          </w:tcPr>
          <w:p>
            <w:r>
              <w:rPr>
                <w:rFonts w:ascii="Calibri" w:hAnsi="Calibri"/>
                <w:b/>
                <w:color w:val="7A5A1E"/>
                <w:sz w:val="18"/>
              </w:rPr>
              <w:t>Current status</w:t>
            </w:r>
          </w:p>
        </w:tc>
        <w:tc>
          <w:tcPr>
            <w:tcW w:type="dxa" w:w="4873"/>
            <w:tcBorders>
              <w:top w:val="single" w:sz="4" w:color="CCCCCC"/>
              <w:left w:val="single" w:sz="4" w:color="CCCCCC"/>
              <w:bottom w:val="single" w:sz="4" w:color="CCCCCC"/>
              <w:right w:val="single" w:sz="4" w:color="CCCCCC"/>
            </w:tcBorders>
          </w:tcPr>
          <w:p>
            <w:r>
              <w:rPr>
                <w:rFonts w:ascii="Georgia" w:hAnsi="Georgia"/>
                <w:b w:val="0"/>
                <w:i w:val="0"/>
                <w:color w:val="142233"/>
                <w:sz w:val="19"/>
              </w:rPr>
              <w:t>Partially corroborated. Israeli official reporting supports intensification; source is single, foreign, and non-U.S.-government. Confidence held at MODERATE, unchanged.</w:t>
            </w:r>
          </w:p>
        </w:tc>
      </w:tr>
      <w:tr>
        <w:tc>
          <w:tcPr>
            <w:tcW w:type="dxa" w:w="2041"/>
            <w:shd w:val="clear" w:fill="F1ECDD"/>
            <w:tcBorders>
              <w:top w:val="single" w:sz="4" w:color="CCCCCC"/>
              <w:left w:val="single" w:sz="4" w:color="CCCCCC"/>
              <w:bottom w:val="single" w:sz="4" w:color="CCCCCC"/>
              <w:right w:val="single" w:sz="4" w:color="CCCCCC"/>
            </w:tcBorders>
          </w:tcPr>
          <w:p>
            <w:r>
              <w:rPr>
                <w:rFonts w:ascii="Calibri" w:hAnsi="Calibri"/>
                <w:b/>
                <w:color w:val="7A5A1E"/>
                <w:sz w:val="18"/>
              </w:rPr>
              <w:t>Prior judgment (KJ-2, ATB-2026-16)</w:t>
            </w:r>
          </w:p>
        </w:tc>
        <w:tc>
          <w:tcPr>
            <w:tcW w:type="dxa" w:w="4873"/>
            <w:tcBorders>
              <w:top w:val="single" w:sz="4" w:color="CCCCCC"/>
              <w:left w:val="single" w:sz="4" w:color="CCCCCC"/>
              <w:bottom w:val="single" w:sz="4" w:color="CCCCCC"/>
              <w:right w:val="single" w:sz="4" w:color="CCCCCC"/>
            </w:tcBorders>
          </w:tcPr>
          <w:p>
            <w:r>
              <w:rPr>
                <w:rFonts w:ascii="Georgia" w:hAnsi="Georgia"/>
                <w:b w:val="0"/>
                <w:i w:val="0"/>
                <w:color w:val="142233"/>
                <w:sz w:val="19"/>
              </w:rPr>
              <w:t>Russia’s fuel crisis likely raising cyber-enabled collection and retaliation-signaling incentive against Western energy and logistics targets.</w:t>
            </w:r>
          </w:p>
        </w:tc>
      </w:tr>
      <w:tr>
        <w:tc>
          <w:tcPr>
            <w:tcW w:type="dxa" w:w="2041"/>
            <w:shd w:val="clear" w:fill="F1ECDD"/>
            <w:tcBorders>
              <w:top w:val="single" w:sz="4" w:color="CCCCCC"/>
              <w:left w:val="single" w:sz="4" w:color="CCCCCC"/>
              <w:bottom w:val="single" w:sz="4" w:color="CCCCCC"/>
              <w:right w:val="single" w:sz="4" w:color="CCCCCC"/>
            </w:tcBorders>
          </w:tcPr>
          <w:p>
            <w:r>
              <w:rPr>
                <w:rFonts w:ascii="Calibri" w:hAnsi="Calibri"/>
                <w:b/>
                <w:color w:val="7A5A1E"/>
                <w:sz w:val="18"/>
              </w:rPr>
              <w:t>Current status</w:t>
            </w:r>
          </w:p>
        </w:tc>
        <w:tc>
          <w:tcPr>
            <w:tcW w:type="dxa" w:w="4873"/>
            <w:tcBorders>
              <w:top w:val="single" w:sz="4" w:color="CCCCCC"/>
              <w:left w:val="single" w:sz="4" w:color="CCCCCC"/>
              <w:bottom w:val="single" w:sz="4" w:color="CCCCCC"/>
              <w:right w:val="single" w:sz="4" w:color="CCCCCC"/>
            </w:tcBorders>
          </w:tcPr>
          <w:p>
            <w:r>
              <w:rPr>
                <w:rFonts w:ascii="Georgia" w:hAnsi="Georgia"/>
                <w:b w:val="0"/>
                <w:i w:val="0"/>
                <w:color w:val="142233"/>
                <w:sz w:val="19"/>
              </w:rPr>
              <w:t>Trend continues (4 July St. Petersburg/Vysotsk strike); no new cyber-specific evidence this week. Confidence held at MODERATE, unchanged.</w:t>
            </w:r>
          </w:p>
        </w:tc>
      </w:tr>
      <w:tr>
        <w:tc>
          <w:tcPr>
            <w:tcW w:type="dxa" w:w="2041"/>
            <w:shd w:val="clear" w:fill="F1ECDD"/>
            <w:tcBorders>
              <w:top w:val="single" w:sz="4" w:color="CCCCCC"/>
              <w:left w:val="single" w:sz="4" w:color="CCCCCC"/>
              <w:bottom w:val="single" w:sz="4" w:color="CCCCCC"/>
              <w:right w:val="single" w:sz="4" w:color="CCCCCC"/>
            </w:tcBorders>
          </w:tcPr>
          <w:p>
            <w:r>
              <w:rPr>
                <w:rFonts w:ascii="Calibri" w:hAnsi="Calibri"/>
                <w:b/>
                <w:color w:val="7A5A1E"/>
                <w:sz w:val="18"/>
              </w:rPr>
              <w:t>What changed</w:t>
            </w:r>
          </w:p>
        </w:tc>
        <w:tc>
          <w:tcPr>
            <w:tcW w:type="dxa" w:w="4873"/>
            <w:tcBorders>
              <w:top w:val="single" w:sz="4" w:color="CCCCCC"/>
              <w:left w:val="single" w:sz="4" w:color="CCCCCC"/>
              <w:bottom w:val="single" w:sz="4" w:color="CCCCCC"/>
              <w:right w:val="single" w:sz="4" w:color="CCCCCC"/>
            </w:tcBorders>
          </w:tcPr>
          <w:p>
            <w:r>
              <w:rPr>
                <w:rFonts w:ascii="Georgia" w:hAnsi="Georgia"/>
                <w:b w:val="0"/>
                <w:i w:val="0"/>
                <w:color w:val="142233"/>
                <w:sz w:val="19"/>
              </w:rPr>
              <w:t>This week’s new development was diplomatic, not kinetic or cyber: advancing Doha talks and the WSJ corporate-infrastructure-targeting trend. Neither prior judgment was superseded; both were tested and held.</w:t>
            </w:r>
          </w:p>
        </w:tc>
      </w:tr>
      <w:tr>
        <w:tc>
          <w:tcPr>
            <w:tcW w:type="dxa" w:w="2041"/>
            <w:shd w:val="clear" w:fill="F1ECDD"/>
            <w:tcBorders>
              <w:top w:val="single" w:sz="4" w:color="CCCCCC"/>
              <w:left w:val="single" w:sz="4" w:color="CCCCCC"/>
              <w:bottom w:val="single" w:sz="4" w:color="CCCCCC"/>
              <w:right w:val="single" w:sz="4" w:color="CCCCCC"/>
            </w:tcBorders>
          </w:tcPr>
          <w:p>
            <w:r>
              <w:rPr>
                <w:rFonts w:ascii="Calibri" w:hAnsi="Calibri"/>
                <w:b/>
                <w:color w:val="7A5A1E"/>
                <w:sz w:val="18"/>
              </w:rPr>
              <w:t>Next indicator</w:t>
            </w:r>
          </w:p>
        </w:tc>
        <w:tc>
          <w:tcPr>
            <w:tcW w:type="dxa" w:w="4873"/>
            <w:tcBorders>
              <w:top w:val="single" w:sz="4" w:color="CCCCCC"/>
              <w:left w:val="single" w:sz="4" w:color="CCCCCC"/>
              <w:bottom w:val="single" w:sz="4" w:color="CCCCCC"/>
              <w:right w:val="single" w:sz="4" w:color="CCCCCC"/>
            </w:tcBorders>
          </w:tcPr>
          <w:p>
            <w:r>
              <w:rPr>
                <w:rFonts w:ascii="Georgia" w:hAnsi="Georgia"/>
                <w:b w:val="0"/>
                <w:i w:val="0"/>
                <w:color w:val="142233"/>
                <w:sz w:val="19"/>
              </w:rPr>
              <w:t>A U.S. primary-source advisory corroborating Iranian cyber intensification, a confirmed Texas-named victim, collapse of the Doha talks, or new federal action on infrastructure-hardening standards would each move this assessment.</w:t>
            </w:r>
          </w:p>
        </w:tc>
      </w:tr>
    </w:tbl>
    <w:p>
      <w:pPr>
        <w:spacing w:after="120"/>
      </w:pPr>
    </w:p>
    <w:p>
      <w:pPr>
        <w:spacing w:after="160"/>
      </w:pPr>
      <w:r>
        <w:rPr>
          <w:rFonts w:ascii="Georgia" w:hAnsi="Georgia"/>
          <w:b w:val="0"/>
          <w:i w:val="0"/>
          <w:color w:val="142233"/>
          <w:sz w:val="21"/>
        </w:rPr>
        <w:t>Section IX — Sourcing</w:t>
      </w:r>
    </w:p>
    <w:p>
      <w:pPr>
        <w:spacing w:before="320" w:after="120"/>
        <w:pBdr>
          <w:bottom w:val="single" w:sz="6" w:space="4" w:color="A67C2E"/>
        </w:pBdr>
      </w:pPr>
      <w:r>
        <w:rPr>
          <w:rFonts w:ascii="Calibri" w:hAnsi="Calibri"/>
          <w:b/>
          <w:color w:val="7A5A1E"/>
          <w:sz w:val="27"/>
        </w:rPr>
        <w:t>Open Source Basis</w:t>
      </w:r>
    </w:p>
    <w:p>
      <w:pPr>
        <w:spacing w:before="200"/>
      </w:pPr>
      <w:r>
        <w:rPr>
          <w:rFonts w:ascii="Calibri" w:hAnsi="Calibri"/>
          <w:b/>
          <w:color w:val="1F5C8C"/>
          <w:sz w:val="18"/>
        </w:rPr>
        <w:t>PRIMARY SOURCES — ATB-2026-17 — COVERAGE WEEK 28 JUNE–4 JULY 2026 AND CONTINUING BASELINE</w:t>
      </w:r>
    </w:p>
    <w:p>
      <w:pPr>
        <w:spacing w:before="120" w:after="20"/>
      </w:pPr>
      <w:r>
        <w:rPr>
          <w:rFonts w:ascii="Calibri" w:hAnsi="Calibri"/>
          <w:b/>
          <w:color w:val="7A5A1E"/>
          <w:sz w:val="15"/>
        </w:rPr>
        <w:t>GOVERNMENT / REGULATORY</w:t>
        <w:br/>
      </w:r>
      <w:r>
        <w:rPr>
          <w:b/>
          <w:color w:val="142233"/>
          <w:sz w:val="20"/>
        </w:rPr>
        <w:t>CISA/EPA/FBI/NSA — Joint Advisory: Iranian-Affiliated Cyber Attacks on U.S. Critical Infrastructure (AA26-097A)</w:t>
      </w:r>
    </w:p>
    <w:p>
      <w:pPr>
        <w:spacing w:after="20"/>
      </w:pPr>
      <w:hyperlink r:id="rId11">
        <w:r>
          <w:rPr>
            <w:color w:val="1F5C8C"/>
            <w:u w:val="single"/>
            <w:sz w:val="17"/>
            <w:rFonts w:ascii="Consolas"/>
          </w:rPr>
          <w:t>cisa.gov/news-events/cybersecurity-advisories</w:t>
        </w:r>
      </w:hyperlink>
    </w:p>
    <w:p>
      <w:pPr>
        <w:spacing w:after="40"/>
      </w:pPr>
      <w:r>
        <w:rPr>
          <w:i/>
          <w:color w:val="5C5C5C"/>
          <w:sz w:val="17"/>
        </w:rPr>
        <w:t>Published 7 April 2026. Carried-forward primary basis for the Iranian PLC/HMI campaign referenced in KJ-1.</w:t>
      </w:r>
    </w:p>
    <w:p>
      <w:pPr>
        <w:spacing w:before="120" w:after="20"/>
      </w:pPr>
      <w:r>
        <w:rPr>
          <w:rFonts w:ascii="Calibri" w:hAnsi="Calibri"/>
          <w:b/>
          <w:color w:val="7A5A1E"/>
          <w:sz w:val="15"/>
        </w:rPr>
        <w:t>WIRE / MAJOR MEDIA</w:t>
        <w:br/>
      </w:r>
      <w:r>
        <w:rPr>
          <w:b/>
          <w:color w:val="142233"/>
          <w:sz w:val="20"/>
        </w:rPr>
        <w:t>NPR — U.S. and Iran hold separate meetings in Qatar and agree to continue discussions</w:t>
      </w:r>
    </w:p>
    <w:p>
      <w:pPr>
        <w:spacing w:after="20"/>
      </w:pPr>
      <w:hyperlink r:id="rId12">
        <w:r>
          <w:rPr>
            <w:color w:val="1F5C8C"/>
            <w:u w:val="single"/>
            <w:sz w:val="17"/>
            <w:rFonts w:ascii="Consolas"/>
          </w:rPr>
          <w:t>npr.org/2026/07/02/nx-s1-5878887/us-iran-meetings-qatar</w:t>
        </w:r>
      </w:hyperlink>
    </w:p>
    <w:p>
      <w:pPr>
        <w:spacing w:after="40"/>
      </w:pPr>
      <w:r>
        <w:rPr>
          <w:i/>
          <w:color w:val="5C5C5C"/>
          <w:sz w:val="17"/>
        </w:rPr>
        <w:t>2 July 2026. Cited for Doha talks progress and Joint Hormuz Committee formation.</w:t>
      </w:r>
    </w:p>
    <w:p>
      <w:pPr>
        <w:spacing w:before="120" w:after="20"/>
      </w:pPr>
      <w:r>
        <w:rPr>
          <w:rFonts w:ascii="Calibri" w:hAnsi="Calibri"/>
          <w:b/>
          <w:color w:val="7A5A1E"/>
          <w:sz w:val="15"/>
        </w:rPr>
        <w:t>MAJOR MEDIA (FOREIGN, PRIMARY INTERVIEW)</w:t>
        <w:br/>
      </w:r>
      <w:r>
        <w:rPr>
          <w:b/>
          <w:color w:val="142233"/>
          <w:sz w:val="20"/>
        </w:rPr>
        <w:t>WELT — Interview with Israel’s cyber chief</w:t>
      </w:r>
    </w:p>
    <w:p>
      <w:pPr>
        <w:spacing w:after="20"/>
      </w:pPr>
      <w:hyperlink r:id="rId13">
        <w:r>
          <w:rPr>
            <w:color w:val="1F5C8C"/>
            <w:u w:val="single"/>
            <w:sz w:val="17"/>
            <w:rFonts w:ascii="Consolas"/>
          </w:rPr>
          <w:t>welt.de</w:t>
        </w:r>
      </w:hyperlink>
    </w:p>
    <w:p>
      <w:pPr>
        <w:spacing w:after="40"/>
      </w:pPr>
      <w:r>
        <w:rPr>
          <w:i/>
          <w:color w:val="5C5C5C"/>
          <w:sz w:val="17"/>
        </w:rPr>
        <w:t>30 June 2026. Single-sourced official claim; treated as MODERATE reliability per standing sourcing standards. Cited for Iranian cyber-intensification claim only.</w:t>
      </w:r>
    </w:p>
    <w:p>
      <w:pPr>
        <w:spacing w:before="120" w:after="20"/>
      </w:pPr>
      <w:r>
        <w:rPr>
          <w:rFonts w:ascii="Calibri" w:hAnsi="Calibri"/>
          <w:b/>
          <w:color w:val="7A5A1E"/>
          <w:sz w:val="15"/>
        </w:rPr>
        <w:t>WIRE / MAJOR MEDIA</w:t>
        <w:br/>
      </w:r>
      <w:r>
        <w:rPr>
          <w:b/>
          <w:color w:val="142233"/>
          <w:sz w:val="20"/>
        </w:rPr>
        <w:t>Associated Press — Ukrainian drones hit St Petersburg oil terminal in latest long-range attack on Russia</w:t>
      </w:r>
    </w:p>
    <w:p>
      <w:pPr>
        <w:spacing w:after="20"/>
      </w:pPr>
      <w:hyperlink r:id="rId14">
        <w:r>
          <w:rPr>
            <w:color w:val="1F5C8C"/>
            <w:u w:val="single"/>
            <w:sz w:val="17"/>
            <w:rFonts w:ascii="Consolas"/>
          </w:rPr>
          <w:t>apnews.com/article/c95b97c0ab5ca8d06050f09e54ea69a9</w:t>
        </w:r>
      </w:hyperlink>
    </w:p>
    <w:p>
      <w:pPr>
        <w:spacing w:after="40"/>
      </w:pPr>
      <w:r>
        <w:rPr>
          <w:i/>
          <w:color w:val="5C5C5C"/>
          <w:sz w:val="17"/>
        </w:rPr>
        <w:t>4 July 2026. Cited for the St. Petersburg/Vysotsk strike and continuing Russian fuel-rationing context.</w:t>
      </w:r>
    </w:p>
    <w:p>
      <w:pPr>
        <w:spacing w:before="120" w:after="20"/>
      </w:pPr>
      <w:r>
        <w:rPr>
          <w:rFonts w:ascii="Calibri" w:hAnsi="Calibri"/>
          <w:b/>
          <w:color w:val="7A5A1E"/>
          <w:sz w:val="15"/>
        </w:rPr>
        <w:t>BUSINESS / NATIONAL SECURITY PRESS</w:t>
        <w:br/>
      </w:r>
      <w:r>
        <w:rPr>
          <w:b/>
          <w:color w:val="142233"/>
          <w:sz w:val="20"/>
        </w:rPr>
        <w:t>Wall Street Journal — Wars Are Blurring Lines Between Corporate and National Security</w:t>
      </w:r>
    </w:p>
    <w:p>
      <w:pPr>
        <w:spacing w:after="20"/>
      </w:pPr>
      <w:hyperlink r:id="rId15">
        <w:r>
          <w:rPr>
            <w:color w:val="1F5C8C"/>
            <w:u w:val="single"/>
            <w:sz w:val="17"/>
            <w:rFonts w:ascii="Consolas"/>
          </w:rPr>
          <w:t>wsj.com/politics/national-security/wars-are-blurring-lines-between-corporate-and-national-security-75d8daca</w:t>
        </w:r>
      </w:hyperlink>
    </w:p>
    <w:p>
      <w:pPr>
        <w:spacing w:after="40"/>
      </w:pPr>
      <w:r>
        <w:rPr>
          <w:i/>
          <w:color w:val="5C5C5C"/>
          <w:sz w:val="17"/>
        </w:rPr>
        <w:t>4 July 2026. Cited for the corporate-infrastructure-as-military-target trend basis of KJ-3. Broad trend synthesis, not Texas-specific.</w:t>
      </w:r>
    </w:p>
    <w:p>
      <w:pPr>
        <w:pBdr>
          <w:bottom w:val="single" w:sz="4" w:space="4" w:color="CCCCCC"/>
        </w:pBdr>
      </w:pPr>
    </w:p>
    <w:p>
      <w:pPr>
        <w:spacing w:after="160"/>
      </w:pPr>
      <w:r>
        <w:rPr>
          <w:rFonts w:ascii="Georgia" w:hAnsi="Georgia"/>
          <w:b w:val="0"/>
          <w:i w:val="0"/>
          <w:color w:val="142233"/>
          <w:sz w:val="21"/>
        </w:rPr>
        <w:t xml:space="preserve">For tailored executive briefings or advisory retainer inquiries: </w:t>
      </w:r>
      <w:r>
        <w:rPr>
          <w:rFonts w:ascii="Georgia" w:hAnsi="Georgia"/>
          <w:b/>
          <w:i w:val="0"/>
          <w:color w:val="142233"/>
          <w:sz w:val="21"/>
        </w:rPr>
        <w:t>intel@libertycti.com</w:t>
      </w:r>
      <w:r>
        <w:rPr>
          <w:rFonts w:ascii="Georgia" w:hAnsi="Georgia"/>
          <w:b w:val="0"/>
          <w:i w:val="0"/>
          <w:color w:val="142233"/>
          <w:sz w:val="21"/>
        </w:rPr>
        <w:t xml:space="preserve"> · </w:t>
      </w:r>
      <w:r>
        <w:rPr>
          <w:rFonts w:ascii="Georgia" w:hAnsi="Georgia"/>
          <w:b/>
          <w:i w:val="0"/>
          <w:color w:val="142233"/>
          <w:sz w:val="21"/>
        </w:rPr>
        <w:t>libertycti.com</w:t>
      </w:r>
    </w:p>
    <w:p>
      <w:pPr>
        <w:spacing w:after="160"/>
        <w:jc w:val="center"/>
      </w:pPr>
      <w:r>
        <w:rPr>
          <w:rFonts w:ascii="Georgia" w:hAnsi="Georgia"/>
          <w:b w:val="0"/>
          <w:i w:val="0"/>
          <w:color w:val="5C5C5C"/>
          <w:sz w:val="16"/>
        </w:rPr>
        <w:t>© 2026 Liberty CTI LLC. All rights reserved. The Alamo Threat Brief and its original analysis may not be reproduced or redistributed without permission.</w:t>
      </w:r>
    </w:p>
    <w:p>
      <w:pPr>
        <w:spacing w:after="160"/>
        <w:jc w:val="center"/>
      </w:pPr>
      <w:r>
        <w:rPr>
          <w:rFonts w:ascii="Georgia" w:hAnsi="Georgia"/>
          <w:b w:val="0"/>
          <w:i w:val="0"/>
          <w:color w:val="5C5C5C"/>
          <w:sz w:val="16"/>
        </w:rPr>
        <w:t xml:space="preserve">Liberty CTI assessments reflect analytical judgments based on information available at the time of publication. Forecasts and warning judgments involve uncertainty and may change as new information becomes available. The Alamo Threat Brief provides intelligence decision support and does not constitute legal, financial, investment, or technical cybersecurity advice. See </w:t>
      </w:r>
      <w:r>
        <w:rPr>
          <w:rFonts w:ascii="Georgia" w:hAnsi="Georgia"/>
          <w:b w:val="0"/>
          <w:i w:val="0"/>
          <w:color w:val="1F5C8C"/>
          <w:sz w:val="16"/>
          <w:u w:val="single"/>
        </w:rPr>
        <w:t>Terms of Use</w:t>
      </w:r>
      <w:r>
        <w:rPr>
          <w:rFonts w:ascii="Georgia" w:hAnsi="Georgia"/>
          <w:b w:val="0"/>
          <w:i w:val="0"/>
          <w:color w:val="5C5C5C"/>
          <w:sz w:val="16"/>
        </w:rPr>
        <w:t>.</w:t>
      </w:r>
    </w:p>
    <w:p>
      <w:pPr>
        <w:spacing w:after="160"/>
        <w:jc w:val="center"/>
      </w:pPr>
      <w:r>
        <w:rPr>
          <w:rFonts w:ascii="Georgia" w:hAnsi="Georgia"/>
          <w:b w:val="0"/>
          <w:i w:val="0"/>
          <w:color w:val="5C5C5C"/>
          <w:sz w:val="16"/>
        </w:rPr>
        <w:t>Third-party reporting cited in this brief remains the property of its respective owners; citation does not constitute endorsement. Liberty CTI’s original analytical judgments remain Liberty CTI intellectual property.</w:t>
      </w:r>
    </w:p>
    <w:p>
      <w:pPr>
        <w:spacing w:after="160"/>
      </w:pPr>
      <w:r>
        <w:rPr>
          <w:rFonts w:ascii="Georgia" w:hAnsi="Georgia"/>
          <w:b w:val="0"/>
          <w:i w:val="0"/>
          <w:color w:val="142233"/>
          <w:sz w:val="21"/>
        </w:rPr>
        <w:t>Test what this means for your organization.</w:t>
      </w:r>
    </w:p>
    <w:p>
      <w:pPr>
        <w:spacing w:after="160"/>
      </w:pPr>
      <w:r>
        <w:rPr>
          <w:rFonts w:ascii="Georgia" w:hAnsi="Georgia"/>
          <w:b w:val="0"/>
          <w:i w:val="0"/>
          <w:color w:val="142233"/>
          <w:sz w:val="21"/>
        </w:rPr>
        <w:t>EXECUTIVE INTELLIGENCE BASELINE + EXECUTIVE DECISION EXERCISE →</w:t>
      </w:r>
    </w:p>
    <w:p>
      <w:pPr>
        <w:spacing w:before="360"/>
        <w:jc w:val="center"/>
      </w:pPr>
      <w:r>
        <w:rPr>
          <w:color w:val="5C5C5C"/>
          <w:sz w:val="15"/>
        </w:rPr>
        <w:t>© 2026 Liberty CTI LLC. All rights reserved. The Alamo Threat Brief and its original analysis may not be reproduced or redistributed without permission. Alamo Threat Brief™ is a trademark of Liberty CTI LLC. This document is an archival companion to the published web issue and preserves the assessment as originally issued.</w:t>
      </w:r>
    </w:p>
    <w:sectPr w:rsidR="00FC693F" w:rsidRPr="0006063C" w:rsidSect="00034616">
      <w:headerReference w:type="default" r:id="rId9"/>
      <w:footerReference w:type="default" r:id="rId10"/>
      <w:pgSz w:w="12240" w:h="15840"/>
      <w:pgMar w:top="1134"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Calibri" w:hAnsi="Calibri"/>
        <w:color w:val="5C5C5C"/>
        <w:sz w:val="15"/>
      </w:rPr>
      <w:t xml:space="preserve">OPEN SOURCE INTELLIGENCE   —   Page </w:t>
    </w:r>
    <w:r>
      <w:rPr>
        <w:color w:val="5C5C5C"/>
        <w:sz w:val="15"/>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rPr>
        <w:rFonts w:ascii="Calibri" w:hAnsi="Calibri"/>
        <w:color w:val="5C5C5C"/>
        <w:sz w:val="16"/>
      </w:rPr>
      <w:t>LIBERTY CTI  |  THE ALAMO THREAT BRIEF  |  ATB-2026-17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color w:val="1422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cisa.gov/news-events/cybersecurity-advisories" TargetMode="External"/><Relationship Id="rId12" Type="http://schemas.openxmlformats.org/officeDocument/2006/relationships/hyperlink" Target="https://www.npr.org/2026/07/02/nx-s1-5878887/us-iran-meetings-qatar" TargetMode="External"/><Relationship Id="rId13" Type="http://schemas.openxmlformats.org/officeDocument/2006/relationships/hyperlink" Target="https://www.welt.de/" TargetMode="External"/><Relationship Id="rId14" Type="http://schemas.openxmlformats.org/officeDocument/2006/relationships/hyperlink" Target="https://apnews.com/article/c95b97c0ab5ca8d06050f09e54ea69a9" TargetMode="External"/><Relationship Id="rId15" Type="http://schemas.openxmlformats.org/officeDocument/2006/relationships/hyperlink" Target="https://www.wsj.com/politics/national-security/wars-are-blurring-lines-between-corporate-and-national-security-75d8dac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