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7A5A1E"/>
          <w:sz w:val="19"/>
        </w:rPr>
        <w:t>LIBERTY CYBER THREAT INTELLIGENCE</w:t>
      </w:r>
    </w:p>
    <w:p>
      <w:pPr>
        <w:spacing w:after="80"/>
        <w:jc w:val="center"/>
      </w:pPr>
      <w:r>
        <w:rPr>
          <w:rFonts w:ascii="Calibri" w:hAnsi="Calibri"/>
          <w:b/>
          <w:color w:val="142233"/>
          <w:sz w:val="48"/>
        </w:rPr>
        <w:t>THE ALAMO THREAT BRIEF™</w:t>
      </w:r>
    </w:p>
    <w:p>
      <w:pPr>
        <w:spacing w:after="200"/>
        <w:jc w:val="center"/>
      </w:pPr>
      <w:r>
        <w:rPr>
          <w:rFonts w:ascii="Consolas" w:hAnsi="Consolas"/>
          <w:color w:val="5C5C5C"/>
          <w:sz w:val="16"/>
        </w:rPr>
        <w:t>OPEN SOURCE INTELLIGENCE</w:t>
      </w:r>
    </w:p>
    <w:tbl>
      <w:tblPr>
        <w:tblW w:type="auto" w:w="0"/>
        <w:jc w:val="center"/>
        <w:tblLook w:firstColumn="1" w:firstRow="1" w:lastColumn="0" w:lastRow="0" w:noHBand="0" w:noVBand="1" w:val="04A0"/>
      </w:tblPr>
      <w:tblGrid>
        <w:gridCol w:w="1928"/>
        <w:gridCol w:w="7200"/>
      </w:tblGrid>
      <w:tr>
        <w:tc>
          <w:tcPr>
            <w:tcW w:type="dxa" w:w="4873"/>
            <w:tcBorders>
              <w:top w:val="single" w:sz="4" w:color="E0DACB"/>
              <w:left w:val="single" w:sz="4" w:color="E0DACB"/>
              <w:bottom w:val="single" w:sz="4" w:color="E0DACB"/>
              <w:right w:val="single" w:sz="4" w:color="E0DACB"/>
            </w:tcBorders>
            <w:shd w:val="clear" w:fill="F5F1E8"/>
          </w:tcPr>
          <w:p>
            <w:r>
              <w:rPr>
                <w:rFonts w:ascii="Calibri" w:hAnsi="Calibri"/>
                <w:b/>
                <w:color w:val="7A5A1E"/>
                <w:sz w:val="16"/>
              </w:rPr>
              <w:t>ISSUE</w:t>
            </w:r>
          </w:p>
        </w:tc>
        <w:tc>
          <w:tcPr>
            <w:tcW w:type="dxa" w:w="4873"/>
            <w:tcBorders>
              <w:top w:val="single" w:sz="4" w:color="E0DACB"/>
              <w:left w:val="single" w:sz="4" w:color="E0DACB"/>
              <w:bottom w:val="single" w:sz="4" w:color="E0DACB"/>
              <w:right w:val="single" w:sz="4" w:color="E0DACB"/>
            </w:tcBorders>
          </w:tcPr>
          <w:p>
            <w:r>
              <w:rPr>
                <w:rFonts w:ascii="Calibri" w:hAnsi="Calibri"/>
                <w:color w:val="142233"/>
                <w:sz w:val="19"/>
              </w:rPr>
              <w:t>ATB-2026-26</w:t>
            </w:r>
          </w:p>
        </w:tc>
      </w:tr>
      <w:tr>
        <w:tc>
          <w:tcPr>
            <w:tcW w:type="dxa" w:w="4873"/>
            <w:tcBorders>
              <w:top w:val="single" w:sz="4" w:color="E0DACB"/>
              <w:left w:val="single" w:sz="4" w:color="E0DACB"/>
              <w:bottom w:val="single" w:sz="4" w:color="E0DACB"/>
              <w:right w:val="single" w:sz="4" w:color="E0DACB"/>
            </w:tcBorders>
            <w:shd w:val="clear" w:fill="F5F1E8"/>
          </w:tcPr>
          <w:p>
            <w:r>
              <w:rPr>
                <w:rFonts w:ascii="Calibri" w:hAnsi="Calibri"/>
                <w:b/>
                <w:color w:val="7A5A1E"/>
                <w:sz w:val="16"/>
              </w:rPr>
              <w:t>COVERAGE PERIOD</w:t>
            </w:r>
          </w:p>
        </w:tc>
        <w:tc>
          <w:tcPr>
            <w:tcW w:type="dxa" w:w="4873"/>
            <w:tcBorders>
              <w:top w:val="single" w:sz="4" w:color="E0DACB"/>
              <w:left w:val="single" w:sz="4" w:color="E0DACB"/>
              <w:bottom w:val="single" w:sz="4" w:color="E0DACB"/>
              <w:right w:val="single" w:sz="4" w:color="E0DACB"/>
            </w:tcBorders>
          </w:tcPr>
          <w:p>
            <w:r>
              <w:rPr>
                <w:rFonts w:ascii="Calibri" w:hAnsi="Calibri"/>
                <w:color w:val="142233"/>
                <w:sz w:val="19"/>
              </w:rPr>
              <w:t>30 AUG–5 SEP 2026</w:t>
            </w:r>
          </w:p>
        </w:tc>
      </w:tr>
      <w:tr>
        <w:tc>
          <w:tcPr>
            <w:tcW w:type="dxa" w:w="4873"/>
            <w:tcBorders>
              <w:top w:val="single" w:sz="4" w:color="E0DACB"/>
              <w:left w:val="single" w:sz="4" w:color="E0DACB"/>
              <w:bottom w:val="single" w:sz="4" w:color="E0DACB"/>
              <w:right w:val="single" w:sz="4" w:color="E0DACB"/>
            </w:tcBorders>
            <w:shd w:val="clear" w:fill="F5F1E8"/>
          </w:tcPr>
          <w:p>
            <w:r>
              <w:rPr>
                <w:rFonts w:ascii="Calibri" w:hAnsi="Calibri"/>
                <w:b/>
                <w:color w:val="7A5A1E"/>
                <w:sz w:val="16"/>
              </w:rPr>
              <w:t>PUBLICATION DATE</w:t>
            </w:r>
          </w:p>
        </w:tc>
        <w:tc>
          <w:tcPr>
            <w:tcW w:type="dxa" w:w="4873"/>
            <w:tcBorders>
              <w:top w:val="single" w:sz="4" w:color="E0DACB"/>
              <w:left w:val="single" w:sz="4" w:color="E0DACB"/>
              <w:bottom w:val="single" w:sz="4" w:color="E0DACB"/>
              <w:right w:val="single" w:sz="4" w:color="E0DACB"/>
            </w:tcBorders>
          </w:tcPr>
          <w:p>
            <w:r>
              <w:rPr>
                <w:rFonts w:ascii="Calibri" w:hAnsi="Calibri"/>
                <w:color w:val="142233"/>
                <w:sz w:val="19"/>
              </w:rPr>
              <w:t>2026-09-06</w:t>
            </w:r>
          </w:p>
        </w:tc>
      </w:tr>
      <w:tr>
        <w:tc>
          <w:tcPr>
            <w:tcW w:type="dxa" w:w="4873"/>
            <w:tcBorders>
              <w:top w:val="single" w:sz="4" w:color="E0DACB"/>
              <w:left w:val="single" w:sz="4" w:color="E0DACB"/>
              <w:bottom w:val="single" w:sz="4" w:color="E0DACB"/>
              <w:right w:val="single" w:sz="4" w:color="E0DACB"/>
            </w:tcBorders>
            <w:shd w:val="clear" w:fill="F5F1E8"/>
          </w:tcPr>
          <w:p>
            <w:r>
              <w:rPr>
                <w:rFonts w:ascii="Calibri" w:hAnsi="Calibri"/>
                <w:b/>
                <w:color w:val="7A5A1E"/>
                <w:sz w:val="16"/>
              </w:rPr>
              <w:t>DOMINANT JUDGMENT</w:t>
            </w:r>
          </w:p>
        </w:tc>
        <w:tc>
          <w:tcPr>
            <w:tcW w:type="dxa" w:w="4873"/>
            <w:tcBorders>
              <w:top w:val="single" w:sz="4" w:color="E0DACB"/>
              <w:left w:val="single" w:sz="4" w:color="E0DACB"/>
              <w:bottom w:val="single" w:sz="4" w:color="E0DACB"/>
              <w:right w:val="single" w:sz="4" w:color="E0DACB"/>
            </w:tcBorders>
          </w:tcPr>
          <w:p>
            <w:r>
              <w:rPr>
                <w:rFonts w:ascii="Calibri" w:hAnsi="Calibri"/>
                <w:color w:val="142233"/>
                <w:sz w:val="19"/>
              </w:rPr>
              <w:t>WATER-SECTOR REMEDIATION LAUNCHES, IRAN WAR REFLARES</w:t>
            </w:r>
          </w:p>
        </w:tc>
      </w:tr>
    </w:tbl>
    <w:p>
      <w:pPr>
        <w:spacing w:after="80"/>
      </w:pPr>
    </w:p>
    <w:p>
      <w:pPr>
        <w:jc w:val="center"/>
      </w:pPr>
      <w:r>
        <w:rPr>
          <w:i/>
          <w:color w:val="5C5C5C"/>
          <w:sz w:val="20"/>
        </w:rPr>
        <w:t>Executive decision intelligence for Texas critical infrastructure.</w:t>
      </w:r>
    </w:p>
    <w:p>
      <w:pPr>
        <w:pBdr>
          <w:bottom w:val="single" w:sz="10" w:space="4" w:color="A67C2E"/>
        </w:pBdr>
        <w:spacing w:after="200"/>
      </w:pPr>
    </w:p>
    <w:p>
      <w:pPr>
        <w:spacing w:before="160" w:after="40"/>
      </w:pPr>
      <w:r>
        <w:rPr>
          <w:b/>
          <w:color w:val="7A5A1E"/>
          <w:sz w:val="20"/>
        </w:rPr>
        <w:t>Board Implications This Week — Ask</w:t>
      </w:r>
    </w:p>
    <w:p>
      <w:pPr>
        <w:spacing w:after="40"/>
      </w:pPr>
      <w:r>
        <w:rPr>
          <w:rFonts w:ascii="Georgia" w:hAnsi="Georgia"/>
          <w:b w:val="0"/>
          <w:i w:val="0"/>
          <w:color w:val="142233"/>
          <w:sz w:val="19"/>
        </w:rPr>
        <w:t>Do we know which water utility serves each of our critical facilities by name, and has that utility told us — in writing — whether it has internet-facing OT exposure or is participating in Project Watershed 250?</w:t>
      </w:r>
    </w:p>
    <w:p>
      <w:pPr>
        <w:spacing w:before="160" w:after="40"/>
      </w:pPr>
      <w:r>
        <w:rPr>
          <w:b/>
          <w:color w:val="7A5A1E"/>
          <w:sz w:val="20"/>
        </w:rPr>
        <w:t>Board Implications This Week — Direct</w:t>
      </w:r>
    </w:p>
    <w:p>
      <w:pPr>
        <w:spacing w:after="40"/>
      </w:pPr>
      <w:r>
        <w:rPr>
          <w:rFonts w:ascii="Georgia" w:hAnsi="Georgia"/>
          <w:b w:val="0"/>
          <w:i w:val="0"/>
          <w:color w:val="142233"/>
          <w:sz w:val="19"/>
        </w:rPr>
        <w:t>Direct facilities/continuity leadership to map water-supplier dependencies for every critical site this week, not as a future project.</w:t>
      </w:r>
    </w:p>
    <w:p>
      <w:pPr>
        <w:spacing w:before="160" w:after="40"/>
      </w:pPr>
      <w:r>
        <w:rPr>
          <w:b/>
          <w:color w:val="7A5A1E"/>
          <w:sz w:val="20"/>
        </w:rPr>
        <w:t>Board Implications This Week — Document</w:t>
      </w:r>
    </w:p>
    <w:p>
      <w:pPr>
        <w:spacing w:after="40"/>
      </w:pPr>
      <w:r>
        <w:rPr>
          <w:rFonts w:ascii="Georgia" w:hAnsi="Georgia"/>
          <w:b w:val="0"/>
          <w:i w:val="0"/>
          <w:color w:val="142233"/>
          <w:sz w:val="19"/>
        </w:rPr>
        <w:t>Record the water-dependency map and the date/owner of the supplier inquiry in board or risk-committee minutes — this is the artifact that proves the question was actually asked.</w:t>
      </w:r>
    </w:p>
    <w:p>
      <w:pPr>
        <w:spacing w:before="160" w:after="40"/>
      </w:pPr>
      <w:r>
        <w:rPr>
          <w:b/>
          <w:color w:val="7A5A1E"/>
          <w:sz w:val="20"/>
        </w:rPr>
        <w:t>Board Implications This Week — Rehearse</w:t>
      </w:r>
    </w:p>
    <w:p>
      <w:pPr>
        <w:spacing w:after="40"/>
      </w:pPr>
      <w:r>
        <w:rPr>
          <w:rFonts w:ascii="Georgia" w:hAnsi="Georgia"/>
          <w:b w:val="0"/>
          <w:i w:val="0"/>
          <w:color w:val="142233"/>
          <w:sz w:val="19"/>
        </w:rPr>
        <w:t>Add a named “loss of water pressure or service” scenario to the next continuity exercise, with a decision owner for manual-operation fallback identified in advance.</w:t>
      </w:r>
    </w:p>
    <w:p>
      <w:pPr>
        <w:spacing w:after="160"/>
      </w:pPr>
      <w:r>
        <w:rPr>
          <w:rFonts w:ascii="Georgia" w:hAnsi="Georgia"/>
          <w:b w:val="0"/>
          <w:i w:val="0"/>
          <w:color w:val="142233"/>
          <w:sz w:val="21"/>
        </w:rPr>
        <w:t>Section I</w:t>
      </w:r>
    </w:p>
    <w:p>
      <w:pPr>
        <w:spacing w:before="320" w:after="120"/>
        <w:pBdr>
          <w:bottom w:val="single" w:sz="6" w:space="4" w:color="A67C2E"/>
        </w:pBdr>
      </w:pPr>
      <w:r>
        <w:rPr>
          <w:rFonts w:ascii="Calibri" w:hAnsi="Calibri"/>
          <w:b/>
          <w:color w:val="7A5A1E"/>
          <w:sz w:val="27"/>
        </w:rPr>
        <w:t>Key Judgments</w:t>
      </w:r>
    </w:p>
    <w:p>
      <w:pPr>
        <w:spacing w:after="40" w:before="200"/>
      </w:pPr>
      <w:r>
        <w:rPr>
          <w:rFonts w:ascii="Calibri" w:hAnsi="Calibri"/>
          <w:b/>
          <w:color w:val="1F5C8C"/>
          <w:sz w:val="19"/>
        </w:rPr>
        <w:t xml:space="preserve">KJ-1  </w:t>
      </w:r>
      <w:r>
        <w:rPr>
          <w:rFonts w:ascii="Georgia" w:hAnsi="Georgia"/>
          <w:b w:val="0"/>
          <w:i w:val="0"/>
          <w:color w:val="142233"/>
          <w:sz w:val="21"/>
        </w:rPr>
        <w:br/>
        <w:t xml:space="preserve"> It is a </w:t>
      </w:r>
      <w:r>
        <w:rPr>
          <w:rFonts w:ascii="Georgia" w:hAnsi="Georgia"/>
          <w:b/>
          <w:i w:val="0"/>
          <w:color w:val="142233"/>
          <w:sz w:val="21"/>
        </w:rPr>
        <w:t>confirmed fact, at HIGH confidence,</w:t>
      </w:r>
      <w:r>
        <w:rPr>
          <w:rFonts w:ascii="Georgia" w:hAnsi="Georgia"/>
          <w:b w:val="0"/>
          <w:i w:val="0"/>
          <w:color w:val="142233"/>
          <w:sz w:val="21"/>
        </w:rPr>
        <w:t xml:space="preserve"> that Texas water-sector risk moved from warning to an organized mitigation </w:t>
      </w:r>
      <w:r>
        <w:rPr>
          <w:rFonts w:ascii="Georgia" w:hAnsi="Georgia"/>
          <w:b w:val="0"/>
          <w:i/>
          <w:color w:val="142233"/>
          <w:sz w:val="21"/>
        </w:rPr>
        <w:t>mechanism</w:t>
      </w:r>
      <w:r>
        <w:rPr>
          <w:rFonts w:ascii="Georgia" w:hAnsi="Georgia"/>
          <w:b w:val="0"/>
          <w:i w:val="0"/>
          <w:color w:val="142233"/>
          <w:sz w:val="21"/>
        </w:rPr>
        <w:t xml:space="preserve"> this week via the 31 August launch of Project Watershed 250. Liberty CTI is explicit that this confidence rating covers the launch only. </w:t>
      </w:r>
      <w:r>
        <w:rPr>
          <w:rFonts w:ascii="Consolas" w:hAnsi="Consolas"/>
          <w:b w:val="0"/>
          <w:i w:val="0"/>
          <w:color w:val="7A5A1E"/>
          <w:sz w:val="16"/>
        </w:rPr>
        <w:t>HIGH CONFIDENCE (LAUNCH)</w:t>
      </w:r>
      <w:r>
        <w:rPr>
          <w:rFonts w:ascii="Georgia" w:hAnsi="Georgia"/>
          <w:b w:val="0"/>
          <w:i w:val="0"/>
          <w:color w:val="142233"/>
          <w:sz w:val="21"/>
        </w:rPr>
        <w:t xml:space="preserve"> — </w:t>
      </w:r>
      <w:r>
        <w:rPr>
          <w:rFonts w:ascii="Consolas" w:hAnsi="Consolas"/>
          <w:b w:val="0"/>
          <w:i w:val="0"/>
          <w:color w:val="7A5A1E"/>
          <w:sz w:val="16"/>
        </w:rPr>
        <w:t>UNRATED (REMEDIATION PACE)</w:t>
      </w:r>
      <w:r>
        <w:br/>
      </w:r>
      <w:r>
        <w:br/>
      </w:r>
      <w:r>
        <w:br/>
      </w:r>
    </w:p>
    <w:p>
      <w:pPr>
        <w:spacing w:after="40"/>
        <w:ind w:left="283"/>
      </w:pPr>
      <w:r>
        <w:rPr>
          <w:i/>
          <w:color w:val="5C5C5C"/>
          <w:sz w:val="18"/>
        </w:rPr>
        <w:t>Source basis / uncertainty: Source basis: gov.texas.gov press release, 31 August 2026; Axios San Antonio, 2 September 2026; CyberScoop reporting on participating vendors. Primary uncertainty: remediation pace and reach across thousands of mostly small Texas water and wastewater operators are unknown and are not rated by this judgment.</w:t>
      </w:r>
    </w:p>
    <w:p>
      <w:pPr>
        <w:spacing w:after="120"/>
        <w:ind w:left="283"/>
      </w:pPr>
      <w:r>
        <w:rPr>
          <w:color w:val="7A5A1E"/>
          <w:sz w:val="19"/>
        </w:rPr>
        <w:t>Decision implication: Decision Implication: Do not treat the pilot’s launch as evidence that your own water supplier’s exposure has been resolved — confirm its status directly.</w:t>
      </w:r>
    </w:p>
    <w:p>
      <w:pPr>
        <w:spacing w:after="40" w:before="200"/>
      </w:pPr>
      <w:r>
        <w:rPr>
          <w:rFonts w:ascii="Calibri" w:hAnsi="Calibri"/>
          <w:b/>
          <w:color w:val="1F5C8C"/>
          <w:sz w:val="19"/>
        </w:rPr>
        <w:t xml:space="preserve">KJ-2  </w:t>
      </w:r>
      <w:r>
        <w:rPr>
          <w:rFonts w:ascii="Georgia" w:hAnsi="Georgia"/>
          <w:b w:val="0"/>
          <w:i w:val="0"/>
          <w:color w:val="142233"/>
          <w:sz w:val="21"/>
        </w:rPr>
        <w:br/>
        <w:t xml:space="preserve"> It is a </w:t>
      </w:r>
      <w:r>
        <w:rPr>
          <w:rFonts w:ascii="Georgia" w:hAnsi="Georgia"/>
          <w:b/>
          <w:i w:val="0"/>
          <w:color w:val="142233"/>
          <w:sz w:val="21"/>
        </w:rPr>
        <w:t>confirmed fact</w:t>
      </w:r>
      <w:r>
        <w:rPr>
          <w:rFonts w:ascii="Georgia" w:hAnsi="Georgia"/>
          <w:b w:val="0"/>
          <w:i w:val="0"/>
          <w:color w:val="142233"/>
          <w:sz w:val="21"/>
        </w:rPr>
        <w:t xml:space="preserve"> that direct combat between U.S. and Iranian forces resumed on 1 September 2026 after a nearly month-long pause: CENTCOM struck IRGC air-defense, radar, maritime, mine-laying, and communications targets; Iran fired ballistic missiles at a U.S. carrier and destroyer (evaded, per U.S. officials, with damage claims from Iran that remain unconfirmed); a Saudi tanker was struck with two Filipino crew killed; and on 4 September, Treasury designated Golden Global Bank and two Turkish subsidiaries under Executive Order 13902, while the U.S. and three allies moved to refer Iran to the UN Security Council for the first time in twenty years. </w:t>
      </w:r>
      <w:r>
        <w:rPr>
          <w:rFonts w:ascii="Consolas" w:hAnsi="Consolas"/>
          <w:b w:val="0"/>
          <w:i w:val="0"/>
          <w:color w:val="7A5A1E"/>
          <w:sz w:val="16"/>
        </w:rPr>
        <w:t>HIGH CONFIDENCE</w:t>
      </w:r>
      <w:r>
        <w:br/>
      </w:r>
      <w:r>
        <w:br/>
      </w:r>
      <w:r>
        <w:br/>
      </w:r>
    </w:p>
    <w:p>
      <w:pPr>
        <w:spacing w:after="40"/>
        <w:ind w:left="283"/>
      </w:pPr>
      <w:r>
        <w:rPr>
          <w:i/>
          <w:color w:val="5C5C5C"/>
          <w:sz w:val="18"/>
        </w:rPr>
        <w:t>Source basis / uncertainty: Source basis: centcom.mil, 1 September 2026; home.treasury.gov, 4 September 2026. Primary uncertainty: Iran’s claim of damage to the U.S. carrier/destroyer is unconfirmed by any independent source as of this issue.</w:t>
      </w:r>
    </w:p>
    <w:p>
      <w:pPr>
        <w:spacing w:after="120"/>
        <w:ind w:left="283"/>
      </w:pPr>
      <w:r>
        <w:rPr>
          <w:color w:val="7A5A1E"/>
          <w:sz w:val="19"/>
        </w:rPr>
        <w:t>Decision implication: Decision Implication: Treat this as an active war-risk period for Gulf-adjacent shipping, fuel costs, and Iran-linked cyber posture — not background noise to file away.</w:t>
      </w:r>
    </w:p>
    <w:p>
      <w:pPr>
        <w:spacing w:after="40" w:before="200"/>
      </w:pPr>
      <w:r>
        <w:rPr>
          <w:rFonts w:ascii="Calibri" w:hAnsi="Calibri"/>
          <w:b/>
          <w:color w:val="1F5C8C"/>
          <w:sz w:val="19"/>
        </w:rPr>
        <w:t xml:space="preserve">KJ-3  </w:t>
      </w:r>
      <w:r>
        <w:rPr>
          <w:rFonts w:ascii="Georgia" w:hAnsi="Georgia"/>
          <w:b w:val="0"/>
          <w:i w:val="0"/>
          <w:color w:val="142233"/>
          <w:sz w:val="21"/>
        </w:rPr>
        <w:br/>
        <w:t xml:space="preserve"> Liberty CTI assesses it is </w:t>
      </w:r>
      <w:r>
        <w:rPr>
          <w:rFonts w:ascii="Georgia" w:hAnsi="Georgia"/>
          <w:b/>
          <w:i w:val="0"/>
          <w:color w:val="142233"/>
          <w:sz w:val="21"/>
        </w:rPr>
        <w:t>likely (60–70%)</w:t>
      </w:r>
      <w:r>
        <w:rPr>
          <w:rFonts w:ascii="Georgia" w:hAnsi="Georgia"/>
          <w:b w:val="0"/>
          <w:i w:val="0"/>
          <w:color w:val="142233"/>
          <w:sz w:val="21"/>
        </w:rPr>
        <w:t xml:space="preserve"> that this reversal — from the diplomatic opening ATB-2026-25 described to direct combat between U.S. and Iranian forces within a single week — raises, rather than lowers, the near-term probability of Iran-linked cyber or OT-focused retaliation reaching U.S. critical infrastructure, including Texas energy, financial, and water-sector targets, over the next one to four weeks. </w:t>
      </w:r>
      <w:r>
        <w:rPr>
          <w:rFonts w:ascii="Consolas" w:hAnsi="Consolas"/>
          <w:b w:val="0"/>
          <w:i w:val="0"/>
          <w:color w:val="7A5A1E"/>
          <w:sz w:val="16"/>
        </w:rPr>
        <w:t>MODERATE CONFIDENCE</w:t>
      </w:r>
      <w:r>
        <w:br/>
      </w:r>
      <w:r>
        <w:br/>
      </w:r>
      <w:r>
        <w:br/>
      </w:r>
    </w:p>
    <w:p>
      <w:pPr>
        <w:spacing w:after="40"/>
        <w:ind w:left="283"/>
      </w:pPr>
      <w:r>
        <w:rPr>
          <w:i/>
          <w:color w:val="5C5C5C"/>
          <w:sz w:val="18"/>
        </w:rPr>
        <w:t>Source basis / uncertainty: Source basis: pattern analysis drawing on this week’s confirmed kinetic and sanctions escalation (KJ-2); not tied to any specific new cyber indicator. Primary uncertainty: no Iran-attributed intrusion against a Texas target has been identified as of this issue, and prior episodes of U.S.-Iran kinetic escalation have not always produced a corresponding near-term cyber campaign against U.S. targets.</w:t>
      </w:r>
    </w:p>
    <w:p>
      <w:pPr>
        <w:spacing w:after="120"/>
        <w:ind w:left="283"/>
      </w:pPr>
      <w:r>
        <w:rPr>
          <w:color w:val="7A5A1E"/>
          <w:sz w:val="19"/>
        </w:rPr>
        <w:t>Decision implication: Decision Implication: Treat any Iran-linked PLC or OT indicator discovered in the coming weeks as more significant than it would have been during the prior month’s relative lull, and re-run OFAC screening against the 4 September Golden Global Bank designation.</w:t>
      </w:r>
    </w:p>
    <w:p>
      <w:pPr>
        <w:spacing w:after="40" w:before="200"/>
      </w:pPr>
      <w:r>
        <w:rPr>
          <w:rFonts w:ascii="Calibri" w:hAnsi="Calibri"/>
          <w:b/>
          <w:color w:val="1F5C8C"/>
          <w:sz w:val="19"/>
        </w:rPr>
        <w:t xml:space="preserve">KJ-4  </w:t>
      </w:r>
      <w:r>
        <w:rPr>
          <w:rFonts w:ascii="Georgia" w:hAnsi="Georgia"/>
          <w:b w:val="0"/>
          <w:i w:val="0"/>
          <w:color w:val="142233"/>
          <w:sz w:val="21"/>
        </w:rPr>
        <w:br/>
        <w:t xml:space="preserve"> Liberty CTI assesses with </w:t>
      </w:r>
      <w:r>
        <w:rPr>
          <w:rFonts w:ascii="Georgia" w:hAnsi="Georgia"/>
          <w:b/>
          <w:i w:val="0"/>
          <w:color w:val="142233"/>
          <w:sz w:val="21"/>
        </w:rPr>
        <w:t>MODERATE confidence</w:t>
      </w:r>
      <w:r>
        <w:rPr>
          <w:rFonts w:ascii="Georgia" w:hAnsi="Georgia"/>
          <w:b w:val="0"/>
          <w:i w:val="0"/>
          <w:color w:val="142233"/>
          <w:sz w:val="21"/>
        </w:rPr>
        <w:t xml:space="preserve"> that Russia’s hybrid campaign in Europe remains relevant strategic context but does not currently establish a new cyber threat trajectory for Texas. </w:t>
      </w:r>
      <w:r>
        <w:rPr>
          <w:rFonts w:ascii="Consolas" w:hAnsi="Consolas"/>
          <w:b w:val="0"/>
          <w:i w:val="0"/>
          <w:color w:val="7A5A1E"/>
          <w:sz w:val="16"/>
        </w:rPr>
        <w:t>MODERATE CONFIDENCE</w:t>
      </w:r>
      <w:r>
        <w:br/>
      </w:r>
      <w:r>
        <w:br/>
      </w:r>
      <w:r>
        <w:br/>
      </w:r>
    </w:p>
    <w:p>
      <w:pPr>
        <w:spacing w:after="40"/>
        <w:ind w:left="283"/>
      </w:pPr>
      <w:r>
        <w:rPr>
          <w:i/>
          <w:color w:val="5C5C5C"/>
          <w:sz w:val="18"/>
        </w:rPr>
        <w:t>Source basis / uncertainty: Source basis: European government reporting on sustained sabotage, drone, disinformation, and cyber activity attributed to Russia. Primary uncertainty: whether Russia broadens the campaign’s geographic scope toward U.S. or Texas targets is unresolved.</w:t>
      </w:r>
    </w:p>
    <w:p>
      <w:pPr>
        <w:spacing w:after="120"/>
        <w:ind w:left="283"/>
      </w:pPr>
      <w:r>
        <w:rPr>
          <w:color w:val="7A5A1E"/>
          <w:sz w:val="19"/>
        </w:rPr>
        <w:t>Decision implication: Decision Implication: No new action required this week beyond standing edge/router hardening already in place; continue monitoring rather than escalating posture.</w:t>
      </w:r>
    </w:p>
    <w:p>
      <w:pPr>
        <w:spacing w:after="160"/>
      </w:pPr>
      <w:r>
        <w:rPr>
          <w:rFonts w:ascii="Georgia" w:hAnsi="Georgia"/>
          <w:b w:val="0"/>
          <w:i w:val="0"/>
          <w:color w:val="142233"/>
          <w:sz w:val="21"/>
        </w:rPr>
        <w:t>Section II</w:t>
      </w:r>
    </w:p>
    <w:p>
      <w:pPr>
        <w:spacing w:before="320" w:after="120"/>
        <w:pBdr>
          <w:bottom w:val="single" w:sz="6" w:space="4" w:color="A67C2E"/>
        </w:pBdr>
      </w:pPr>
      <w:r>
        <w:rPr>
          <w:rFonts w:ascii="Calibri" w:hAnsi="Calibri"/>
          <w:b/>
          <w:color w:val="7A5A1E"/>
          <w:sz w:val="27"/>
        </w:rPr>
        <w:t>What Changed This Week</w:t>
      </w:r>
    </w:p>
    <w:p>
      <w:pPr>
        <w:spacing w:before="200" w:after="120"/>
      </w:pPr>
      <w:r>
        <w:rPr>
          <w:rFonts w:ascii="Calibri" w:hAnsi="Calibri"/>
          <w:b/>
          <w:color w:val="142233"/>
          <w:sz w:val="23"/>
        </w:rPr>
        <w:t>Project Watershed 250 Launches, Anchored to a Live Threat Rather Than a Hypothetical One</w:t>
      </w:r>
    </w:p>
    <w:p>
      <w:pPr>
        <w:spacing w:after="160"/>
      </w:pPr>
      <w:r>
        <w:rPr>
          <w:rFonts w:ascii="Georgia" w:hAnsi="Georgia"/>
          <w:b w:val="0"/>
          <w:i w:val="0"/>
          <w:color w:val="142233"/>
          <w:sz w:val="21"/>
        </w:rPr>
        <w:t xml:space="preserve">Governor Abbott and National Cyber Director Sean Cairncross launched Project Watershed 250 on </w:t>
      </w:r>
      <w:r>
        <w:rPr>
          <w:rFonts w:ascii="Georgia" w:hAnsi="Georgia"/>
          <w:b/>
          <w:i w:val="0"/>
          <w:color w:val="142233"/>
          <w:sz w:val="21"/>
        </w:rPr>
        <w:t>31 August 2026</w:t>
      </w:r>
      <w:r>
        <w:rPr>
          <w:rFonts w:ascii="Georgia" w:hAnsi="Georgia"/>
          <w:b w:val="0"/>
          <w:i w:val="0"/>
          <w:color w:val="142233"/>
          <w:sz w:val="21"/>
        </w:rPr>
        <w:t xml:space="preserve"> at an event in San Antonio, describing a six-month pilot connecting Texas water and wastewater utilities with federal, state, and private-sector cyber defense resources at no cost. Texas Cyber Command, led by Vice Admiral (Ret.) TJ White, will coordinate implementation with EPA and CISA as federal partners; trade press (CyberScoop) identified twelve participating companies including Microsoft, Google Cloud, Amazon Web Services, Palo Alto Networks, Fortinet, Cloudflare, Zscaler, Forescout, Dragos, Parsons, Reflection AI, and Abnormal AI, providing red-teaming, vulnerability assessment, remediation, and AI-enabled cyber defense tools. Per contemporaneous reporting cited by Route Fifty and Hoodline, the White House stated the program had been in development since 2025 and was not launched specifically in response to the July attacks described below — a nuance Liberty CTI preserves rather than assuming a direct causal link, even as the timing convergence remains relevant to public and executive perception of the program.</w:t>
      </w:r>
    </w:p>
    <w:p>
      <w:pPr>
        <w:spacing w:before="200" w:after="120"/>
      </w:pPr>
      <w:r>
        <w:rPr>
          <w:rFonts w:ascii="Calibri" w:hAnsi="Calibri"/>
          <w:b/>
          <w:color w:val="142233"/>
          <w:sz w:val="23"/>
        </w:rPr>
        <w:t>The Threat the Pilot Responds To: A Documented, Unattributed Multi-State PLC Intrusion Campaign</w:t>
      </w:r>
    </w:p>
    <w:p>
      <w:pPr>
        <w:spacing w:after="160"/>
      </w:pPr>
      <w:r>
        <w:rPr>
          <w:rFonts w:ascii="Georgia" w:hAnsi="Georgia"/>
          <w:b w:val="0"/>
          <w:i w:val="0"/>
          <w:color w:val="142233"/>
          <w:sz w:val="21"/>
        </w:rPr>
        <w:t xml:space="preserve">On </w:t>
      </w:r>
      <w:r>
        <w:rPr>
          <w:rFonts w:ascii="Georgia" w:hAnsi="Georgia"/>
          <w:b/>
          <w:i w:val="0"/>
          <w:color w:val="142233"/>
          <w:sz w:val="21"/>
        </w:rPr>
        <w:t>30 July 2026</w:t>
      </w:r>
      <w:r>
        <w:rPr>
          <w:rFonts w:ascii="Georgia" w:hAnsi="Georgia"/>
          <w:b w:val="0"/>
          <w:i w:val="0"/>
          <w:color w:val="142233"/>
          <w:sz w:val="21"/>
        </w:rPr>
        <w:t xml:space="preserve">, CISA and the FBI issued a joint public service announcement (Alert I-073026-PSA) warning of a “significant escalation” in cyberattacks targeting internet-exposed programmable logic controllers in the Water and Wastewater Systems sector. Since 27 July, utilities in at least seven states — including a wave affecting more than 30 community water systems in Minnesota and additional systems in Michigan — reported unauthorized access to internet-facing Rockwell Automation, Siemens, and Schneider Electric equipment, in which actors changed default passwords and device IP addresses, causing loss of monitoring and control, boil-water notices, and sustained manual operations at some sites. </w:t>
      </w:r>
      <w:r>
        <w:rPr>
          <w:rFonts w:ascii="Georgia" w:hAnsi="Georgia"/>
          <w:b/>
          <w:i w:val="0"/>
          <w:color w:val="142233"/>
          <w:sz w:val="21"/>
        </w:rPr>
        <w:t>The PSA does not attribute this campaign to a specific actor.</w:t>
      </w:r>
      <w:r>
        <w:rPr>
          <w:rFonts w:ascii="Georgia" w:hAnsi="Georgia"/>
          <w:b w:val="0"/>
          <w:i w:val="0"/>
          <w:color w:val="142233"/>
          <w:sz w:val="21"/>
        </w:rPr>
        <w:t xml:space="preserve"> This is distinct from — though it echoes the same targeting pattern as — the previously established, Iran-affiliated PLC exploitation baseline documented in standing joint advisory AA26-097A (first published 7 April 2026, updated 22 July 2026), which does attribute activity to the IRGC-linked group CyberAv3ngers. Liberty CTI treats these as two related but analytically separate threads: a confirmed, attributed standing baseline, and a newer, unattributed campaign that is the direct proximate driver of this week’s Watershed 250 launch.</w:t>
      </w:r>
    </w:p>
    <w:p>
      <w:pPr>
        <w:spacing w:before="200" w:after="120"/>
      </w:pPr>
      <w:r>
        <w:rPr>
          <w:rFonts w:ascii="Calibri" w:hAnsi="Calibri"/>
          <w:b/>
          <w:color w:val="142233"/>
          <w:sz w:val="23"/>
        </w:rPr>
        <w:t>Direct U.S.-Iran Combat Resumes After Nearly a Month, Ending the Prior Diplomatic Signal</w:t>
      </w:r>
    </w:p>
    <w:p>
      <w:pPr>
        <w:spacing w:after="160"/>
      </w:pPr>
      <w:r>
        <w:rPr>
          <w:rFonts w:ascii="Georgia" w:hAnsi="Georgia"/>
          <w:b w:val="0"/>
          <w:i w:val="0"/>
          <w:color w:val="142233"/>
          <w:sz w:val="21"/>
        </w:rPr>
        <w:t xml:space="preserve">On </w:t>
      </w:r>
      <w:r>
        <w:rPr>
          <w:rFonts w:ascii="Georgia" w:hAnsi="Georgia"/>
          <w:b/>
          <w:i w:val="0"/>
          <w:color w:val="142233"/>
          <w:sz w:val="21"/>
        </w:rPr>
        <w:t>1 September 2026</w:t>
      </w:r>
      <w:r>
        <w:rPr>
          <w:rFonts w:ascii="Georgia" w:hAnsi="Georgia"/>
          <w:b w:val="0"/>
          <w:i w:val="0"/>
          <w:color w:val="142233"/>
          <w:sz w:val="21"/>
        </w:rPr>
        <w:t xml:space="preserve">, CENTCOM confirmed it had struck IRGC air-defense, radar, maritime, mine-laying, and communications targets in Iran, citing recent IRGC attacks on Gulf shipping and American forces — the first acknowledged U.S. strike wave since the roughly month-long pause ATB-2026-25 tracked. Iranian forces subsequently fired ballistic missiles at a U.S. aircraft carrier and a guided-missile destroyer; U.S. officials say the missiles were evaded with no personnel harmed, while Iran has publicly claimed damage that no independent source has confirmed as of this issue. A Saudi-flagged tanker was struck in the strait on 31 August, killing two Filipino crew members, and both sides disabled additional tankers through early September under a mutual “tanker for tanker” posture. On </w:t>
      </w:r>
      <w:r>
        <w:rPr>
          <w:rFonts w:ascii="Georgia" w:hAnsi="Georgia"/>
          <w:b/>
          <w:i w:val="0"/>
          <w:color w:val="142233"/>
          <w:sz w:val="21"/>
        </w:rPr>
        <w:t>4 September</w:t>
      </w:r>
      <w:r>
        <w:rPr>
          <w:rFonts w:ascii="Georgia" w:hAnsi="Georgia"/>
          <w:b w:val="0"/>
          <w:i w:val="0"/>
          <w:color w:val="142233"/>
          <w:sz w:val="21"/>
        </w:rPr>
        <w:t>, Treasury designated Golden Global Bank and two Turkish subsidiaries under Executive Order 13902 for allegedly facilitating IRGC-Qods Force transactions, and the United States, United Kingdom, France, and Germany drafted an IAEA Board resolution to refer Iran to the UN Security Council for the first time in twenty years, with a vote expected the week of 7–11 September. Liberty CTI identified no Iran-linked cyber campaign, TTP shift, or targeting change against Texas or comparable U.S. infrastructure in the days since — a negative but decision-relevant finding, addressed at KJ-3.</w:t>
      </w:r>
    </w:p>
    <w:p>
      <w:pPr>
        <w:spacing w:before="200" w:after="120"/>
      </w:pPr>
      <w:r>
        <w:rPr>
          <w:rFonts w:ascii="Calibri" w:hAnsi="Calibri"/>
          <w:b/>
          <w:color w:val="142233"/>
          <w:sz w:val="23"/>
        </w:rPr>
        <w:t>Russia’s European Hybrid Campaign Continues; No New Texas-Facing Trajectory Established</w:t>
      </w:r>
    </w:p>
    <w:p>
      <w:pPr>
        <w:spacing w:after="160"/>
      </w:pPr>
      <w:r>
        <w:rPr>
          <w:rFonts w:ascii="Georgia" w:hAnsi="Georgia"/>
          <w:b w:val="0"/>
          <w:i w:val="0"/>
          <w:color w:val="142233"/>
          <w:sz w:val="21"/>
        </w:rPr>
        <w:t>European governments continue to describe an active Russian campaign combining sabotage, drone incursions, disinformation, and cyber operations below the threshold of open conflict. This reinforces Liberty CTI’s standing Russia baseline — persistent access to Western edge and communications infrastructure, demonstrated destructive capability against European energy systems — but this week’s reporting does not indicate broadened Russian targeting of U.S. or Texas infrastructure.</w:t>
      </w:r>
    </w:p>
    <w:p>
      <w:pPr>
        <w:spacing w:before="200" w:after="120"/>
      </w:pPr>
      <w:r>
        <w:rPr>
          <w:rFonts w:ascii="Calibri" w:hAnsi="Calibri"/>
          <w:b/>
          <w:color w:val="142233"/>
          <w:sz w:val="23"/>
        </w:rPr>
        <w:t>China’s QTFY Disclosure Remains Standing Context</w:t>
      </w:r>
    </w:p>
    <w:p>
      <w:pPr>
        <w:spacing w:after="160"/>
      </w:pPr>
      <w:r>
        <w:rPr>
          <w:rFonts w:ascii="Georgia" w:hAnsi="Georgia"/>
          <w:b w:val="0"/>
          <w:i w:val="0"/>
          <w:color w:val="142233"/>
          <w:sz w:val="21"/>
        </w:rPr>
        <w:t>The 26 August DOJ/FBI/NSA disclosure of the QTFY access-broker network, ATB-2026-25’s centerpiece, falls outside this week’s coverage window and is carried forward as background only. No Texas victim has been publicly named as of this issue.</w:t>
      </w:r>
    </w:p>
    <w:p>
      <w:pPr>
        <w:spacing w:after="160"/>
      </w:pPr>
      <w:r>
        <w:rPr>
          <w:rFonts w:ascii="Georgia" w:hAnsi="Georgia"/>
          <w:b w:val="0"/>
          <w:i w:val="0"/>
          <w:color w:val="142233"/>
          <w:sz w:val="21"/>
        </w:rPr>
        <w:t>Section III</w:t>
      </w:r>
    </w:p>
    <w:p>
      <w:pPr>
        <w:spacing w:before="320" w:after="120"/>
        <w:pBdr>
          <w:bottom w:val="single" w:sz="6" w:space="4" w:color="A67C2E"/>
        </w:pBdr>
      </w:pPr>
      <w:r>
        <w:rPr>
          <w:rFonts w:ascii="Calibri" w:hAnsi="Calibri"/>
          <w:b/>
          <w:color w:val="7A5A1E"/>
          <w:sz w:val="27"/>
        </w:rPr>
        <w:t>Geopolitical Driver</w:t>
      </w:r>
    </w:p>
    <w:p>
      <w:pPr>
        <w:spacing w:after="160"/>
      </w:pPr>
      <w:r>
        <w:rPr>
          <w:rFonts w:ascii="Georgia" w:hAnsi="Georgia"/>
          <w:b w:val="0"/>
          <w:i w:val="0"/>
          <w:color w:val="142233"/>
          <w:sz w:val="21"/>
        </w:rPr>
        <w:t>The renewed U.S.-Iran confrontation around the Strait of Hormuz is this week’s clearest geopolitical trigger — not because it produced new cyber activity, but because it raises the warning value of any indicator that follows. Any Iran-linked PLC reconnaissance, hack-and-leak operation, DDoS campaign, or targeting of U.S. energy, water, maritime, or municipal entities discovered in the coming weeks should be read as more significant than it would have been during the prior month’s relative lull. The IAEA Board vote on referring Iran to the UN Security Council, expected the week of 7–11 September, is the next event most likely to move that needle further. Russia’s hybrid campaign in Europe demonstrates continued willingness to operate below the threshold of open conflict, sustaining rather than escalating existing risk to Western infrastructure. Neither driver, on this week’s evidence, has yet translated into changed adversary cyber behavior against Texas.</w:t>
      </w:r>
    </w:p>
    <w:p>
      <w:pPr>
        <w:spacing w:after="160"/>
      </w:pPr>
      <w:r>
        <w:rPr>
          <w:rFonts w:ascii="Georgia" w:hAnsi="Georgia"/>
          <w:b w:val="0"/>
          <w:i w:val="0"/>
          <w:color w:val="142233"/>
          <w:sz w:val="21"/>
        </w:rPr>
        <w:t>Section IV</w:t>
      </w:r>
    </w:p>
    <w:p>
      <w:pPr>
        <w:spacing w:before="320" w:after="120"/>
        <w:pBdr>
          <w:bottom w:val="single" w:sz="6" w:space="4" w:color="A67C2E"/>
        </w:pBdr>
      </w:pPr>
      <w:r>
        <w:rPr>
          <w:rFonts w:ascii="Calibri" w:hAnsi="Calibri"/>
          <w:b/>
          <w:color w:val="7A5A1E"/>
          <w:sz w:val="27"/>
        </w:rPr>
        <w:t>Why This Matters to Texas</w:t>
      </w:r>
    </w:p>
    <w:p>
      <w:pPr>
        <w:spacing w:after="160"/>
      </w:pPr>
      <w:r>
        <w:rPr>
          <w:rFonts w:ascii="Georgia" w:hAnsi="Georgia"/>
          <w:b w:val="0"/>
          <w:i w:val="0"/>
          <w:color w:val="142233"/>
          <w:sz w:val="21"/>
        </w:rPr>
        <w:t>Water is the least-monitored dependency in Texas critical infrastructure relative to its downstream consequence. Executives who track their power supplier’s cyber posture closely often cannot name their water supplier’s. Project Watershed 250 addresses that gap at the state-and-pilot level; it does not, by itself, tell any individual organization whether its own water dependency is covered. That gap is this week’s decision-relevant fact for every Texas sector, not just the water utilities themselves.</w:t>
      </w:r>
    </w:p>
    <w:p>
      <w:pPr>
        <w:spacing w:before="320" w:after="120"/>
        <w:pBdr>
          <w:bottom w:val="single" w:sz="6" w:space="4" w:color="A67C2E"/>
        </w:pBdr>
      </w:pPr>
      <w:r>
        <w:rPr>
          <w:rFonts w:ascii="Calibri" w:hAnsi="Calibri"/>
          <w:b/>
          <w:color w:val="7A5A1E"/>
          <w:sz w:val="27"/>
        </w:rPr>
        <w:t>Cross-Sector Cascade Assessment</w:t>
      </w:r>
    </w:p>
    <w:tbl>
      <w:tblPr>
        <w:tblW w:type="auto" w:w="0"/>
        <w:jc w:val="center"/>
        <w:tblLook w:firstColumn="1" w:firstRow="1" w:lastColumn="0" w:lastRow="0" w:noHBand="0" w:noVBand="1" w:val="04A0"/>
      </w:tblPr>
      <w:tblGrid>
        <w:gridCol w:w="1814"/>
        <w:gridCol w:w="7370"/>
      </w:tblGrid>
      <w:tr>
        <w:tc>
          <w:tcPr>
            <w:tcW w:type="dxa" w:w="4873"/>
            <w:shd w:val="clear" w:fill="EAF0F6"/>
            <w:tcBorders>
              <w:top w:val="single" w:sz="4" w:color="CCCCCC"/>
              <w:left w:val="single" w:sz="4" w:color="CCCCCC"/>
              <w:bottom w:val="single" w:sz="4" w:color="CCCCCC"/>
              <w:right w:val="single" w:sz="4" w:color="CCCCCC"/>
            </w:tcBorders>
          </w:tcPr>
          <w:p>
            <w:r>
              <w:rPr>
                <w:rFonts w:ascii="Calibri" w:hAnsi="Calibri"/>
                <w:b/>
                <w:color w:val="1F5C8C"/>
                <w:sz w:val="18"/>
              </w:rPr>
              <w:t>Energy Cooling Water / Generation Dependency</w:t>
            </w:r>
          </w:p>
        </w:tc>
        <w:tc>
          <w:tcPr>
            <w:tcW w:type="dxa" w:w="4873"/>
            <w:tcBorders>
              <w:top w:val="single" w:sz="4" w:color="CCCCCC"/>
              <w:left w:val="single" w:sz="4" w:color="CCCCCC"/>
              <w:bottom w:val="single" w:sz="4" w:color="CCCCCC"/>
              <w:right w:val="single" w:sz="4" w:color="CCCCCC"/>
            </w:tcBorders>
          </w:tcPr>
          <w:p>
            <w:r>
              <w:br/>
            </w:r>
            <w:r>
              <w:rPr>
                <w:rFonts w:ascii="Georgia" w:hAnsi="Georgia"/>
                <w:b/>
                <w:i w:val="0"/>
                <w:color w:val="142233"/>
                <w:sz w:val="19"/>
              </w:rPr>
              <w:t>What changed:</w:t>
            </w:r>
            <w:r>
              <w:rPr>
                <w:rFonts w:ascii="Georgia" w:hAnsi="Georgia"/>
                <w:b w:val="0"/>
                <w:i w:val="0"/>
                <w:color w:val="142233"/>
                <w:sz w:val="19"/>
              </w:rPr>
              <w:t xml:space="preserve"> Project Watershed 250 launched to remediate water-sector OT exposure documented since late July; no new energy-specific cyber development occurred this week. </w:t>
            </w:r>
            <w:r>
              <w:rPr>
                <w:rFonts w:ascii="Georgia" w:hAnsi="Georgia"/>
                <w:b/>
                <w:i w:val="0"/>
                <w:color w:val="142233"/>
                <w:sz w:val="19"/>
              </w:rPr>
              <w:t>Why it matters locally:</w:t>
            </w:r>
            <w:r>
              <w:rPr>
                <w:rFonts w:ascii="Georgia" w:hAnsi="Georgia"/>
                <w:b w:val="0"/>
                <w:i w:val="0"/>
                <w:color w:val="142233"/>
                <w:sz w:val="19"/>
              </w:rPr>
              <w:t xml:space="preserve"> Power generation and grid operations depend on water for cooling and process functions, making a degraded water utility a potential single point of failure upstream of energy reliability — not merely a municipal-services problem. </w:t>
            </w:r>
            <w:r>
              <w:rPr>
                <w:rFonts w:ascii="Georgia" w:hAnsi="Georgia"/>
                <w:b/>
                <w:i w:val="0"/>
                <w:color w:val="142233"/>
                <w:sz w:val="19"/>
              </w:rPr>
              <w:t>Cascade risk:</w:t>
            </w:r>
            <w:r>
              <w:rPr>
                <w:rFonts w:ascii="Georgia" w:hAnsi="Georgia"/>
                <w:b w:val="0"/>
                <w:i w:val="0"/>
                <w:color w:val="142233"/>
                <w:sz w:val="19"/>
              </w:rPr>
              <w:t xml:space="preserve"> Energy-sector operators should confirm which water utilities their generation and transmission assets depend on and whether those utilities have unresolved internet-facing OT exposure or are enrolled in Watershed 250.</w:t>
              <w:br/>
              <w:t xml:space="preserve"> </w:t>
            </w:r>
          </w:p>
        </w:tc>
      </w:tr>
      <w:tr>
        <w:tc>
          <w:tcPr>
            <w:tcW w:type="dxa" w:w="4873"/>
            <w:shd w:val="clear" w:fill="EAF0F6"/>
            <w:tcBorders>
              <w:top w:val="single" w:sz="4" w:color="CCCCCC"/>
              <w:left w:val="single" w:sz="4" w:color="CCCCCC"/>
              <w:bottom w:val="single" w:sz="4" w:color="CCCCCC"/>
              <w:right w:val="single" w:sz="4" w:color="CCCCCC"/>
            </w:tcBorders>
          </w:tcPr>
          <w:p>
            <w:r>
              <w:rPr>
                <w:rFonts w:ascii="Calibri" w:hAnsi="Calibri"/>
                <w:b/>
                <w:color w:val="1F5C8C"/>
                <w:sz w:val="18"/>
              </w:rPr>
              <w:t>Financial Steady-State Sanctions Discipline</w:t>
            </w:r>
          </w:p>
        </w:tc>
        <w:tc>
          <w:tcPr>
            <w:tcW w:type="dxa" w:w="4873"/>
            <w:tcBorders>
              <w:top w:val="single" w:sz="4" w:color="CCCCCC"/>
              <w:left w:val="single" w:sz="4" w:color="CCCCCC"/>
              <w:bottom w:val="single" w:sz="4" w:color="CCCCCC"/>
              <w:right w:val="single" w:sz="4" w:color="CCCCCC"/>
            </w:tcBorders>
          </w:tcPr>
          <w:p>
            <w:r>
              <w:br/>
            </w:r>
            <w:r>
              <w:rPr>
                <w:rFonts w:ascii="Georgia" w:hAnsi="Georgia"/>
                <w:b/>
                <w:i w:val="0"/>
                <w:color w:val="142233"/>
                <w:sz w:val="19"/>
              </w:rPr>
              <w:t>What changed:</w:t>
            </w:r>
            <w:r>
              <w:rPr>
                <w:rFonts w:ascii="Georgia" w:hAnsi="Georgia"/>
                <w:b w:val="0"/>
                <w:i w:val="0"/>
                <w:color w:val="142233"/>
                <w:sz w:val="19"/>
              </w:rPr>
              <w:t xml:space="preserve"> Treasury designated Golden Global Bank and two Turkish subsidiaries under Executive Order 13902 on 4 September for allegedly facilitating IRGC-Qods Force transactions, amid the broader Iran war reflare (KJ-2). </w:t>
            </w:r>
            <w:r>
              <w:rPr>
                <w:rFonts w:ascii="Georgia" w:hAnsi="Georgia"/>
                <w:b/>
                <w:i w:val="0"/>
                <w:color w:val="142233"/>
                <w:sz w:val="19"/>
              </w:rPr>
              <w:t>Why it matters locally:</w:t>
            </w:r>
            <w:r>
              <w:rPr>
                <w:rFonts w:ascii="Georgia" w:hAnsi="Georgia"/>
                <w:b w:val="0"/>
                <w:i w:val="0"/>
                <w:color w:val="142233"/>
                <w:sz w:val="19"/>
              </w:rPr>
              <w:t xml:space="preserve"> Texas financial institutions and energy financiers with any Turkish, Gulf, or Iran-adjacent correspondent relationship now face a faster-moving sanctions environment than a month ago. </w:t>
            </w:r>
            <w:r>
              <w:rPr>
                <w:rFonts w:ascii="Georgia" w:hAnsi="Georgia"/>
                <w:b/>
                <w:i w:val="0"/>
                <w:color w:val="142233"/>
                <w:sz w:val="19"/>
              </w:rPr>
              <w:t>Cascade risk:</w:t>
            </w:r>
            <w:r>
              <w:rPr>
                <w:rFonts w:ascii="Georgia" w:hAnsi="Georgia"/>
                <w:b w:val="0"/>
                <w:i w:val="0"/>
                <w:color w:val="142233"/>
                <w:sz w:val="19"/>
              </w:rPr>
              <w:t xml:space="preserve"> Confirm OFAC screening is current against the 4 September designation this week; treat KJ-3’s rising retaliation-risk judgment as reason to keep this current rather than deferring to the next board cycle.</w:t>
              <w:br/>
              <w:t xml:space="preserve"> </w:t>
            </w:r>
          </w:p>
        </w:tc>
      </w:tr>
      <w:tr>
        <w:tc>
          <w:tcPr>
            <w:tcW w:type="dxa" w:w="4873"/>
            <w:shd w:val="clear" w:fill="EAF0F6"/>
            <w:tcBorders>
              <w:top w:val="single" w:sz="4" w:color="CCCCCC"/>
              <w:left w:val="single" w:sz="4" w:color="CCCCCC"/>
              <w:bottom w:val="single" w:sz="4" w:color="CCCCCC"/>
              <w:right w:val="single" w:sz="4" w:color="CCCCCC"/>
            </w:tcBorders>
          </w:tcPr>
          <w:p>
            <w:r>
              <w:rPr>
                <w:rFonts w:ascii="Calibri" w:hAnsi="Calibri"/>
                <w:b/>
                <w:color w:val="1F5C8C"/>
                <w:sz w:val="18"/>
              </w:rPr>
              <w:t>Healthcare / DIB / AI Water-Dependent, Water-Blind Facilities</w:t>
            </w:r>
          </w:p>
        </w:tc>
        <w:tc>
          <w:tcPr>
            <w:tcW w:type="dxa" w:w="4873"/>
            <w:tcBorders>
              <w:top w:val="single" w:sz="4" w:color="CCCCCC"/>
              <w:left w:val="single" w:sz="4" w:color="CCCCCC"/>
              <w:bottom w:val="single" w:sz="4" w:color="CCCCCC"/>
              <w:right w:val="single" w:sz="4" w:color="CCCCCC"/>
            </w:tcBorders>
          </w:tcPr>
          <w:p>
            <w:r>
              <w:br/>
            </w:r>
            <w:r>
              <w:rPr>
                <w:rFonts w:ascii="Georgia" w:hAnsi="Georgia"/>
                <w:b/>
                <w:i w:val="0"/>
                <w:color w:val="142233"/>
                <w:sz w:val="19"/>
              </w:rPr>
              <w:t>What changed:</w:t>
            </w:r>
            <w:r>
              <w:rPr>
                <w:rFonts w:ascii="Georgia" w:hAnsi="Georgia"/>
                <w:b w:val="0"/>
                <w:i w:val="0"/>
                <w:color w:val="142233"/>
                <w:sz w:val="19"/>
              </w:rPr>
              <w:t xml:space="preserve"> Project Watershed 250 launched in direct response to a documented water-OT threat; no Watershed 250 participant list specific to individual utilities has been published as of this issue. </w:t>
            </w:r>
            <w:r>
              <w:rPr>
                <w:rFonts w:ascii="Georgia" w:hAnsi="Georgia"/>
                <w:b/>
                <w:i w:val="0"/>
                <w:color w:val="142233"/>
                <w:sz w:val="19"/>
              </w:rPr>
              <w:t>Why it matters locally:</w:t>
            </w:r>
            <w:r>
              <w:rPr>
                <w:rFonts w:ascii="Georgia" w:hAnsi="Georgia"/>
                <w:b w:val="0"/>
                <w:i w:val="0"/>
                <w:color w:val="142233"/>
                <w:sz w:val="19"/>
              </w:rPr>
              <w:t xml:space="preserve"> Hospitals, defense installations, and AI data centers are all water-dependent for treatment, cooling, and life-safety functions, and few track their water supplier’s cyber posture the way they track their power supplier’s. Texas’s concentration of AI data centers — already under separate regulatory and grid-capacity scrutiny following the Texas AG’s AI data-center plan and ERCOT’s large-load interconnection review flagged in ATB-2026-25 — adds a resource-competition dimension: cooling-water demand and cyber exposure are converging risk factors for the same facilities. </w:t>
            </w:r>
            <w:r>
              <w:rPr>
                <w:rFonts w:ascii="Georgia" w:hAnsi="Georgia"/>
                <w:b/>
                <w:i w:val="0"/>
                <w:color w:val="142233"/>
                <w:sz w:val="19"/>
              </w:rPr>
              <w:t>Cascade risk:</w:t>
            </w:r>
            <w:r>
              <w:rPr>
                <w:rFonts w:ascii="Georgia" w:hAnsi="Georgia"/>
                <w:b w:val="0"/>
                <w:i w:val="0"/>
                <w:color w:val="142233"/>
                <w:sz w:val="19"/>
              </w:rPr>
              <w:t xml:space="preserve"> A sustained water-service disruption at a facility supporting a hospital, defense contractor, or large data center is a direct operational continuity risk, not a secondary one.</w:t>
              <w:br/>
              <w:t xml:space="preserve"> </w:t>
            </w:r>
          </w:p>
        </w:tc>
      </w:tr>
    </w:tbl>
    <w:p>
      <w:pPr>
        <w:spacing w:after="120"/>
      </w:pPr>
    </w:p>
    <w:p>
      <w:pPr>
        <w:spacing w:after="160"/>
      </w:pPr>
      <w:r>
        <w:rPr>
          <w:rFonts w:ascii="Georgia" w:hAnsi="Georgia"/>
          <w:b w:val="0"/>
          <w:i w:val="0"/>
          <w:color w:val="142233"/>
          <w:sz w:val="21"/>
        </w:rPr>
        <w:t>Section V</w:t>
      </w:r>
    </w:p>
    <w:p>
      <w:pPr>
        <w:spacing w:before="320" w:after="120"/>
        <w:pBdr>
          <w:bottom w:val="single" w:sz="6" w:space="4" w:color="A67C2E"/>
        </w:pBdr>
      </w:pPr>
      <w:r>
        <w:rPr>
          <w:rFonts w:ascii="Calibri" w:hAnsi="Calibri"/>
          <w:b/>
          <w:color w:val="7A5A1E"/>
          <w:sz w:val="27"/>
        </w:rPr>
        <w:t>Indicators &amp; Warnings — PIR Watch, 1 to 4 Weeks</w:t>
      </w:r>
    </w:p>
    <w:p>
      <w:pPr>
        <w:spacing w:before="160" w:after="40"/>
      </w:pPr>
      <w:r>
        <w:rPr>
          <w:b/>
          <w:color w:val="1F5C8C"/>
          <w:sz w:val="18"/>
        </w:rPr>
        <w:t xml:space="preserve">PIR 5 / I&amp;W 1  </w:t>
      </w:r>
      <w:r>
        <w:rPr>
          <w:b/>
          <w:color w:val="142233"/>
          <w:sz w:val="20"/>
        </w:rPr>
        <w:t>Confirmed actor attribution for the July water-PLC campaign</w:t>
      </w:r>
      <w:r>
        <w:rPr>
          <w:i/>
          <w:color w:val="7A5A1E"/>
          <w:sz w:val="18"/>
        </w:rPr>
        <w:t xml:space="preserve">   [→ Unclear]</w:t>
      </w:r>
    </w:p>
    <w:p>
      <w:pPr>
        <w:spacing w:after="40"/>
        <w:ind w:left="283"/>
      </w:pPr>
      <w:r>
        <w:rPr>
          <w:color w:val="142233"/>
          <w:sz w:val="19"/>
        </w:rPr>
        <w:t>→ Watch for FBI, EPA, or CISA to name an actor for the 27 July–onward campaign; the current PSA remains unattributed, separate from the standing Iran-affiliated AA26-097A baseline.</w:t>
      </w:r>
    </w:p>
    <w:p>
      <w:pPr>
        <w:spacing w:after="40"/>
        <w:ind w:left="283"/>
      </w:pPr>
      <w:r>
        <w:rPr>
          <w:color w:val="142233"/>
          <w:sz w:val="19"/>
        </w:rPr>
        <w:t>→ Tied to: PIR 5, strategic vulnerability exposure indicators.</w:t>
      </w:r>
    </w:p>
    <w:p>
      <w:pPr>
        <w:spacing w:before="160" w:after="40"/>
      </w:pPr>
      <w:r>
        <w:rPr>
          <w:b/>
          <w:color w:val="1F5C8C"/>
          <w:sz w:val="18"/>
        </w:rPr>
        <w:t xml:space="preserve">PIR 1 / I&amp;W 2  </w:t>
      </w:r>
      <w:r>
        <w:rPr>
          <w:b/>
          <w:color w:val="142233"/>
          <w:sz w:val="20"/>
        </w:rPr>
        <w:t>Iran-linked PLC reconnaissance or intrusion against U.S. energy, water, or maritime systems</w:t>
      </w:r>
      <w:r>
        <w:rPr>
          <w:i/>
          <w:color w:val="7A5A1E"/>
          <w:sz w:val="18"/>
        </w:rPr>
        <w:t xml:space="preserve">   [↑ Rising]</w:t>
      </w:r>
    </w:p>
    <w:p>
      <w:pPr>
        <w:spacing w:after="40"/>
        <w:ind w:left="283"/>
      </w:pPr>
      <w:r>
        <w:rPr>
          <w:color w:val="142233"/>
          <w:sz w:val="19"/>
        </w:rPr>
        <w:t>→ Watch especially for any indicator temporally tied to the renewed Hormuz strikes or the IAEA Board vote — this is the specific outcome KJ-3 anticipates but has not yet confirmed.</w:t>
      </w:r>
    </w:p>
    <w:p>
      <w:pPr>
        <w:spacing w:after="40"/>
        <w:ind w:left="283"/>
      </w:pPr>
      <w:r>
        <w:rPr>
          <w:color w:val="142233"/>
          <w:sz w:val="19"/>
        </w:rPr>
        <w:t>→ Tied to: PIR 1, adversary intent and targeting indicators.</w:t>
      </w:r>
    </w:p>
    <w:p>
      <w:pPr>
        <w:spacing w:before="160" w:after="40"/>
      </w:pPr>
      <w:r>
        <w:rPr>
          <w:b/>
          <w:color w:val="1F5C8C"/>
          <w:sz w:val="18"/>
        </w:rPr>
        <w:t xml:space="preserve">PIR 6 / I&amp;W 3  </w:t>
      </w:r>
      <w:r>
        <w:rPr>
          <w:b/>
          <w:color w:val="142233"/>
          <w:sz w:val="20"/>
        </w:rPr>
        <w:t>Public identification of specific Texas utilities in the Watershed 250 pilot, or a first remediation milestone</w:t>
      </w:r>
      <w:r>
        <w:rPr>
          <w:i/>
          <w:color w:val="7A5A1E"/>
          <w:sz w:val="18"/>
        </w:rPr>
        <w:t xml:space="preserve">   [→ Unclear]</w:t>
      </w:r>
    </w:p>
    <w:p>
      <w:pPr>
        <w:spacing w:after="40"/>
        <w:ind w:left="283"/>
      </w:pPr>
      <w:r>
        <w:rPr>
          <w:color w:val="142233"/>
          <w:sz w:val="19"/>
        </w:rPr>
        <w:t>→ Watch for Texas Cyber Command or ONCD to name participating utilities or report an initial vulnerability-reduction figure, which would allow Liberty CTI to move KJ-1’s remediation-pace question from unrated to an actual assessment.</w:t>
      </w:r>
    </w:p>
    <w:p>
      <w:pPr>
        <w:spacing w:after="40"/>
        <w:ind w:left="283"/>
      </w:pPr>
      <w:r>
        <w:rPr>
          <w:color w:val="142233"/>
          <w:sz w:val="19"/>
        </w:rPr>
        <w:t>→ Tied to: PIR 6, executive decision-relevant warning indicators.</w:t>
      </w:r>
    </w:p>
    <w:p>
      <w:pPr>
        <w:spacing w:before="160" w:after="40"/>
      </w:pPr>
      <w:r>
        <w:rPr>
          <w:b/>
          <w:color w:val="1F5C8C"/>
          <w:sz w:val="18"/>
        </w:rPr>
        <w:t xml:space="preserve">PIR 1 / I&amp;W 4  </w:t>
      </w:r>
      <w:r>
        <w:rPr>
          <w:b/>
          <w:color w:val="142233"/>
          <w:sz w:val="20"/>
        </w:rPr>
        <w:t>New GRU-linked reconnaissance or edge/router compromise affecting U.S. energy, telecom, or defense-industrial targets</w:t>
      </w:r>
      <w:r>
        <w:rPr>
          <w:i/>
          <w:color w:val="7A5A1E"/>
          <w:sz w:val="18"/>
        </w:rPr>
        <w:t xml:space="preserve">   [→ Sustained]</w:t>
      </w:r>
    </w:p>
    <w:p>
      <w:pPr>
        <w:spacing w:after="40"/>
        <w:ind w:left="283"/>
      </w:pPr>
      <w:r>
        <w:rPr>
          <w:color w:val="142233"/>
          <w:sz w:val="19"/>
        </w:rPr>
        <w:t>→ Watch for any broadening of Russia’s European hybrid campaign toward U.S. infrastructure, which would move KJ-3 from moderate confidence toward an active Texas-facing concern.</w:t>
      </w:r>
    </w:p>
    <w:p>
      <w:pPr>
        <w:spacing w:after="40"/>
        <w:ind w:left="283"/>
      </w:pPr>
      <w:r>
        <w:rPr>
          <w:color w:val="142233"/>
          <w:sz w:val="19"/>
        </w:rPr>
        <w:t>→ Tied to: PIR 1, geopolitical-cyber acceleration indicators.</w:t>
      </w:r>
    </w:p>
    <w:p>
      <w:pPr>
        <w:spacing w:before="160" w:after="40"/>
      </w:pPr>
      <w:r>
        <w:rPr>
          <w:b/>
          <w:color w:val="1F5C8C"/>
          <w:sz w:val="18"/>
        </w:rPr>
        <w:t xml:space="preserve">PIR 2 / I&amp;W 5  </w:t>
      </w:r>
      <w:r>
        <w:rPr>
          <w:b/>
          <w:color w:val="142233"/>
          <w:sz w:val="20"/>
        </w:rPr>
        <w:t>Additional water-sector operational anomalies at any U.S. utility, particularly in Texas</w:t>
      </w:r>
      <w:r>
        <w:rPr>
          <w:i/>
          <w:color w:val="7A5A1E"/>
          <w:sz w:val="18"/>
        </w:rPr>
        <w:t xml:space="preserve">   [↑ Rising]</w:t>
      </w:r>
    </w:p>
    <w:p>
      <w:pPr>
        <w:spacing w:after="40"/>
        <w:ind w:left="283"/>
      </w:pPr>
      <w:r>
        <w:rPr>
          <w:color w:val="142233"/>
          <w:sz w:val="19"/>
        </w:rPr>
        <w:t>→ Watch for pressure or pumping irregularities, operator lockout, or unexplained PLC configuration changes at any utility — a Texas-specific incident would be this thread’s most significant possible escalation.</w:t>
      </w:r>
    </w:p>
    <w:p>
      <w:pPr>
        <w:spacing w:after="40"/>
        <w:ind w:left="283"/>
      </w:pPr>
      <w:r>
        <w:rPr>
          <w:color w:val="142233"/>
          <w:sz w:val="19"/>
        </w:rPr>
        <w:t>→ Tied to: PIR 2, cross-sector cascading risk indicators.</w:t>
      </w:r>
    </w:p>
    <w:p>
      <w:pPr>
        <w:spacing w:after="160"/>
      </w:pPr>
      <w:r>
        <w:rPr>
          <w:rFonts w:ascii="Georgia" w:hAnsi="Georgia"/>
          <w:b w:val="0"/>
          <w:i w:val="0"/>
          <w:color w:val="142233"/>
          <w:sz w:val="21"/>
        </w:rPr>
        <w:t>Section VI</w:t>
      </w:r>
    </w:p>
    <w:p>
      <w:pPr>
        <w:spacing w:before="320" w:after="120"/>
        <w:pBdr>
          <w:bottom w:val="single" w:sz="6" w:space="4" w:color="A67C2E"/>
        </w:pBdr>
      </w:pPr>
      <w:r>
        <w:rPr>
          <w:rFonts w:ascii="Calibri" w:hAnsi="Calibri"/>
          <w:b/>
          <w:color w:val="7A5A1E"/>
          <w:sz w:val="27"/>
        </w:rPr>
        <w:t>Governance Implication Block</w:t>
      </w:r>
    </w:p>
    <w:tbl>
      <w:tblPr>
        <w:tblW w:type="auto" w:w="0"/>
        <w:jc w:val="center"/>
        <w:tblLayout w:type="fixed"/>
        <w:tblLook w:firstColumn="1" w:firstRow="1" w:lastColumn="0" w:lastRow="0" w:noHBand="0" w:noVBand="1" w:val="04A0"/>
      </w:tblPr>
      <w:tblGrid>
        <w:gridCol w:w="2041"/>
        <w:gridCol w:w="7087"/>
      </w:tblGrid>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Decision at risk</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Whether the organization’s water-supplier cyber exposure — and its own downstream continuity risk — is actually owned and being remediated, rather than assumed to be someone else’s problem.</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Owner</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Utility GM or city manager for water and wastewater providers. COO, CISO, or emergency management lead for water-dependent organizations — hospitals, data centers, manufacturers, defense sites, and energy facilities.</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Consequence of delay</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Loss of operator control at the utility level, undetected manipulation of treatment or pumping systems, and cascading disruption into hospitals, data centers, energy facilities, and manufacturing that assumed water supply was a given rather than a monitored dependency.</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Action this week</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Identify water-supplier dependencies for critical facilities by name; request written confirmation of the supplier’s internet-facing OT exposure status and Project Watershed 250 participation; add water-service loss to the next continuity exercise.</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Record to preserve</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Water-dependency map by facility, supplier correspondence on cyber posture, and the date and named owner of record for this week’s inquiry.</w:t>
            </w:r>
          </w:p>
        </w:tc>
      </w:tr>
    </w:tbl>
    <w:p>
      <w:pPr>
        <w:spacing w:after="120"/>
      </w:pPr>
    </w:p>
    <w:p>
      <w:pPr>
        <w:spacing w:after="160"/>
      </w:pPr>
      <w:r>
        <w:rPr>
          <w:rFonts w:ascii="Georgia" w:hAnsi="Georgia"/>
          <w:b w:val="0"/>
          <w:i w:val="0"/>
          <w:color w:val="142233"/>
          <w:sz w:val="21"/>
        </w:rPr>
        <w:t>From Warning to Decision</w:t>
      </w:r>
    </w:p>
    <w:p>
      <w:pPr>
        <w:spacing w:before="200" w:after="120"/>
      </w:pPr>
      <w:r>
        <w:rPr>
          <w:rFonts w:ascii="Calibri" w:hAnsi="Calibri"/>
          <w:b/>
          <w:color w:val="142233"/>
          <w:sz w:val="23"/>
        </w:rPr>
        <w:t>Test what this means for your organization.</w:t>
      </w:r>
    </w:p>
    <w:p>
      <w:pPr>
        <w:spacing w:after="160"/>
      </w:pPr>
      <w:r>
        <w:rPr>
          <w:rFonts w:ascii="Georgia" w:hAnsi="Georgia"/>
          <w:b w:val="0"/>
          <w:i w:val="0"/>
          <w:color w:val="142233"/>
          <w:sz w:val="21"/>
        </w:rPr>
        <w:t>Reading the warning is one thing. Knowing whether your leadership would recognize it, decide in time, and document the call is another. Liberty CTI starts by establishing your decision environment, then tests it under pressure.</w:t>
      </w:r>
    </w:p>
    <w:p>
      <w:pPr>
        <w:spacing w:after="160"/>
      </w:pPr>
      <w:r>
        <w:rPr>
          <w:rFonts w:ascii="Georgia" w:hAnsi="Georgia"/>
          <w:b w:val="0"/>
          <w:i w:val="0"/>
          <w:color w:val="142233"/>
          <w:sz w:val="21"/>
        </w:rPr>
        <w:t>EXECUTIVE INTELLIGENCE BASELINE + EXECUTIVE DECISION EXERCISE →</w:t>
      </w:r>
    </w:p>
    <w:p>
      <w:pPr>
        <w:spacing w:after="160"/>
      </w:pPr>
      <w:r>
        <w:rPr>
          <w:rFonts w:ascii="Georgia" w:hAnsi="Georgia"/>
          <w:b w:val="0"/>
          <w:i w:val="0"/>
          <w:color w:val="142233"/>
          <w:sz w:val="21"/>
        </w:rPr>
        <w:t>Section VII</w:t>
      </w:r>
    </w:p>
    <w:p>
      <w:pPr>
        <w:spacing w:before="320" w:after="120"/>
        <w:pBdr>
          <w:bottom w:val="single" w:sz="6" w:space="4" w:color="A67C2E"/>
        </w:pBdr>
      </w:pPr>
      <w:r>
        <w:rPr>
          <w:rFonts w:ascii="Calibri" w:hAnsi="Calibri"/>
          <w:b/>
          <w:color w:val="7A5A1E"/>
          <w:sz w:val="27"/>
        </w:rPr>
        <w:t>Actions This Week</w:t>
      </w:r>
    </w:p>
    <w:p>
      <w:pPr>
        <w:spacing w:after="160"/>
      </w:pPr>
      <w:r>
        <w:rPr>
          <w:rFonts w:ascii="Georgia" w:hAnsi="Georgia"/>
          <w:b w:val="0"/>
          <w:i w:val="0"/>
          <w:color w:val="142233"/>
          <w:sz w:val="21"/>
        </w:rPr>
        <w:t>Section VIII</w:t>
      </w:r>
    </w:p>
    <w:p>
      <w:pPr>
        <w:spacing w:before="320" w:after="120"/>
        <w:pBdr>
          <w:bottom w:val="single" w:sz="6" w:space="4" w:color="A67C2E"/>
        </w:pBdr>
      </w:pPr>
      <w:r>
        <w:rPr>
          <w:rFonts w:ascii="Calibri" w:hAnsi="Calibri"/>
          <w:b/>
          <w:color w:val="7A5A1E"/>
          <w:sz w:val="27"/>
        </w:rPr>
        <w:t>Prior Judgment Tracker</w:t>
      </w:r>
    </w:p>
    <w:tbl>
      <w:tblPr>
        <w:tblW w:type="auto" w:w="0"/>
        <w:jc w:val="center"/>
        <w:tblLayout w:type="fixed"/>
        <w:tblLook w:firstColumn="1" w:firstRow="1" w:lastColumn="0" w:lastRow="0" w:noHBand="0" w:noVBand="1" w:val="04A0"/>
      </w:tblPr>
      <w:tblGrid>
        <w:gridCol w:w="2041"/>
        <w:gridCol w:w="7087"/>
      </w:tblGrid>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Prior judgment</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ATB-2026-25 (29 August 2026) assessed, at moderate confidence, that the pairing of harder sanctions (Operation Economic Outcast) with a genuine diplomatic opening (Pakistani/Qatari mediation, Iran’s reported draft reopening conditions) modestly lowered the near-term likelihood of Iran-attributed cyber escalation against Texas targets, while continuing to build sanctions pressure.</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Current status</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Reversed, not merely moderated. Direct U.S.-Iran combat resumed 1 September for the first time in nearly a month (KJ-2); the diplomatic channel produced no reopening and instead a UN Security Council referral; this issue’s KJ-3 replaces ATB-2026-25’s de-escalation judgment with a 60–70% likely re-escalation judgment.</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What changed</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This issue’s dominant development is Project Watershed 250 (KJ-1), analytically distinct from the Iran thread: it addresses a documented but unattributed water-OT campaign, not a confirmed Iran-attributed one. The Iran war reflare (KJ-2/KJ-3) is this week’s second major, separately tracked development. The two threads should not be conflated even though both concern critical-infrastructure OT.</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Accuracy line</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0 of 1 forecast elements confirmed as stated for ATB-2026-25’s de-escalation judgment — it did not hold; superseded this issue by KJ-3. KJ-3’s own forecast window (1–4 weeks from 1 September) is newly opened and unresolved; next review due no later than ATB-2026-27.</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Next indicator</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A confirmed Iran-attributed intrusion against a Texas target, the IAEA Board vote outcome, or actor attribution for the July water-PLC campaign would each move this tracker’s judgments in the next issue.</w:t>
            </w:r>
          </w:p>
        </w:tc>
      </w:tr>
    </w:tbl>
    <w:p>
      <w:pPr>
        <w:spacing w:after="120"/>
      </w:pPr>
    </w:p>
    <w:p>
      <w:pPr>
        <w:spacing w:after="160"/>
      </w:pPr>
      <w:r>
        <w:rPr>
          <w:rFonts w:ascii="Georgia" w:hAnsi="Georgia"/>
          <w:b w:val="0"/>
          <w:i w:val="0"/>
          <w:color w:val="142233"/>
          <w:sz w:val="21"/>
        </w:rPr>
        <w:t>Section IX — Sourcing</w:t>
      </w:r>
    </w:p>
    <w:p>
      <w:pPr>
        <w:spacing w:before="320" w:after="120"/>
        <w:pBdr>
          <w:bottom w:val="single" w:sz="6" w:space="4" w:color="A67C2E"/>
        </w:pBdr>
      </w:pPr>
      <w:r>
        <w:rPr>
          <w:rFonts w:ascii="Calibri" w:hAnsi="Calibri"/>
          <w:b/>
          <w:color w:val="7A5A1E"/>
          <w:sz w:val="27"/>
        </w:rPr>
        <w:t>Open Source Basis</w:t>
      </w:r>
    </w:p>
    <w:p>
      <w:pPr>
        <w:spacing w:before="200"/>
      </w:pPr>
      <w:r>
        <w:rPr>
          <w:rFonts w:ascii="Calibri" w:hAnsi="Calibri"/>
          <w:b/>
          <w:color w:val="1F5C8C"/>
          <w:sz w:val="18"/>
        </w:rPr>
        <w:t>PRIMARY SOURCES — ATB-2026-26 — COVERAGE WEEK 30 AUGUST–5 SEPTEMBER 2026</w:t>
      </w:r>
    </w:p>
    <w:p>
      <w:pPr>
        <w:spacing w:before="120" w:after="20"/>
      </w:pPr>
      <w:r>
        <w:rPr>
          <w:rFonts w:ascii="Calibri" w:hAnsi="Calibri"/>
          <w:b/>
          <w:color w:val="7A5A1E"/>
          <w:sz w:val="15"/>
        </w:rPr>
        <w:t>GOVERNMENT / STATE</w:t>
        <w:br/>
      </w:r>
      <w:r>
        <w:rPr>
          <w:b/>
          <w:color w:val="142233"/>
          <w:sz w:val="20"/>
        </w:rPr>
        <w:t>Office of the Texas Governor — Governor Abbott, National Cyber Director Launch Project Watershed 250 To Defend Texas Water Supply</w:t>
      </w:r>
    </w:p>
    <w:p>
      <w:pPr>
        <w:spacing w:after="20"/>
      </w:pPr>
      <w:hyperlink r:id="rId11">
        <w:r>
          <w:rPr>
            <w:color w:val="1F5C8C"/>
            <w:u w:val="single"/>
            <w:sz w:val="17"/>
            <w:rFonts w:ascii="Consolas"/>
          </w:rPr>
          <w:t>gov.texas.gov, 31 August 2026</w:t>
        </w:r>
      </w:hyperlink>
    </w:p>
    <w:p>
      <w:pPr>
        <w:spacing w:after="40"/>
      </w:pPr>
      <w:r>
        <w:rPr>
          <w:i/>
          <w:color w:val="5C5C5C"/>
          <w:sz w:val="17"/>
        </w:rPr>
        <w:t>Primary basis for the Dominant Judgment, KJ-1, and Section II.</w:t>
      </w:r>
    </w:p>
    <w:p>
      <w:pPr>
        <w:spacing w:before="120" w:after="20"/>
      </w:pPr>
      <w:r>
        <w:rPr>
          <w:rFonts w:ascii="Calibri" w:hAnsi="Calibri"/>
          <w:b/>
          <w:color w:val="7A5A1E"/>
          <w:sz w:val="15"/>
        </w:rPr>
        <w:t>GOVERNMENT / CYBERSECURITY</w:t>
        <w:br/>
      </w:r>
      <w:r>
        <w:rPr>
          <w:b/>
          <w:color w:val="142233"/>
          <w:sz w:val="20"/>
        </w:rPr>
        <w:t>CISA — CISA Urges Water and Wastewater Systems Sector to Protect OT Against Activity Targeting PLCs</w:t>
      </w:r>
    </w:p>
    <w:p>
      <w:pPr>
        <w:spacing w:after="20"/>
      </w:pPr>
      <w:hyperlink r:id="rId12">
        <w:r>
          <w:rPr>
            <w:color w:val="1F5C8C"/>
            <w:u w:val="single"/>
            <w:sz w:val="17"/>
            <w:rFonts w:ascii="Consolas"/>
          </w:rPr>
          <w:t>cisa.gov, 30 July 2026</w:t>
        </w:r>
      </w:hyperlink>
    </w:p>
    <w:p>
      <w:pPr>
        <w:spacing w:after="40"/>
      </w:pPr>
      <w:r>
        <w:rPr>
          <w:i/>
          <w:color w:val="5C5C5C"/>
          <w:sz w:val="17"/>
        </w:rPr>
        <w:t>Primary basis for the underlying threat described in the Dominant Judgment and Section II; confirms the campaign is unattributed.</w:t>
      </w:r>
    </w:p>
    <w:p>
      <w:pPr>
        <w:spacing w:before="120" w:after="20"/>
      </w:pPr>
      <w:r>
        <w:rPr>
          <w:rFonts w:ascii="Calibri" w:hAnsi="Calibri"/>
          <w:b/>
          <w:color w:val="7A5A1E"/>
          <w:sz w:val="15"/>
        </w:rPr>
        <w:t>GOVERNMENT / MULTI-AGENCY</w:t>
        <w:br/>
      </w:r>
      <w:r>
        <w:rPr>
          <w:b/>
          <w:color w:val="142233"/>
          <w:sz w:val="20"/>
        </w:rPr>
        <w:t>CISA/FBI/NSA/EPA/DOE/CNMF/Treasury — Joint Cybersecurity Advisory AA26-097A: Iranian-Affiliated Cyber Actors Exploit Programmable Logic Controllers Across US Critical Infrastructure</w:t>
      </w:r>
    </w:p>
    <w:p>
      <w:pPr>
        <w:spacing w:after="20"/>
      </w:pPr>
      <w:hyperlink r:id="rId13">
        <w:r>
          <w:rPr>
            <w:color w:val="1F5C8C"/>
            <w:u w:val="single"/>
            <w:sz w:val="17"/>
            <w:rFonts w:ascii="Consolas"/>
          </w:rPr>
          <w:t>media.defense.gov, originally 7 April 2026, updated 22 July 2026</w:t>
        </w:r>
      </w:hyperlink>
    </w:p>
    <w:p>
      <w:pPr>
        <w:spacing w:after="40"/>
      </w:pPr>
      <w:r>
        <w:rPr>
          <w:i/>
          <w:color w:val="5C5C5C"/>
          <w:sz w:val="17"/>
        </w:rPr>
        <w:t>Standing Iran-affiliated OT exploitation baseline, cited in Section II and KJ-2 to distinguish attributed from unattributed activity.</w:t>
      </w:r>
    </w:p>
    <w:p>
      <w:pPr>
        <w:spacing w:before="120" w:after="20"/>
      </w:pPr>
      <w:r>
        <w:rPr>
          <w:rFonts w:ascii="Calibri" w:hAnsi="Calibri"/>
          <w:b/>
          <w:color w:val="7A5A1E"/>
          <w:sz w:val="15"/>
        </w:rPr>
        <w:t>GOVERNMENT / DEFENSE</w:t>
        <w:br/>
      </w:r>
      <w:r>
        <w:rPr>
          <w:b/>
          <w:color w:val="142233"/>
          <w:sz w:val="20"/>
        </w:rPr>
        <w:t>U.S. Central Command — CENTCOM Completes Strikes on IRGC Targets in Iran</w:t>
      </w:r>
    </w:p>
    <w:p>
      <w:pPr>
        <w:spacing w:after="20"/>
      </w:pPr>
      <w:hyperlink r:id="rId14">
        <w:r>
          <w:rPr>
            <w:color w:val="1F5C8C"/>
            <w:u w:val="single"/>
            <w:sz w:val="17"/>
            <w:rFonts w:ascii="Consolas"/>
          </w:rPr>
          <w:t>centcom.mil, 1 September 2026</w:t>
        </w:r>
      </w:hyperlink>
    </w:p>
    <w:p>
      <w:pPr>
        <w:spacing w:after="40"/>
      </w:pPr>
      <w:r>
        <w:rPr>
          <w:i/>
          <w:color w:val="5C5C5C"/>
          <w:sz w:val="17"/>
        </w:rPr>
        <w:t>Primary basis for KJ-2 and Section II’s Iran reflare item.</w:t>
      </w:r>
    </w:p>
    <w:p>
      <w:pPr>
        <w:spacing w:before="120" w:after="20"/>
      </w:pPr>
      <w:r>
        <w:rPr>
          <w:rFonts w:ascii="Calibri" w:hAnsi="Calibri"/>
          <w:b/>
          <w:color w:val="7A5A1E"/>
          <w:sz w:val="15"/>
        </w:rPr>
        <w:t>GOVERNMENT / REGULATORY</w:t>
        <w:br/>
      </w:r>
      <w:r>
        <w:rPr>
          <w:b/>
          <w:color w:val="142233"/>
          <w:sz w:val="20"/>
        </w:rPr>
        <w:t>U.S. Department of the Treasury — Treasury Severs Iranian Regime’s Financial Lifelines in Türkiye</w:t>
      </w:r>
    </w:p>
    <w:p>
      <w:pPr>
        <w:spacing w:after="20"/>
      </w:pPr>
      <w:hyperlink r:id="rId15">
        <w:r>
          <w:rPr>
            <w:color w:val="1F5C8C"/>
            <w:u w:val="single"/>
            <w:sz w:val="17"/>
            <w:rFonts w:ascii="Consolas"/>
          </w:rPr>
          <w:t>home.treasury.gov, 4 September 2026</w:t>
        </w:r>
      </w:hyperlink>
    </w:p>
    <w:p>
      <w:pPr>
        <w:spacing w:after="40"/>
      </w:pPr>
      <w:r>
        <w:rPr>
          <w:i/>
          <w:color w:val="5C5C5C"/>
          <w:sz w:val="17"/>
        </w:rPr>
        <w:t>Primary basis for KJ-2 and the Finance cross-sector implication.</w:t>
      </w:r>
    </w:p>
    <w:p>
      <w:pPr>
        <w:spacing w:before="120" w:after="20"/>
      </w:pPr>
      <w:r>
        <w:rPr>
          <w:rFonts w:ascii="Calibri" w:hAnsi="Calibri"/>
          <w:b/>
          <w:color w:val="7A5A1E"/>
          <w:sz w:val="15"/>
        </w:rPr>
        <w:t>NEWS / LOCAL</w:t>
        <w:br/>
      </w:r>
      <w:r>
        <w:rPr>
          <w:b/>
          <w:color w:val="142233"/>
          <w:sz w:val="20"/>
        </w:rPr>
        <w:t>Axios San Antonio — San Antonio launch kicks off Texas water cybersecurity pilot</w:t>
      </w:r>
    </w:p>
    <w:p>
      <w:pPr>
        <w:spacing w:after="20"/>
      </w:pPr>
      <w:hyperlink r:id="rId16">
        <w:r>
          <w:rPr>
            <w:color w:val="1F5C8C"/>
            <w:u w:val="single"/>
            <w:sz w:val="17"/>
            <w:rFonts w:ascii="Consolas"/>
          </w:rPr>
          <w:t>axios.com, 2 September 2026</w:t>
        </w:r>
      </w:hyperlink>
    </w:p>
    <w:p>
      <w:pPr>
        <w:spacing w:after="40"/>
      </w:pPr>
      <w:r>
        <w:rPr>
          <w:i/>
          <w:color w:val="5C5C5C"/>
          <w:sz w:val="17"/>
        </w:rPr>
        <w:t>Cited for federal-partner and private-sector participant detail corroborating the gov.texas.gov release.</w:t>
      </w:r>
    </w:p>
    <w:p>
      <w:pPr>
        <w:spacing w:before="120" w:after="20"/>
      </w:pPr>
      <w:r>
        <w:rPr>
          <w:rFonts w:ascii="Calibri" w:hAnsi="Calibri"/>
          <w:b/>
          <w:color w:val="7A5A1E"/>
          <w:sz w:val="15"/>
        </w:rPr>
        <w:t>TRADE PRESS / STATE-LEVEL POLICY</w:t>
        <w:br/>
      </w:r>
      <w:r>
        <w:rPr>
          <w:b/>
          <w:color w:val="142233"/>
          <w:sz w:val="20"/>
        </w:rPr>
        <w:t>Route Fifty and Hoodline — White House launches water cybersecurity pilot in Texas; San Antonio becomes test bed</w:t>
      </w:r>
    </w:p>
    <w:p>
      <w:pPr>
        <w:spacing w:after="20"/>
      </w:pPr>
      <w:hyperlink r:id="rId17">
        <w:r>
          <w:rPr>
            <w:color w:val="1F5C8C"/>
            <w:u w:val="single"/>
            <w:sz w:val="17"/>
            <w:rFonts w:ascii="Consolas"/>
          </w:rPr>
          <w:t>route-fifty.com and hoodline.com, 31 Aug–1 Sept 2026</w:t>
        </w:r>
      </w:hyperlink>
    </w:p>
    <w:p>
      <w:pPr>
        <w:spacing w:after="40"/>
      </w:pPr>
      <w:r>
        <w:rPr>
          <w:i/>
          <w:color w:val="5C5C5C"/>
          <w:sz w:val="17"/>
        </w:rPr>
        <w:t>Cited for the White House’s stated position that the pilot was not launched specifically in response to the July attacks.</w:t>
      </w:r>
    </w:p>
    <w:p>
      <w:pPr>
        <w:spacing w:before="120" w:after="20"/>
      </w:pPr>
      <w:r>
        <w:rPr>
          <w:rFonts w:ascii="Calibri" w:hAnsi="Calibri"/>
          <w:b/>
          <w:color w:val="7A5A1E"/>
          <w:sz w:val="15"/>
        </w:rPr>
        <w:t>CYBERSECURITY TRADE PRESS</w:t>
        <w:br/>
      </w:r>
      <w:r>
        <w:rPr>
          <w:b/>
          <w:color w:val="142233"/>
          <w:sz w:val="20"/>
        </w:rPr>
        <w:t>CyberScoop (via secondary aggregation) — Texas Cyber Command and White House launch Project Watershed 250</w:t>
      </w:r>
    </w:p>
    <w:p>
      <w:pPr>
        <w:spacing w:after="20"/>
      </w:pPr>
      <w:hyperlink r:id="rId18">
        <w:r>
          <w:rPr>
            <w:color w:val="1F5C8C"/>
            <w:u w:val="single"/>
            <w:sz w:val="17"/>
            <w:rFonts w:ascii="Consolas"/>
          </w:rPr>
          <w:t>cinchops.com summarizing CyberScoop reporting, 5 September 2026</w:t>
        </w:r>
      </w:hyperlink>
    </w:p>
    <w:p>
      <w:pPr>
        <w:spacing w:after="40"/>
      </w:pPr>
      <w:r>
        <w:rPr>
          <w:i/>
          <w:color w:val="5C5C5C"/>
          <w:sz w:val="17"/>
        </w:rPr>
        <w:t>Cited only for the twelve-vendor participant list; not independently confirmed against a CyberScoop direct fetch this cycle.</w:t>
      </w:r>
    </w:p>
    <w:p>
      <w:pPr>
        <w:spacing w:before="120" w:after="20"/>
      </w:pPr>
      <w:r>
        <w:rPr>
          <w:rFonts w:ascii="Calibri" w:hAnsi="Calibri"/>
          <w:b/>
          <w:color w:val="7A5A1E"/>
          <w:sz w:val="15"/>
        </w:rPr>
        <w:t>INDUSTRY / TECHNICAL ANALYSIS</w:t>
        <w:br/>
      </w:r>
      <w:r>
        <w:rPr>
          <w:b/>
          <w:color w:val="142233"/>
          <w:sz w:val="20"/>
        </w:rPr>
        <w:t>Tenable and Foley Hoag — Coordinated cyberattack on Minnesota water utilities; Rising cyberattacks on U.S. water infrastructure</w:t>
      </w:r>
    </w:p>
    <w:p>
      <w:pPr>
        <w:spacing w:after="20"/>
      </w:pPr>
      <w:hyperlink r:id="rId19">
        <w:r>
          <w:rPr>
            <w:color w:val="1F5C8C"/>
            <w:u w:val="single"/>
            <w:sz w:val="17"/>
            <w:rFonts w:ascii="Consolas"/>
          </w:rPr>
          <w:t>tenable.com and foleyhoag.com, August 2026</w:t>
        </w:r>
      </w:hyperlink>
    </w:p>
    <w:p>
      <w:pPr>
        <w:spacing w:after="40"/>
      </w:pPr>
      <w:r>
        <w:rPr>
          <w:i/>
          <w:color w:val="5C5C5C"/>
          <w:sz w:val="17"/>
        </w:rPr>
        <w:t>Cited for technical detail on the July campaign and to confirm the PSA does not attribute the activity to a specific actor, distinguishing it from AA26-097A.</w:t>
      </w:r>
    </w:p>
    <w:p>
      <w:pPr>
        <w:pBdr>
          <w:bottom w:val="single" w:sz="4" w:space="4" w:color="CCCCCC"/>
        </w:pBdr>
      </w:pPr>
    </w:p>
    <w:p>
      <w:pPr>
        <w:spacing w:after="160"/>
      </w:pPr>
      <w:r>
        <w:rPr>
          <w:rFonts w:ascii="Georgia" w:hAnsi="Georgia"/>
          <w:b w:val="0"/>
          <w:i w:val="0"/>
          <w:color w:val="142233"/>
          <w:sz w:val="21"/>
        </w:rPr>
        <w:t xml:space="preserve">For tailored executive briefings or advisory retainer inquiries: </w:t>
      </w:r>
      <w:r>
        <w:rPr>
          <w:rFonts w:ascii="Georgia" w:hAnsi="Georgia"/>
          <w:b/>
          <w:i w:val="0"/>
          <w:color w:val="142233"/>
          <w:sz w:val="21"/>
        </w:rPr>
        <w:t>intel@libertycti.com</w:t>
      </w:r>
      <w:r>
        <w:rPr>
          <w:rFonts w:ascii="Georgia" w:hAnsi="Georgia"/>
          <w:b w:val="0"/>
          <w:i w:val="0"/>
          <w:color w:val="142233"/>
          <w:sz w:val="21"/>
        </w:rPr>
        <w:t xml:space="preserve"> · </w:t>
      </w:r>
      <w:r>
        <w:rPr>
          <w:rFonts w:ascii="Georgia" w:hAnsi="Georgia"/>
          <w:b/>
          <w:i w:val="0"/>
          <w:color w:val="142233"/>
          <w:sz w:val="21"/>
        </w:rPr>
        <w:t>libertycti.com</w:t>
      </w:r>
    </w:p>
    <w:p>
      <w:pPr>
        <w:spacing w:after="160"/>
        <w:jc w:val="center"/>
      </w:pPr>
      <w:r>
        <w:rPr>
          <w:rFonts w:ascii="Georgia" w:hAnsi="Georgia"/>
          <w:b w:val="0"/>
          <w:i w:val="0"/>
          <w:color w:val="5C5C5C"/>
          <w:sz w:val="16"/>
        </w:rPr>
        <w:t>© 2026 Liberty CTI LLC. All rights reserved. The Alamo Threat Brief and its original analysis may not be reproduced or redistributed without permission.</w:t>
      </w:r>
    </w:p>
    <w:p>
      <w:pPr>
        <w:spacing w:after="160"/>
        <w:jc w:val="center"/>
      </w:pPr>
      <w:r>
        <w:rPr>
          <w:rFonts w:ascii="Georgia" w:hAnsi="Georgia"/>
          <w:b w:val="0"/>
          <w:i w:val="0"/>
          <w:color w:val="5C5C5C"/>
          <w:sz w:val="16"/>
        </w:rPr>
        <w:t xml:space="preserve">Liberty CTI assessments reflect analytical judgments based on information available at the time of publication. Forecasts and warning judgments involve uncertainty and may change as new information becomes available. The Alamo Threat Brief provides intelligence decision support and does not constitute legal, financial, investment, or technical cybersecurity advice. See </w:t>
      </w:r>
      <w:r>
        <w:rPr>
          <w:rFonts w:ascii="Georgia" w:hAnsi="Georgia"/>
          <w:b w:val="0"/>
          <w:i w:val="0"/>
          <w:color w:val="1F5C8C"/>
          <w:sz w:val="16"/>
          <w:u w:val="single"/>
        </w:rPr>
        <w:t>Terms of Use</w:t>
      </w:r>
      <w:r>
        <w:rPr>
          <w:rFonts w:ascii="Georgia" w:hAnsi="Georgia"/>
          <w:b w:val="0"/>
          <w:i w:val="0"/>
          <w:color w:val="5C5C5C"/>
          <w:sz w:val="16"/>
        </w:rPr>
        <w:t>.</w:t>
      </w:r>
    </w:p>
    <w:p>
      <w:pPr>
        <w:spacing w:after="160"/>
        <w:jc w:val="center"/>
      </w:pPr>
      <w:r>
        <w:rPr>
          <w:rFonts w:ascii="Georgia" w:hAnsi="Georgia"/>
          <w:b w:val="0"/>
          <w:i w:val="0"/>
          <w:color w:val="5C5C5C"/>
          <w:sz w:val="16"/>
        </w:rPr>
        <w:t>Third-party reporting cited in this brief remains the property of its respective owners; citation does not constitute endorsement. Liberty CTI’s original analytical judgments remain Liberty CTI intellectual property.</w:t>
      </w:r>
    </w:p>
    <w:p>
      <w:pPr>
        <w:spacing w:after="160"/>
      </w:pPr>
      <w:r>
        <w:rPr>
          <w:rFonts w:ascii="Georgia" w:hAnsi="Georgia"/>
          <w:b w:val="0"/>
          <w:i w:val="0"/>
          <w:color w:val="142233"/>
          <w:sz w:val="21"/>
        </w:rPr>
        <w:t>Test what this means for your organization.</w:t>
      </w:r>
    </w:p>
    <w:p>
      <w:pPr>
        <w:spacing w:after="160"/>
      </w:pPr>
      <w:r>
        <w:rPr>
          <w:rFonts w:ascii="Georgia" w:hAnsi="Georgia"/>
          <w:b w:val="0"/>
          <w:i w:val="0"/>
          <w:color w:val="142233"/>
          <w:sz w:val="21"/>
        </w:rPr>
        <w:t>EXECUTIVE INTELLIGENCE BASELINE + EXECUTIVE DECISION EXERCISE →</w:t>
      </w:r>
    </w:p>
    <w:p>
      <w:pPr>
        <w:spacing w:before="360"/>
        <w:jc w:val="center"/>
      </w:pPr>
      <w:r>
        <w:rPr>
          <w:color w:val="5C5C5C"/>
          <w:sz w:val="15"/>
        </w:rPr>
        <w:t>© 2026 Liberty CTI LLC. All rights reserved. The Alamo Threat Brief and its original analysis may not be reproduced or redistributed without permission. Alamo Threat Brief™ is a trademark of Liberty CTI LLC. This document is an archival companion to the published web issue and preserves the assessment as originally issued.</w:t>
      </w:r>
    </w:p>
    <w:sectPr w:rsidR="00FC693F" w:rsidRPr="0006063C" w:rsidSect="00034616">
      <w:headerReference w:type="default" r:id="rId9"/>
      <w:footerReference w:type="default" r:id="rId10"/>
      <w:pgSz w:w="12240" w:h="15840"/>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C5C5C"/>
        <w:sz w:val="15"/>
      </w:rPr>
      <w:t xml:space="preserve">OPEN SOURCE INTELLIGENCE   —   Page </w:t>
    </w:r>
    <w:r>
      <w:rPr>
        <w:color w:val="5C5C5C"/>
        <w:sz w:val="15"/>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Calibri" w:hAnsi="Calibri"/>
        <w:color w:val="5C5C5C"/>
        <w:sz w:val="16"/>
      </w:rPr>
      <w:t>LIBERTY CTI  |  THE ALAMO THREAT BRIEF  |  ATB-2026-26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422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ov.texas.gov/news/post/governor-abbott-national-cyber-director-launch-project-watershed-250-to-defend-texas-water-supply" TargetMode="External"/><Relationship Id="rId12" Type="http://schemas.openxmlformats.org/officeDocument/2006/relationships/hyperlink" Target="https://www.cisa.gov/news-events/alerts/2026/07/30/cisa-urges-water-and-wastewater-systems-sector-protect-ot-against-activity-targeting-plcs" TargetMode="External"/><Relationship Id="rId13" Type="http://schemas.openxmlformats.org/officeDocument/2006/relationships/hyperlink" Target="https://media.defense.gov/2026/Apr/07/2003907538/-1/-1/0/AA-26-097A_IRANIAN_AFFILIATED_CYBER_ACTORS_EXPLOIT_PLCS_ACROSS_US.PDF" TargetMode="External"/><Relationship Id="rId14" Type="http://schemas.openxmlformats.org/officeDocument/2006/relationships/hyperlink" Target="https://www.centcom.mil/MEDIA/PUBLIC-RELEASES/Article/4588389/centcom-completes-strikes-on-irgc-targets-in-iran/" TargetMode="External"/><Relationship Id="rId15" Type="http://schemas.openxmlformats.org/officeDocument/2006/relationships/hyperlink" Target="https://home.treasury.gov/news/press-releases/treasury-severs-iranian-regime-s-financial-lifelines-turkiye" TargetMode="External"/><Relationship Id="rId16" Type="http://schemas.openxmlformats.org/officeDocument/2006/relationships/hyperlink" Target="https://www.axios.com/local/san-antonio/2026/09/02/san-antonio-texas-water-cybersecurity-pilot" TargetMode="External"/><Relationship Id="rId17" Type="http://schemas.openxmlformats.org/officeDocument/2006/relationships/hyperlink" Target="https://www.route-fifty.com/cybersecurity/2026/09/white-house-launches-water-cybersecurity-pilot-texas/415749/" TargetMode="External"/><Relationship Id="rId18" Type="http://schemas.openxmlformats.org/officeDocument/2006/relationships/hyperlink" Target="https://cinchops.com/texas-water-cybersecurity/" TargetMode="External"/><Relationship Id="rId19" Type="http://schemas.openxmlformats.org/officeDocument/2006/relationships/hyperlink" Target="https://www.tenable.com/blog/coordinated-cyberattack-on-minnesota-water-utilities-what-you-need-to-kno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