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ad78cc40a4438f77e05f609115d6f5e905075be"/>
    <w:p>
      <w:pPr>
        <w:pStyle w:val="Heading1"/>
      </w:pPr>
      <w:r>
        <w:t xml:space="preserve">AI Resume Shortlister – Non‑Functional Requirements (NFR)</w:t>
      </w:r>
    </w:p>
    <w:p>
      <w:pPr>
        <w:pStyle w:val="FirstParagraph"/>
      </w:pPr>
      <w:r>
        <w:rPr>
          <w:b/>
          <w:bCs/>
        </w:rPr>
        <w:t xml:space="preserve">Version:</w:t>
      </w:r>
      <w:r>
        <w:t xml:space="preserve"> </w:t>
      </w:r>
      <w:r>
        <w:t xml:space="preserve">1.0</w:t>
      </w:r>
      <w:r>
        <w:br/>
      </w:r>
      <w:r>
        <w:rPr>
          <w:b/>
          <w:bCs/>
        </w:rPr>
        <w:t xml:space="preserve">Owner:</w:t>
      </w:r>
      <w:r>
        <w:t xml:space="preserve"> </w:t>
      </w:r>
      <w:r>
        <w:t xml:space="preserve">Recruitment Solutions Team</w:t>
      </w:r>
      <w:r>
        <w:br/>
      </w:r>
      <w:r>
        <w:rPr>
          <w:b/>
          <w:bCs/>
        </w:rPr>
        <w:t xml:space="preserve">Date:</w:t>
      </w:r>
      <w:r>
        <w:t xml:space="preserve"> </w:t>
      </w:r>
      <w:r>
        <w:t xml:space="preserve">23 Aug 2025</w:t>
      </w:r>
    </w:p>
    <w:p>
      <w:r>
        <w:pict>
          <v:rect style="width:0;height:1.5pt" o:hralign="center" o:hrstd="t" o:hr="t"/>
        </w:pict>
      </w:r>
    </w:p>
    <w:bookmarkStart w:id="20" w:name="purpose-scope"/>
    <w:p>
      <w:pPr>
        <w:pStyle w:val="Heading2"/>
      </w:pPr>
      <w:r>
        <w:t xml:space="preserve">1) Purpose &amp; Scope</w:t>
      </w:r>
    </w:p>
    <w:p>
      <w:pPr>
        <w:pStyle w:val="FirstParagraph"/>
      </w:pPr>
      <w:r>
        <w:t xml:space="preserve">This document specifies the non‑functional requirements (NFRs) for the AI Resume Shortlister product, covering performance, scalability, availability, resiliency, security, privacy, compliance, observability, operability, maintainability, portability, cost, accessibility, and responsible‑AI constraints. All requirements include measures, targets, and verification methods where applicable.</w:t>
      </w:r>
    </w:p>
    <w:p>
      <w:r>
        <w:pict>
          <v:rect style="width:0;height:1.5pt" o:hralign="center" o:hrstd="t" o:hr="t"/>
        </w:pict>
      </w:r>
    </w:p>
    <w:bookmarkEnd w:id="20"/>
    <w:bookmarkStart w:id="21" w:name="references"/>
    <w:p>
      <w:pPr>
        <w:pStyle w:val="Heading2"/>
      </w:pPr>
      <w:r>
        <w:t xml:space="preserve">2) References</w:t>
      </w:r>
    </w:p>
    <w:p>
      <w:pPr>
        <w:pStyle w:val="Compact"/>
        <w:numPr>
          <w:ilvl w:val="0"/>
          <w:numId w:val="1001"/>
        </w:numPr>
      </w:pPr>
      <w:r>
        <w:t xml:space="preserve">Functional Requirements Document (FRD) v1.0</w:t>
      </w:r>
    </w:p>
    <w:p>
      <w:pPr>
        <w:pStyle w:val="Compact"/>
        <w:numPr>
          <w:ilvl w:val="0"/>
          <w:numId w:val="1001"/>
        </w:numPr>
      </w:pPr>
      <w:r>
        <w:t xml:space="preserve">Solution Architecture (SAD) (forthcoming)</w:t>
      </w:r>
    </w:p>
    <w:p>
      <w:pPr>
        <w:pStyle w:val="Compact"/>
        <w:numPr>
          <w:ilvl w:val="0"/>
          <w:numId w:val="1001"/>
        </w:numPr>
      </w:pPr>
      <w:r>
        <w:t xml:space="preserve">Data Governance &amp; PII Handling Plan (forthcoming)</w:t>
      </w:r>
    </w:p>
    <w:p>
      <w:pPr>
        <w:pStyle w:val="Compact"/>
        <w:numPr>
          <w:ilvl w:val="0"/>
          <w:numId w:val="1001"/>
        </w:numPr>
      </w:pPr>
      <w:r>
        <w:t xml:space="preserve">Threat Model &amp; Security Plan (forthcoming)</w:t>
      </w:r>
    </w:p>
    <w:p>
      <w:pPr>
        <w:pStyle w:val="Compact"/>
        <w:numPr>
          <w:ilvl w:val="0"/>
          <w:numId w:val="1001"/>
        </w:numPr>
      </w:pPr>
      <w:r>
        <w:t xml:space="preserve">Test Strategy &amp; IR Evaluation Plan (forthcoming)</w:t>
      </w:r>
    </w:p>
    <w:p>
      <w:r>
        <w:pict>
          <v:rect style="width:0;height:1.5pt" o:hralign="center" o:hrstd="t" o:hr="t"/>
        </w:pict>
      </w:r>
    </w:p>
    <w:bookmarkEnd w:id="21"/>
    <w:bookmarkStart w:id="22" w:name="global-system-constraints-assumptions"/>
    <w:p>
      <w:pPr>
        <w:pStyle w:val="Heading2"/>
      </w:pPr>
      <w:r>
        <w:t xml:space="preserve">3) Global System Constraints &amp; Assumptions</w:t>
      </w:r>
    </w:p>
    <w:p>
      <w:pPr>
        <w:pStyle w:val="Compact"/>
        <w:numPr>
          <w:ilvl w:val="0"/>
          <w:numId w:val="1002"/>
        </w:numPr>
      </w:pPr>
      <w:r>
        <w:rPr>
          <w:b/>
          <w:bCs/>
        </w:rPr>
        <w:t xml:space="preserve">Primary Region:</w:t>
      </w:r>
      <w:r>
        <w:t xml:space="preserve"> </w:t>
      </w:r>
      <w:r>
        <w:t xml:space="preserve">AWS us‑east‑1 (Prod) with us‑east‑2 as DR.</w:t>
      </w:r>
      <w:r>
        <w:br/>
      </w:r>
    </w:p>
    <w:p>
      <w:pPr>
        <w:pStyle w:val="Compact"/>
        <w:numPr>
          <w:ilvl w:val="0"/>
          <w:numId w:val="1002"/>
        </w:numPr>
      </w:pPr>
      <w:r>
        <w:rPr>
          <w:b/>
          <w:bCs/>
        </w:rPr>
        <w:t xml:space="preserve">Stack:</w:t>
      </w:r>
      <w:r>
        <w:t xml:space="preserve"> </w:t>
      </w:r>
      <w:r>
        <w:t xml:space="preserve">S3, Lambda, ECS on EC2, FastAPI, Python, FAISS/Chroma, DynamoDB or RDS (PostgreSQL), React/Next.js, CloudWatch, Cognito, WAF, KMS.</w:t>
      </w:r>
      <w:r>
        <w:br/>
      </w:r>
    </w:p>
    <w:p>
      <w:pPr>
        <w:pStyle w:val="Compact"/>
        <w:numPr>
          <w:ilvl w:val="0"/>
          <w:numId w:val="1002"/>
        </w:numPr>
      </w:pPr>
      <w:r>
        <w:rPr>
          <w:b/>
          <w:bCs/>
        </w:rPr>
        <w:t xml:space="preserve">Traffic Profile:</w:t>
      </w:r>
      <w:r>
        <w:t xml:space="preserve"> </w:t>
      </w:r>
      <w:r>
        <w:t xml:space="preserve">US business hours heavy, bursty around new requisitions.</w:t>
      </w:r>
      <w:r>
        <w:br/>
      </w:r>
    </w:p>
    <w:p>
      <w:pPr>
        <w:pStyle w:val="Compact"/>
        <w:numPr>
          <w:ilvl w:val="0"/>
          <w:numId w:val="1002"/>
        </w:numPr>
      </w:pPr>
      <w:r>
        <w:rPr>
          <w:b/>
          <w:bCs/>
        </w:rPr>
        <w:t xml:space="preserve">Data Sensitivity:</w:t>
      </w:r>
      <w:r>
        <w:t xml:space="preserve"> </w:t>
      </w:r>
      <w:r>
        <w:t xml:space="preserve">Contains PII; resumes may include sensitive fields; treat as confidential.</w:t>
      </w:r>
      <w:r>
        <w:br/>
      </w:r>
    </w:p>
    <w:p>
      <w:pPr>
        <w:pStyle w:val="Compact"/>
        <w:numPr>
          <w:ilvl w:val="0"/>
          <w:numId w:val="1002"/>
        </w:numPr>
      </w:pPr>
      <w:r>
        <w:rPr>
          <w:b/>
          <w:bCs/>
        </w:rPr>
        <w:t xml:space="preserve">Workloads:</w:t>
      </w:r>
      <w:r>
        <w:t xml:space="preserve"> </w:t>
      </w:r>
      <w:r>
        <w:t xml:space="preserve">Ingestion (batch/event‑driven), Online search (JD → Top‑20), Reporting (HTML/PDF), Admin (weights/taxonomy).</w:t>
      </w:r>
    </w:p>
    <w:p>
      <w:r>
        <w:pict>
          <v:rect style="width:0;height:1.5pt" o:hralign="center" o:hrstd="t" o:hr="t"/>
        </w:pict>
      </w:r>
    </w:p>
    <w:bookmarkEnd w:id="22"/>
    <w:bookmarkStart w:id="28" w:name="performance-capacity"/>
    <w:p>
      <w:pPr>
        <w:pStyle w:val="Heading2"/>
      </w:pPr>
      <w:r>
        <w:t xml:space="preserve">4) Performance &amp; Capacity</w:t>
      </w:r>
    </w:p>
    <w:bookmarkStart w:id="23" w:name="api-latency-targets-slitargets"/>
    <w:p>
      <w:pPr>
        <w:pStyle w:val="Heading3"/>
      </w:pPr>
      <w:r>
        <w:t xml:space="preserve">4.1 API Latency Targets (SLI/Targets)</w:t>
      </w:r>
    </w:p>
    <w:tbl>
      <w:tblPr>
        <w:tblStyle w:val="Table"/>
        <w:tblW w:type="pct" w:w="5000"/>
        <w:tblLayout w:type="fixed"/>
        <w:tblLook w:firstRow="1" w:lastRow="0" w:firstColumn="0" w:lastColumn="0" w:noHBand="0" w:noVBand="0" w:val="0020"/>
      </w:tblPr>
      <w:tblGrid>
        <w:gridCol w:w="1131"/>
        <w:gridCol w:w="1131"/>
        <w:gridCol w:w="1508"/>
        <w:gridCol w:w="1508"/>
        <w:gridCol w:w="1508"/>
        <w:gridCol w:w="1131"/>
      </w:tblGrid>
      <w:tr>
        <w:trPr>
          <w:tblHeader w:val="on"/>
        </w:trPr>
        <w:tc>
          <w:tcPr/>
          <w:p>
            <w:pPr>
              <w:pStyle w:val="Compact"/>
            </w:pPr>
            <w:r>
              <w:t xml:space="preserve">Endpoint</w:t>
            </w:r>
          </w:p>
        </w:tc>
        <w:tc>
          <w:tcPr/>
          <w:p>
            <w:pPr>
              <w:pStyle w:val="Compact"/>
            </w:pPr>
            <w:r>
              <w:t xml:space="preserve">SLI Definition</w:t>
            </w:r>
          </w:p>
        </w:tc>
        <w:tc>
          <w:tcPr/>
          <w:p>
            <w:pPr>
              <w:pStyle w:val="Compact"/>
              <w:jc w:val="right"/>
            </w:pPr>
            <w:r>
              <w:t xml:space="preserve">P50</w:t>
            </w:r>
          </w:p>
        </w:tc>
        <w:tc>
          <w:tcPr/>
          <w:p>
            <w:pPr>
              <w:pStyle w:val="Compact"/>
              <w:jc w:val="right"/>
            </w:pPr>
            <w:r>
              <w:t xml:space="preserve">P95</w:t>
            </w:r>
          </w:p>
        </w:tc>
        <w:tc>
          <w:tcPr/>
          <w:p>
            <w:pPr>
              <w:pStyle w:val="Compact"/>
              <w:jc w:val="right"/>
            </w:pPr>
            <w:r>
              <w:t xml:space="preserve">P99</w:t>
            </w:r>
          </w:p>
        </w:tc>
        <w:tc>
          <w:tcPr/>
          <w:p>
            <w:pPr>
              <w:pStyle w:val="Compact"/>
            </w:pPr>
            <w:r>
              <w:t xml:space="preserve">Notes</w:t>
            </w:r>
          </w:p>
        </w:tc>
      </w:tr>
      <w:tr>
        <w:tc>
          <w:tcPr/>
          <w:p>
            <w:pPr>
              <w:pStyle w:val="Compact"/>
            </w:pPr>
            <w:r>
              <w:rPr>
                <w:rStyle w:val="VerbatimChar"/>
              </w:rPr>
              <w:t xml:space="preserve">POST /search</w:t>
            </w:r>
            <w:r>
              <w:t xml:space="preserve"> </w:t>
            </w:r>
            <w:r>
              <w:t xml:space="preserve">(JD→Top‑20)</w:t>
            </w:r>
          </w:p>
        </w:tc>
        <w:tc>
          <w:tcPr/>
          <w:p>
            <w:pPr>
              <w:pStyle w:val="Compact"/>
            </w:pPr>
            <w:r>
              <w:t xml:space="preserve">End‑to‑end server time</w:t>
            </w:r>
          </w:p>
        </w:tc>
        <w:tc>
          <w:tcPr/>
          <w:p>
            <w:pPr>
              <w:pStyle w:val="Compact"/>
              <w:jc w:val="right"/>
            </w:pPr>
            <w:r>
              <w:t xml:space="preserve">≤ 1200 ms</w:t>
            </w:r>
          </w:p>
        </w:tc>
        <w:tc>
          <w:tcPr/>
          <w:p>
            <w:pPr>
              <w:pStyle w:val="Compact"/>
              <w:jc w:val="right"/>
            </w:pPr>
            <w:r>
              <w:t xml:space="preserve">≤ 3000 ms</w:t>
            </w:r>
          </w:p>
        </w:tc>
        <w:tc>
          <w:tcPr/>
          <w:p>
            <w:pPr>
              <w:pStyle w:val="Compact"/>
              <w:jc w:val="right"/>
            </w:pPr>
            <w:r>
              <w:t xml:space="preserve">≤ 6000 ms</w:t>
            </w:r>
          </w:p>
        </w:tc>
        <w:tc>
          <w:tcPr/>
          <w:p>
            <w:pPr>
              <w:pStyle w:val="Compact"/>
            </w:pPr>
            <w:r>
              <w:t xml:space="preserve">Index ≤ 5M resumes; hybrid retrieval + re‑rank</w:t>
            </w:r>
          </w:p>
        </w:tc>
      </w:tr>
      <w:tr>
        <w:tc>
          <w:tcPr/>
          <w:p>
            <w:pPr>
              <w:pStyle w:val="Compact"/>
            </w:pPr>
            <w:r>
              <w:rPr>
                <w:rStyle w:val="VerbatimChar"/>
              </w:rPr>
              <w:t xml:space="preserve">POST /jd/parse</w:t>
            </w:r>
          </w:p>
        </w:tc>
        <w:tc>
          <w:tcPr/>
          <w:p>
            <w:pPr>
              <w:pStyle w:val="Compact"/>
            </w:pPr>
            <w:r>
              <w:t xml:space="preserve">Server time</w:t>
            </w:r>
          </w:p>
        </w:tc>
        <w:tc>
          <w:tcPr/>
          <w:p>
            <w:pPr>
              <w:pStyle w:val="Compact"/>
              <w:jc w:val="right"/>
            </w:pPr>
            <w:r>
              <w:t xml:space="preserve">≤ 400 ms</w:t>
            </w:r>
          </w:p>
        </w:tc>
        <w:tc>
          <w:tcPr/>
          <w:p>
            <w:pPr>
              <w:pStyle w:val="Compact"/>
              <w:jc w:val="right"/>
            </w:pPr>
            <w:r>
              <w:t xml:space="preserve">≤ 1200 ms</w:t>
            </w:r>
          </w:p>
        </w:tc>
        <w:tc>
          <w:tcPr/>
          <w:p>
            <w:pPr>
              <w:pStyle w:val="Compact"/>
              <w:jc w:val="right"/>
            </w:pPr>
            <w:r>
              <w:t xml:space="preserve">≤ 2500 ms</w:t>
            </w:r>
          </w:p>
        </w:tc>
        <w:tc>
          <w:tcPr/>
          <w:p>
            <w:pPr>
              <w:pStyle w:val="Compact"/>
            </w:pPr>
            <w:r>
              <w:t xml:space="preserve">Includes skill extraction</w:t>
            </w:r>
          </w:p>
        </w:tc>
      </w:tr>
      <w:tr>
        <w:tc>
          <w:tcPr/>
          <w:p>
            <w:pPr>
              <w:pStyle w:val="Compact"/>
            </w:pPr>
            <w:r>
              <w:rPr>
                <w:rStyle w:val="VerbatimChar"/>
              </w:rPr>
              <w:t xml:space="preserve">POST /report</w:t>
            </w:r>
            <w:r>
              <w:t xml:space="preserve"> </w:t>
            </w:r>
            <w:r>
              <w:t xml:space="preserve">(single)</w:t>
            </w:r>
          </w:p>
        </w:tc>
        <w:tc>
          <w:tcPr/>
          <w:p>
            <w:pPr>
              <w:pStyle w:val="Compact"/>
            </w:pPr>
            <w:r>
              <w:t xml:space="preserve">Server time</w:t>
            </w:r>
          </w:p>
        </w:tc>
        <w:tc>
          <w:tcPr/>
          <w:p>
            <w:pPr>
              <w:pStyle w:val="Compact"/>
              <w:jc w:val="right"/>
            </w:pPr>
            <w:r>
              <w:t xml:space="preserve">≤ 800 ms</w:t>
            </w:r>
          </w:p>
        </w:tc>
        <w:tc>
          <w:tcPr/>
          <w:p>
            <w:pPr>
              <w:pStyle w:val="Compact"/>
              <w:jc w:val="right"/>
            </w:pPr>
            <w:r>
              <w:t xml:space="preserve">≤ 2000 ms</w:t>
            </w:r>
          </w:p>
        </w:tc>
        <w:tc>
          <w:tcPr/>
          <w:p>
            <w:pPr>
              <w:pStyle w:val="Compact"/>
              <w:jc w:val="right"/>
            </w:pPr>
            <w:r>
              <w:t xml:space="preserve">≤ 4000 ms</w:t>
            </w:r>
          </w:p>
        </w:tc>
        <w:tc>
          <w:tcPr/>
          <w:p>
            <w:pPr>
              <w:pStyle w:val="Compact"/>
            </w:pPr>
            <w:r>
              <w:t xml:space="preserve">HTML; PDF can be async batch</w:t>
            </w:r>
          </w:p>
        </w:tc>
      </w:tr>
      <w:tr>
        <w:tc>
          <w:tcPr/>
          <w:p>
            <w:pPr>
              <w:pStyle w:val="Compact"/>
            </w:pPr>
            <w:r>
              <w:rPr>
                <w:rStyle w:val="VerbatimChar"/>
              </w:rPr>
              <w:t xml:space="preserve">POST /report</w:t>
            </w:r>
            <w:r>
              <w:t xml:space="preserve"> </w:t>
            </w:r>
            <w:r>
              <w:t xml:space="preserve">(Top‑20 batch)</w:t>
            </w:r>
          </w:p>
        </w:tc>
        <w:tc>
          <w:tcPr/>
          <w:p>
            <w:pPr>
              <w:pStyle w:val="Compact"/>
            </w:pPr>
            <w:r>
              <w:t xml:space="preserve">Job wall‑clock</w:t>
            </w:r>
          </w:p>
        </w:tc>
        <w:tc>
          <w:tcPr/>
          <w:p>
            <w:pPr>
              <w:pStyle w:val="Compact"/>
              <w:jc w:val="right"/>
            </w:pPr>
            <w:r>
              <w:t xml:space="preserve">—</w:t>
            </w:r>
          </w:p>
        </w:tc>
        <w:tc>
          <w:tcPr/>
          <w:p>
            <w:pPr>
              <w:pStyle w:val="Compact"/>
              <w:jc w:val="right"/>
            </w:pPr>
            <w:r>
              <w:t xml:space="preserve">≤ 3 min</w:t>
            </w:r>
          </w:p>
        </w:tc>
        <w:tc>
          <w:tcPr/>
          <w:p>
            <w:pPr>
              <w:pStyle w:val="Compact"/>
              <w:jc w:val="right"/>
            </w:pPr>
            <w:r>
              <w:t xml:space="preserve">≤ 6 min</w:t>
            </w:r>
          </w:p>
        </w:tc>
        <w:tc>
          <w:tcPr/>
          <w:p>
            <w:pPr>
              <w:pStyle w:val="Compact"/>
            </w:pPr>
            <w:r>
              <w:t xml:space="preserve">Generates ZIP/PDF bundle</w:t>
            </w:r>
          </w:p>
        </w:tc>
      </w:tr>
      <w:tr>
        <w:tc>
          <w:tcPr/>
          <w:p>
            <w:pPr>
              <w:pStyle w:val="Compact"/>
            </w:pPr>
            <w:r>
              <w:rPr>
                <w:rStyle w:val="VerbatimChar"/>
              </w:rPr>
              <w:t xml:space="preserve">GET /candidate/{id}</w:t>
            </w:r>
          </w:p>
        </w:tc>
        <w:tc>
          <w:tcPr/>
          <w:p>
            <w:pPr>
              <w:pStyle w:val="Compact"/>
            </w:pPr>
            <w:r>
              <w:t xml:space="preserve">Server time</w:t>
            </w:r>
          </w:p>
        </w:tc>
        <w:tc>
          <w:tcPr/>
          <w:p>
            <w:pPr>
              <w:pStyle w:val="Compact"/>
              <w:jc w:val="right"/>
            </w:pPr>
            <w:r>
              <w:t xml:space="preserve">≤ 200 ms</w:t>
            </w:r>
          </w:p>
        </w:tc>
        <w:tc>
          <w:tcPr/>
          <w:p>
            <w:pPr>
              <w:pStyle w:val="Compact"/>
              <w:jc w:val="right"/>
            </w:pPr>
            <w:r>
              <w:t xml:space="preserve">≤ 600 ms</w:t>
            </w:r>
          </w:p>
        </w:tc>
        <w:tc>
          <w:tcPr/>
          <w:p>
            <w:pPr>
              <w:pStyle w:val="Compact"/>
              <w:jc w:val="right"/>
            </w:pPr>
            <w:r>
              <w:t xml:space="preserve">≤ 1200 ms</w:t>
            </w:r>
          </w:p>
        </w:tc>
        <w:tc>
          <w:tcPr/>
          <w:p>
            <w:pPr>
              <w:pStyle w:val="Compact"/>
            </w:pPr>
            <w:r>
              <w:t xml:space="preserve">Reads cache/DB + S3 head</w:t>
            </w:r>
          </w:p>
        </w:tc>
      </w:tr>
    </w:tbl>
    <w:bookmarkEnd w:id="23"/>
    <w:bookmarkStart w:id="24" w:name="throughput-concurrency"/>
    <w:p>
      <w:pPr>
        <w:pStyle w:val="Heading3"/>
      </w:pPr>
      <w:r>
        <w:t xml:space="preserve">4.2 Throughput &amp; Concurrency</w:t>
      </w:r>
    </w:p>
    <w:p>
      <w:pPr>
        <w:pStyle w:val="Compact"/>
        <w:numPr>
          <w:ilvl w:val="0"/>
          <w:numId w:val="1003"/>
        </w:numPr>
      </w:pPr>
      <w:r>
        <w:rPr>
          <w:b/>
          <w:bCs/>
        </w:rPr>
        <w:t xml:space="preserve">Sustained QPS:</w:t>
      </w:r>
      <w:r>
        <w:t xml:space="preserve"> </w:t>
      </w:r>
      <w:r>
        <w:t xml:space="preserve">20 req/s across APIs in normal load;</w:t>
      </w:r>
      <w:r>
        <w:t xml:space="preserve"> </w:t>
      </w:r>
      <w:r>
        <w:rPr>
          <w:b/>
          <w:bCs/>
        </w:rPr>
        <w:t xml:space="preserve">Burst:</w:t>
      </w:r>
      <w:r>
        <w:t xml:space="preserve"> </w:t>
      </w:r>
      <w:r>
        <w:t xml:space="preserve">100 req/s for 10 min.</w:t>
      </w:r>
      <w:r>
        <w:br/>
      </w:r>
    </w:p>
    <w:p>
      <w:pPr>
        <w:pStyle w:val="Compact"/>
        <w:numPr>
          <w:ilvl w:val="0"/>
          <w:numId w:val="1003"/>
        </w:numPr>
      </w:pPr>
      <w:r>
        <w:rPr>
          <w:b/>
          <w:bCs/>
        </w:rPr>
        <w:t xml:space="preserve">Concurrent Recruiters:</w:t>
      </w:r>
      <w:r>
        <w:t xml:space="preserve"> </w:t>
      </w:r>
      <w:r>
        <w:t xml:space="preserve">50 sustained, 200 peak.</w:t>
      </w:r>
      <w:r>
        <w:br/>
      </w:r>
    </w:p>
    <w:p>
      <w:pPr>
        <w:pStyle w:val="Compact"/>
        <w:numPr>
          <w:ilvl w:val="0"/>
          <w:numId w:val="1003"/>
        </w:numPr>
      </w:pPr>
      <w:r>
        <w:rPr>
          <w:b/>
          <w:bCs/>
        </w:rPr>
        <w:t xml:space="preserve">Ingestion:</w:t>
      </w:r>
      <w:r>
        <w:t xml:space="preserve"> </w:t>
      </w:r>
      <w:r>
        <w:t xml:space="preserve">≥ 30,000 resumes/day; spikes to 100,000/day supported with backpressure;</w:t>
      </w:r>
      <w:r>
        <w:t xml:space="preserve"> </w:t>
      </w:r>
      <w:r>
        <w:rPr>
          <w:b/>
          <w:bCs/>
        </w:rPr>
        <w:t xml:space="preserve">Ingestion SLA:</w:t>
      </w:r>
      <w:r>
        <w:t xml:space="preserve"> </w:t>
      </w:r>
      <w:r>
        <w:t xml:space="preserve">95% ingested, parsed, embedded, and indexed within</w:t>
      </w:r>
      <w:r>
        <w:t xml:space="preserve"> </w:t>
      </w:r>
      <w:r>
        <w:rPr>
          <w:b/>
          <w:bCs/>
        </w:rPr>
        <w:t xml:space="preserve">30 min</w:t>
      </w:r>
      <w:r>
        <w:t xml:space="preserve"> </w:t>
      </w:r>
      <w:r>
        <w:t xml:space="preserve">of upload under normal load,</w:t>
      </w:r>
      <w:r>
        <w:t xml:space="preserve"> </w:t>
      </w:r>
      <w:r>
        <w:rPr>
          <w:b/>
          <w:bCs/>
        </w:rPr>
        <w:t xml:space="preserve">2 h</w:t>
      </w:r>
      <w:r>
        <w:t xml:space="preserve"> </w:t>
      </w:r>
      <w:r>
        <w:t xml:space="preserve">under peak.</w:t>
      </w:r>
    </w:p>
    <w:bookmarkEnd w:id="24"/>
    <w:bookmarkStart w:id="25" w:name="embeddings-indexing-capacity"/>
    <w:p>
      <w:pPr>
        <w:pStyle w:val="Heading3"/>
      </w:pPr>
      <w:r>
        <w:t xml:space="preserve">4.3 Embeddings &amp; Indexing Capacity</w:t>
      </w:r>
    </w:p>
    <w:p>
      <w:pPr>
        <w:pStyle w:val="Compact"/>
        <w:numPr>
          <w:ilvl w:val="0"/>
          <w:numId w:val="1004"/>
        </w:numPr>
      </w:pPr>
      <w:r>
        <w:rPr>
          <w:b/>
          <w:bCs/>
        </w:rPr>
        <w:t xml:space="preserve">Embeddings Throughput:</w:t>
      </w:r>
      <w:r>
        <w:t xml:space="preserve"> </w:t>
      </w:r>
      <w:r>
        <w:t xml:space="preserve">≥ 120 documents/min/node (avg resume 2–4 pages) on c6i.xlarge or equivalent; horizontally scalable.</w:t>
      </w:r>
      <w:r>
        <w:br/>
      </w:r>
    </w:p>
    <w:p>
      <w:pPr>
        <w:pStyle w:val="Compact"/>
        <w:numPr>
          <w:ilvl w:val="0"/>
          <w:numId w:val="1004"/>
        </w:numPr>
      </w:pPr>
      <w:r>
        <w:rPr>
          <w:b/>
          <w:bCs/>
        </w:rPr>
        <w:t xml:space="preserve">Vector Index Size:</w:t>
      </w:r>
      <w:r>
        <w:t xml:space="preserve"> </w:t>
      </w:r>
      <w:r>
        <w:t xml:space="preserve">Support 5M resumes v1; roadmap 20M.</w:t>
      </w:r>
      <w:r>
        <w:br/>
      </w:r>
    </w:p>
    <w:p>
      <w:pPr>
        <w:pStyle w:val="Compact"/>
        <w:numPr>
          <w:ilvl w:val="0"/>
          <w:numId w:val="1004"/>
        </w:numPr>
      </w:pPr>
      <w:r>
        <w:rPr>
          <w:b/>
          <w:bCs/>
        </w:rPr>
        <w:t xml:space="preserve">Shard Strategy:</w:t>
      </w:r>
      <w:r>
        <w:t xml:space="preserve"> </w:t>
      </w:r>
      <w:r>
        <w:t xml:space="preserve">≤ 2M vectors/shard; target RAM ≤ 75% per node; spill to IVF/Flat hybrid as needed.</w:t>
      </w:r>
      <w:r>
        <w:br/>
      </w:r>
    </w:p>
    <w:p>
      <w:pPr>
        <w:pStyle w:val="Compact"/>
        <w:numPr>
          <w:ilvl w:val="0"/>
          <w:numId w:val="1004"/>
        </w:numPr>
      </w:pPr>
      <w:r>
        <w:rPr>
          <w:b/>
          <w:bCs/>
        </w:rPr>
        <w:t xml:space="preserve">Index Build/Rebuild:</w:t>
      </w:r>
      <w:r>
        <w:t xml:space="preserve"> </w:t>
      </w:r>
      <w:r>
        <w:t xml:space="preserve">Initial 5M build ≤ 24 h; partial nightly maintenance windows ≤ 2 h.</w:t>
      </w:r>
      <w:r>
        <w:br/>
      </w:r>
    </w:p>
    <w:p>
      <w:pPr>
        <w:pStyle w:val="Compact"/>
        <w:numPr>
          <w:ilvl w:val="0"/>
          <w:numId w:val="1004"/>
        </w:numPr>
      </w:pPr>
      <w:r>
        <w:rPr>
          <w:b/>
          <w:bCs/>
        </w:rPr>
        <w:t xml:space="preserve">Snapshot:</w:t>
      </w:r>
      <w:r>
        <w:t xml:space="preserve"> </w:t>
      </w:r>
      <w:r>
        <w:t xml:space="preserve">Nightly index snapshot to S3; restore ≤ 2 h.</w:t>
      </w:r>
    </w:p>
    <w:bookmarkEnd w:id="25"/>
    <w:bookmarkStart w:id="26" w:name="ui-performance"/>
    <w:p>
      <w:pPr>
        <w:pStyle w:val="Heading3"/>
      </w:pPr>
      <w:r>
        <w:t xml:space="preserve">4.4 UI Performance</w:t>
      </w:r>
    </w:p>
    <w:p>
      <w:pPr>
        <w:pStyle w:val="Compact"/>
        <w:numPr>
          <w:ilvl w:val="0"/>
          <w:numId w:val="1005"/>
        </w:numPr>
      </w:pPr>
      <w:r>
        <w:rPr>
          <w:b/>
          <w:bCs/>
        </w:rPr>
        <w:t xml:space="preserve">Initial load (SPA):</w:t>
      </w:r>
      <w:r>
        <w:t xml:space="preserve"> </w:t>
      </w:r>
      <w:r>
        <w:t xml:space="preserve">TTI ≤ 3 s on 4G/standard laptop; core web vitals CLS ≤ 0.1, LCP ≤ 2.5 s.</w:t>
      </w:r>
      <w:r>
        <w:br/>
      </w:r>
    </w:p>
    <w:p>
      <w:pPr>
        <w:pStyle w:val="Compact"/>
        <w:numPr>
          <w:ilvl w:val="0"/>
          <w:numId w:val="1005"/>
        </w:numPr>
      </w:pPr>
      <w:r>
        <w:rPr>
          <w:b/>
          <w:bCs/>
        </w:rPr>
        <w:t xml:space="preserve">Table interactions:</w:t>
      </w:r>
      <w:r>
        <w:t xml:space="preserve"> </w:t>
      </w:r>
      <w:r>
        <w:t xml:space="preserve">Sort/filter respond ≤ 150 ms (client‑side).</w:t>
      </w:r>
    </w:p>
    <w:bookmarkEnd w:id="26"/>
    <w:bookmarkStart w:id="27" w:name="verification"/>
    <w:p>
      <w:pPr>
        <w:pStyle w:val="Heading3"/>
      </w:pPr>
      <w:r>
        <w:t xml:space="preserve">4.5 Verification</w:t>
      </w:r>
    </w:p>
    <w:p>
      <w:pPr>
        <w:pStyle w:val="Compact"/>
        <w:numPr>
          <w:ilvl w:val="0"/>
          <w:numId w:val="1006"/>
        </w:numPr>
      </w:pPr>
      <w:r>
        <w:t xml:space="preserve">Synthetic and real‑user monitoring; load tests (k6/Locust) to validate P50/P95/P99; profiling to ensure GC/IO not bottlenecks; capacity tests quarterly.</w:t>
      </w:r>
    </w:p>
    <w:p>
      <w:r>
        <w:pict>
          <v:rect style="width:0;height:1.5pt" o:hralign="center" o:hrstd="t" o:hr="t"/>
        </w:pict>
      </w:r>
    </w:p>
    <w:bookmarkEnd w:id="27"/>
    <w:bookmarkEnd w:id="28"/>
    <w:bookmarkStart w:id="29" w:name="scalability"/>
    <w:p>
      <w:pPr>
        <w:pStyle w:val="Heading2"/>
      </w:pPr>
      <w:r>
        <w:t xml:space="preserve">5) Scalability</w:t>
      </w:r>
    </w:p>
    <w:p>
      <w:pPr>
        <w:pStyle w:val="Compact"/>
        <w:numPr>
          <w:ilvl w:val="0"/>
          <w:numId w:val="1007"/>
        </w:numPr>
      </w:pPr>
      <w:r>
        <w:rPr>
          <w:b/>
          <w:bCs/>
        </w:rPr>
        <w:t xml:space="preserve">Horizontal scaling</w:t>
      </w:r>
      <w:r>
        <w:t xml:space="preserve"> </w:t>
      </w:r>
      <w:r>
        <w:t xml:space="preserve">on ECS services (parser, embedder, retriever, re‑ranker).</w:t>
      </w:r>
      <w:r>
        <w:br/>
      </w:r>
    </w:p>
    <w:p>
      <w:pPr>
        <w:pStyle w:val="Compact"/>
        <w:numPr>
          <w:ilvl w:val="0"/>
          <w:numId w:val="1007"/>
        </w:numPr>
      </w:pPr>
      <w:r>
        <w:rPr>
          <w:b/>
          <w:bCs/>
        </w:rPr>
        <w:t xml:space="preserve">Auto Scaling Policies:</w:t>
      </w:r>
      <w:r>
        <w:t xml:space="preserve"> </w:t>
      </w:r>
      <w:r>
        <w:t xml:space="preserve">CPU &gt; 60% for 5 min</w:t>
      </w:r>
      <w:r>
        <w:t xml:space="preserve"> </w:t>
      </w:r>
      <w:r>
        <w:rPr>
          <w:b/>
          <w:bCs/>
        </w:rPr>
        <w:t xml:space="preserve">or</w:t>
      </w:r>
      <w:r>
        <w:t xml:space="preserve"> </w:t>
      </w:r>
      <w:r>
        <w:t xml:space="preserve">P95 latency &gt; target → scale out; idle &lt; 20% for 30 min → scale in.</w:t>
      </w:r>
      <w:r>
        <w:br/>
      </w:r>
    </w:p>
    <w:p>
      <w:pPr>
        <w:pStyle w:val="Compact"/>
        <w:numPr>
          <w:ilvl w:val="0"/>
          <w:numId w:val="1007"/>
        </w:numPr>
      </w:pPr>
      <w:r>
        <w:rPr>
          <w:b/>
          <w:bCs/>
        </w:rPr>
        <w:t xml:space="preserve">Storage Scaling:</w:t>
      </w:r>
      <w:r>
        <w:t xml:space="preserve"> </w:t>
      </w:r>
      <w:r>
        <w:t xml:space="preserve">S3 virtually unlimited; DynamoDB on‑demand with autoscaling; RDS with read replicas and storage autoscaling (if chosen).</w:t>
      </w:r>
      <w:r>
        <w:br/>
      </w:r>
    </w:p>
    <w:p>
      <w:pPr>
        <w:pStyle w:val="Compact"/>
        <w:numPr>
          <w:ilvl w:val="0"/>
          <w:numId w:val="1007"/>
        </w:numPr>
      </w:pPr>
      <w:r>
        <w:rPr>
          <w:b/>
          <w:bCs/>
        </w:rPr>
        <w:t xml:space="preserve">Queueing/Backpressure:</w:t>
      </w:r>
      <w:r>
        <w:t xml:space="preserve"> </w:t>
      </w:r>
      <w:r>
        <w:t xml:space="preserve">SQS for ingestion pipelines with DLQs; max‑inflight caps to protect downstream.</w:t>
      </w:r>
    </w:p>
    <w:p>
      <w:r>
        <w:pict>
          <v:rect style="width:0;height:1.5pt" o:hralign="center" o:hrstd="t" o:hr="t"/>
        </w:pict>
      </w:r>
    </w:p>
    <w:bookmarkEnd w:id="29"/>
    <w:bookmarkStart w:id="30" w:name="availability-resiliency-dr"/>
    <w:p>
      <w:pPr>
        <w:pStyle w:val="Heading2"/>
      </w:pPr>
      <w:r>
        <w:t xml:space="preserve">6) Availability, Resiliency &amp; DR</w:t>
      </w:r>
    </w:p>
    <w:p>
      <w:pPr>
        <w:pStyle w:val="Compact"/>
        <w:numPr>
          <w:ilvl w:val="0"/>
          <w:numId w:val="1008"/>
        </w:numPr>
      </w:pPr>
      <w:r>
        <w:rPr>
          <w:b/>
          <w:bCs/>
        </w:rPr>
        <w:t xml:space="preserve">Service Availability:</w:t>
      </w:r>
      <w:r>
        <w:t xml:space="preserve"> </w:t>
      </w:r>
      <w:r>
        <w:t xml:space="preserve">99.9% monthly for public APIs; scheduled maintenance outside 9am–7pm ET.</w:t>
      </w:r>
      <w:r>
        <w:br/>
      </w:r>
    </w:p>
    <w:p>
      <w:pPr>
        <w:pStyle w:val="Compact"/>
        <w:numPr>
          <w:ilvl w:val="0"/>
          <w:numId w:val="1008"/>
        </w:numPr>
      </w:pPr>
      <w:r>
        <w:rPr>
          <w:b/>
          <w:bCs/>
        </w:rPr>
        <w:t xml:space="preserve">Multi‑AZ:</w:t>
      </w:r>
      <w:r>
        <w:t xml:space="preserve"> </w:t>
      </w:r>
      <w:r>
        <w:t xml:space="preserve">All stateful services deployed multi‑AZ; ECS services spread across AZs.</w:t>
      </w:r>
      <w:r>
        <w:br/>
      </w:r>
    </w:p>
    <w:p>
      <w:pPr>
        <w:pStyle w:val="Compact"/>
        <w:numPr>
          <w:ilvl w:val="0"/>
          <w:numId w:val="1008"/>
        </w:numPr>
      </w:pPr>
      <w:r>
        <w:rPr>
          <w:b/>
          <w:bCs/>
        </w:rPr>
        <w:t xml:space="preserve">Graceful Degradation:</w:t>
      </w:r>
      <w:r>
        <w:t xml:space="preserve"> </w:t>
      </w:r>
      <w:r>
        <w:t xml:space="preserve">If generator is down, still return Top‑20 with basic explanations; if report generator down, allow CSV export.</w:t>
      </w:r>
      <w:r>
        <w:br/>
      </w:r>
    </w:p>
    <w:p>
      <w:pPr>
        <w:pStyle w:val="Compact"/>
        <w:numPr>
          <w:ilvl w:val="0"/>
          <w:numId w:val="1008"/>
        </w:numPr>
      </w:pPr>
      <w:r>
        <w:rPr>
          <w:b/>
          <w:bCs/>
        </w:rPr>
        <w:t xml:space="preserve">Circuit Breakers &amp; Retries:</w:t>
      </w:r>
      <w:r>
        <w:t xml:space="preserve"> </w:t>
      </w:r>
      <w:r>
        <w:t xml:space="preserve">Exponential backoff, idempotent endpoints; bulkheads between components.</w:t>
      </w:r>
      <w:r>
        <w:br/>
      </w:r>
    </w:p>
    <w:p>
      <w:pPr>
        <w:pStyle w:val="Compact"/>
        <w:numPr>
          <w:ilvl w:val="0"/>
          <w:numId w:val="1008"/>
        </w:numPr>
      </w:pPr>
      <w:r>
        <w:rPr>
          <w:b/>
          <w:bCs/>
        </w:rPr>
        <w:t xml:space="preserve">RTO/RPO:</w:t>
      </w:r>
      <w:r>
        <w:t xml:space="preserve"> </w:t>
      </w:r>
      <w:r>
        <w:t xml:space="preserve">RTO ≤ 4 h; RPO ≤ 24 h; index snapshots nightly; DB PITR enabled.</w:t>
      </w:r>
      <w:r>
        <w:br/>
      </w:r>
    </w:p>
    <w:p>
      <w:pPr>
        <w:pStyle w:val="Compact"/>
        <w:numPr>
          <w:ilvl w:val="0"/>
          <w:numId w:val="1008"/>
        </w:numPr>
      </w:pPr>
      <w:r>
        <w:rPr>
          <w:b/>
          <w:bCs/>
        </w:rPr>
        <w:t xml:space="preserve">DR:</w:t>
      </w:r>
      <w:r>
        <w:t xml:space="preserve"> </w:t>
      </w:r>
      <w:r>
        <w:t xml:space="preserve">Warm standby in us‑east‑2; infra as code to recreate; cross‑region S3 replication of curated data and snapshots.</w:t>
      </w:r>
    </w:p>
    <w:p>
      <w:r>
        <w:pict>
          <v:rect style="width:0;height:1.5pt" o:hralign="center" o:hrstd="t" o:hr="t"/>
        </w:pict>
      </w:r>
    </w:p>
    <w:bookmarkEnd w:id="30"/>
    <w:bookmarkStart w:id="31" w:name="reliability-data-integrity"/>
    <w:p>
      <w:pPr>
        <w:pStyle w:val="Heading2"/>
      </w:pPr>
      <w:r>
        <w:t xml:space="preserve">7) Reliability &amp; Data Integrity</w:t>
      </w:r>
    </w:p>
    <w:p>
      <w:pPr>
        <w:pStyle w:val="Compact"/>
        <w:numPr>
          <w:ilvl w:val="0"/>
          <w:numId w:val="1009"/>
        </w:numPr>
      </w:pPr>
      <w:r>
        <w:rPr>
          <w:b/>
          <w:bCs/>
        </w:rPr>
        <w:t xml:space="preserve">Idempotency</w:t>
      </w:r>
      <w:r>
        <w:t xml:space="preserve"> </w:t>
      </w:r>
      <w:r>
        <w:t xml:space="preserve">for ingestion and indexing; dedupe by content hash + fuzzy signatures.</w:t>
      </w:r>
      <w:r>
        <w:br/>
      </w:r>
    </w:p>
    <w:p>
      <w:pPr>
        <w:pStyle w:val="Compact"/>
        <w:numPr>
          <w:ilvl w:val="0"/>
          <w:numId w:val="1009"/>
        </w:numPr>
      </w:pPr>
      <w:r>
        <w:rPr>
          <w:b/>
          <w:bCs/>
        </w:rPr>
        <w:t xml:space="preserve">Exactly‑once semantics</w:t>
      </w:r>
      <w:r>
        <w:t xml:space="preserve"> </w:t>
      </w:r>
      <w:r>
        <w:t xml:space="preserve">for index updates; versioned embeddings and taxonomy.</w:t>
      </w:r>
      <w:r>
        <w:br/>
      </w:r>
    </w:p>
    <w:p>
      <w:pPr>
        <w:pStyle w:val="Compact"/>
        <w:numPr>
          <w:ilvl w:val="0"/>
          <w:numId w:val="1009"/>
        </w:numPr>
      </w:pPr>
      <w:r>
        <w:rPr>
          <w:b/>
          <w:bCs/>
        </w:rPr>
        <w:t xml:space="preserve">Consistency:</w:t>
      </w:r>
      <w:r>
        <w:t xml:space="preserve"> </w:t>
      </w:r>
      <w:r>
        <w:t xml:space="preserve">Read‑after‑write for metadata; eventual for search results within 5 min.</w:t>
      </w:r>
      <w:r>
        <w:br/>
      </w:r>
    </w:p>
    <w:p>
      <w:pPr>
        <w:pStyle w:val="Compact"/>
        <w:numPr>
          <w:ilvl w:val="0"/>
          <w:numId w:val="1009"/>
        </w:numPr>
      </w:pPr>
      <w:r>
        <w:rPr>
          <w:b/>
          <w:bCs/>
        </w:rPr>
        <w:t xml:space="preserve">Checksums</w:t>
      </w:r>
      <w:r>
        <w:t xml:space="preserve"> </w:t>
      </w:r>
      <w:r>
        <w:t xml:space="preserve">stored and validated on S3 objects; periodic consistency audits.</w:t>
      </w:r>
    </w:p>
    <w:p>
      <w:r>
        <w:pict>
          <v:rect style="width:0;height:1.5pt" o:hralign="center" o:hrstd="t" o:hr="t"/>
        </w:pict>
      </w:r>
    </w:p>
    <w:bookmarkEnd w:id="31"/>
    <w:bookmarkStart w:id="37" w:name="security"/>
    <w:p>
      <w:pPr>
        <w:pStyle w:val="Heading2"/>
      </w:pPr>
      <w:r>
        <w:t xml:space="preserve">8) Security</w:t>
      </w:r>
    </w:p>
    <w:bookmarkStart w:id="32" w:name="identity-access"/>
    <w:p>
      <w:pPr>
        <w:pStyle w:val="Heading3"/>
      </w:pPr>
      <w:r>
        <w:t xml:space="preserve">8.1 Identity &amp; Access</w:t>
      </w:r>
    </w:p>
    <w:p>
      <w:pPr>
        <w:pStyle w:val="Compact"/>
        <w:numPr>
          <w:ilvl w:val="0"/>
          <w:numId w:val="1010"/>
        </w:numPr>
      </w:pPr>
      <w:r>
        <w:rPr>
          <w:b/>
          <w:bCs/>
        </w:rPr>
        <w:t xml:space="preserve">AuthN:</w:t>
      </w:r>
      <w:r>
        <w:t xml:space="preserve"> </w:t>
      </w:r>
      <w:r>
        <w:t xml:space="preserve">Amazon Cognito (OIDC/JWT).</w:t>
      </w:r>
      <w:r>
        <w:br/>
      </w:r>
    </w:p>
    <w:p>
      <w:pPr>
        <w:pStyle w:val="Compact"/>
        <w:numPr>
          <w:ilvl w:val="0"/>
          <w:numId w:val="1010"/>
        </w:numPr>
      </w:pPr>
      <w:r>
        <w:rPr>
          <w:b/>
          <w:bCs/>
        </w:rPr>
        <w:t xml:space="preserve">AuthZ:</w:t>
      </w:r>
      <w:r>
        <w:t xml:space="preserve"> </w:t>
      </w:r>
      <w:r>
        <w:t xml:space="preserve">Role‑based access control (RBAC) with fine‑grained permissions (search, download, admin).</w:t>
      </w:r>
      <w:r>
        <w:br/>
      </w:r>
    </w:p>
    <w:p>
      <w:pPr>
        <w:pStyle w:val="Compact"/>
        <w:numPr>
          <w:ilvl w:val="0"/>
          <w:numId w:val="1010"/>
        </w:numPr>
      </w:pPr>
      <w:r>
        <w:rPr>
          <w:b/>
          <w:bCs/>
        </w:rPr>
        <w:t xml:space="preserve">Principle of Least Privilege:</w:t>
      </w:r>
      <w:r>
        <w:t xml:space="preserve"> </w:t>
      </w:r>
      <w:r>
        <w:t xml:space="preserve">IAM scoped to buckets/prefixes, ECS task roles; no long‑lived keys.</w:t>
      </w:r>
    </w:p>
    <w:bookmarkEnd w:id="32"/>
    <w:bookmarkStart w:id="33" w:name="data-protection"/>
    <w:p>
      <w:pPr>
        <w:pStyle w:val="Heading3"/>
      </w:pPr>
      <w:r>
        <w:t xml:space="preserve">8.2 Data Protection</w:t>
      </w:r>
    </w:p>
    <w:p>
      <w:pPr>
        <w:pStyle w:val="Compact"/>
        <w:numPr>
          <w:ilvl w:val="0"/>
          <w:numId w:val="1011"/>
        </w:numPr>
      </w:pPr>
      <w:r>
        <w:rPr>
          <w:b/>
          <w:bCs/>
        </w:rPr>
        <w:t xml:space="preserve">Encryption at Rest:</w:t>
      </w:r>
      <w:r>
        <w:t xml:space="preserve"> </w:t>
      </w:r>
      <w:r>
        <w:t xml:space="preserve">S3 SSE‑KMS; EBS encrypted; DynamoDB/RDS encryption; KMS customer‑managed keys.</w:t>
      </w:r>
      <w:r>
        <w:br/>
      </w:r>
    </w:p>
    <w:p>
      <w:pPr>
        <w:pStyle w:val="Compact"/>
        <w:numPr>
          <w:ilvl w:val="0"/>
          <w:numId w:val="1011"/>
        </w:numPr>
      </w:pPr>
      <w:r>
        <w:rPr>
          <w:b/>
          <w:bCs/>
        </w:rPr>
        <w:t xml:space="preserve">Encryption in Transit:</w:t>
      </w:r>
      <w:r>
        <w:t xml:space="preserve"> </w:t>
      </w:r>
      <w:r>
        <w:t xml:space="preserve">TLS 1.2+; HSTS; perfect forward secrecy ciphers.</w:t>
      </w:r>
      <w:r>
        <w:br/>
      </w:r>
    </w:p>
    <w:p>
      <w:pPr>
        <w:pStyle w:val="Compact"/>
        <w:numPr>
          <w:ilvl w:val="0"/>
          <w:numId w:val="1011"/>
        </w:numPr>
      </w:pPr>
      <w:r>
        <w:rPr>
          <w:b/>
          <w:bCs/>
        </w:rPr>
        <w:t xml:space="preserve">Secrets:</w:t>
      </w:r>
      <w:r>
        <w:t xml:space="preserve"> </w:t>
      </w:r>
      <w:r>
        <w:t xml:space="preserve">AWS Secrets Manager or SSM Parameter Store; rotation every 90 days.</w:t>
      </w:r>
    </w:p>
    <w:bookmarkEnd w:id="33"/>
    <w:bookmarkStart w:id="34" w:name="network-edge-security"/>
    <w:p>
      <w:pPr>
        <w:pStyle w:val="Heading3"/>
      </w:pPr>
      <w:r>
        <w:t xml:space="preserve">8.3 Network &amp; Edge Security</w:t>
      </w:r>
    </w:p>
    <w:p>
      <w:pPr>
        <w:pStyle w:val="Compact"/>
        <w:numPr>
          <w:ilvl w:val="0"/>
          <w:numId w:val="1012"/>
        </w:numPr>
      </w:pPr>
      <w:r>
        <w:t xml:space="preserve">Private subnets for ECS/EC2; NAT for egress; VPC endpoints for S3, DynamoDB.</w:t>
      </w:r>
      <w:r>
        <w:br/>
      </w:r>
    </w:p>
    <w:p>
      <w:pPr>
        <w:pStyle w:val="Compact"/>
        <w:numPr>
          <w:ilvl w:val="0"/>
          <w:numId w:val="1012"/>
        </w:numPr>
      </w:pPr>
      <w:r>
        <w:t xml:space="preserve">WAF on ALB/API Gateway with managed rules + custom bots/regex.</w:t>
      </w:r>
      <w:r>
        <w:br/>
      </w:r>
    </w:p>
    <w:p>
      <w:pPr>
        <w:pStyle w:val="Compact"/>
        <w:numPr>
          <w:ilvl w:val="0"/>
          <w:numId w:val="1012"/>
        </w:numPr>
      </w:pPr>
      <w:r>
        <w:t xml:space="preserve">Security groups deny‑all by default; ingress only from ALB.</w:t>
      </w:r>
    </w:p>
    <w:bookmarkEnd w:id="34"/>
    <w:bookmarkStart w:id="35" w:name="secure-sdlc-appsec"/>
    <w:p>
      <w:pPr>
        <w:pStyle w:val="Heading3"/>
      </w:pPr>
      <w:r>
        <w:t xml:space="preserve">8.4 Secure SDLC &amp; AppSec</w:t>
      </w:r>
    </w:p>
    <w:p>
      <w:pPr>
        <w:pStyle w:val="Compact"/>
        <w:numPr>
          <w:ilvl w:val="0"/>
          <w:numId w:val="1013"/>
        </w:numPr>
      </w:pPr>
      <w:r>
        <w:t xml:space="preserve">SAST/DAST/SCA in CI; dependency pinning; container image signing (Sigstore/COSIGN).</w:t>
      </w:r>
      <w:r>
        <w:br/>
      </w:r>
    </w:p>
    <w:p>
      <w:pPr>
        <w:pStyle w:val="Compact"/>
        <w:numPr>
          <w:ilvl w:val="0"/>
          <w:numId w:val="1013"/>
        </w:numPr>
      </w:pPr>
      <w:r>
        <w:t xml:space="preserve">OWASP ASVS &amp; Top 10; file upload validation; PDF/DOCX sanitization.</w:t>
      </w:r>
      <w:r>
        <w:br/>
      </w:r>
    </w:p>
    <w:p>
      <w:pPr>
        <w:pStyle w:val="Compact"/>
        <w:numPr>
          <w:ilvl w:val="0"/>
          <w:numId w:val="1013"/>
        </w:numPr>
      </w:pPr>
      <w:r>
        <w:rPr>
          <w:b/>
          <w:bCs/>
        </w:rPr>
        <w:t xml:space="preserve">Vulnerability Mgmt:</w:t>
      </w:r>
      <w:r>
        <w:t xml:space="preserve"> </w:t>
      </w:r>
      <w:r>
        <w:t xml:space="preserve">Critical patch &lt; 7 days; High &lt; 14 days.</w:t>
      </w:r>
    </w:p>
    <w:bookmarkEnd w:id="35"/>
    <w:bookmarkStart w:id="36" w:name="audit-logging"/>
    <w:p>
      <w:pPr>
        <w:pStyle w:val="Heading3"/>
      </w:pPr>
      <w:r>
        <w:t xml:space="preserve">8.5 Audit &amp; Logging</w:t>
      </w:r>
    </w:p>
    <w:p>
      <w:pPr>
        <w:pStyle w:val="Compact"/>
        <w:numPr>
          <w:ilvl w:val="0"/>
          <w:numId w:val="1014"/>
        </w:numPr>
      </w:pPr>
      <w:r>
        <w:t xml:space="preserve">CloudTrail enabled; access logs immutable in S3 with Object Lock (Governance).</w:t>
      </w:r>
      <w:r>
        <w:br/>
      </w:r>
    </w:p>
    <w:p>
      <w:pPr>
        <w:pStyle w:val="Compact"/>
        <w:numPr>
          <w:ilvl w:val="0"/>
          <w:numId w:val="1014"/>
        </w:numPr>
      </w:pPr>
      <w:r>
        <w:t xml:space="preserve">Admin actions (weights/taxonomy) logged with user, timestamp, before/after.</w:t>
      </w:r>
    </w:p>
    <w:p>
      <w:r>
        <w:pict>
          <v:rect style="width:0;height:1.5pt" o:hralign="center" o:hrstd="t" o:hr="t"/>
        </w:pict>
      </w:r>
    </w:p>
    <w:bookmarkEnd w:id="36"/>
    <w:bookmarkEnd w:id="37"/>
    <w:bookmarkStart w:id="38" w:name="privacy-compliance"/>
    <w:p>
      <w:pPr>
        <w:pStyle w:val="Heading2"/>
      </w:pPr>
      <w:r>
        <w:t xml:space="preserve">9) Privacy &amp; Compliance</w:t>
      </w:r>
    </w:p>
    <w:p>
      <w:pPr>
        <w:pStyle w:val="Compact"/>
        <w:numPr>
          <w:ilvl w:val="0"/>
          <w:numId w:val="1015"/>
        </w:numPr>
      </w:pPr>
      <w:r>
        <w:rPr>
          <w:b/>
          <w:bCs/>
        </w:rPr>
        <w:t xml:space="preserve">PII Minimization:</w:t>
      </w:r>
      <w:r>
        <w:t xml:space="preserve"> </w:t>
      </w:r>
      <w:r>
        <w:t xml:space="preserve">Store only necessary fields; mask PII in UI by default for sharing.</w:t>
      </w:r>
      <w:r>
        <w:br/>
      </w:r>
    </w:p>
    <w:p>
      <w:pPr>
        <w:pStyle w:val="Compact"/>
        <w:numPr>
          <w:ilvl w:val="0"/>
          <w:numId w:val="1015"/>
        </w:numPr>
      </w:pPr>
      <w:r>
        <w:rPr>
          <w:b/>
          <w:bCs/>
        </w:rPr>
        <w:t xml:space="preserve">Candidate Consent:</w:t>
      </w:r>
      <w:r>
        <w:t xml:space="preserve"> </w:t>
      </w:r>
      <w:r>
        <w:t xml:space="preserve">Documented basis for processing; opt‑out workflows.</w:t>
      </w:r>
      <w:r>
        <w:br/>
      </w:r>
    </w:p>
    <w:p>
      <w:pPr>
        <w:pStyle w:val="Compact"/>
        <w:numPr>
          <w:ilvl w:val="0"/>
          <w:numId w:val="1015"/>
        </w:numPr>
      </w:pPr>
      <w:r>
        <w:rPr>
          <w:b/>
          <w:bCs/>
        </w:rPr>
        <w:t xml:space="preserve">DSAR:</w:t>
      </w:r>
      <w:r>
        <w:t xml:space="preserve"> </w:t>
      </w:r>
      <w:r>
        <w:t xml:space="preserve">Fulfill data‑subject access/delete within</w:t>
      </w:r>
      <w:r>
        <w:t xml:space="preserve"> </w:t>
      </w:r>
      <w:r>
        <w:rPr>
          <w:b/>
          <w:bCs/>
        </w:rPr>
        <w:t xml:space="preserve">30 days</w:t>
      </w:r>
      <w:r>
        <w:t xml:space="preserve">; hard delete within</w:t>
      </w:r>
      <w:r>
        <w:t xml:space="preserve"> </w:t>
      </w:r>
      <w:r>
        <w:rPr>
          <w:b/>
          <w:bCs/>
        </w:rPr>
        <w:t xml:space="preserve">60 days</w:t>
      </w:r>
      <w:r>
        <w:t xml:space="preserve"> </w:t>
      </w:r>
      <w:r>
        <w:t xml:space="preserve">including derived embeddings.</w:t>
      </w:r>
      <w:r>
        <w:br/>
      </w:r>
    </w:p>
    <w:p>
      <w:pPr>
        <w:pStyle w:val="Compact"/>
        <w:numPr>
          <w:ilvl w:val="0"/>
          <w:numId w:val="1015"/>
        </w:numPr>
      </w:pPr>
      <w:r>
        <w:rPr>
          <w:b/>
          <w:bCs/>
        </w:rPr>
        <w:t xml:space="preserve">Retention:</w:t>
      </w:r>
      <w:r>
        <w:t xml:space="preserve"> </w:t>
      </w:r>
      <w:r>
        <w:t xml:space="preserve">Default</w:t>
      </w:r>
      <w:r>
        <w:t xml:space="preserve"> </w:t>
      </w:r>
      <w:r>
        <w:rPr>
          <w:b/>
          <w:bCs/>
        </w:rPr>
        <w:t xml:space="preserve">2 years</w:t>
      </w:r>
      <w:r>
        <w:t xml:space="preserve"> </w:t>
      </w:r>
      <w:r>
        <w:t xml:space="preserve">of inactivity; configurable per client.</w:t>
      </w:r>
      <w:r>
        <w:br/>
      </w:r>
    </w:p>
    <w:p>
      <w:pPr>
        <w:pStyle w:val="Compact"/>
        <w:numPr>
          <w:ilvl w:val="0"/>
          <w:numId w:val="1015"/>
        </w:numPr>
      </w:pPr>
      <w:r>
        <w:rPr>
          <w:b/>
          <w:bCs/>
        </w:rPr>
        <w:t xml:space="preserve">Regulatory:</w:t>
      </w:r>
      <w:r>
        <w:t xml:space="preserve"> </w:t>
      </w:r>
      <w:r>
        <w:t xml:space="preserve">CCPA/CPRA, GDPR (if applicable), and</w:t>
      </w:r>
      <w:r>
        <w:t xml:space="preserve"> </w:t>
      </w:r>
      <w:r>
        <w:rPr>
          <w:b/>
          <w:bCs/>
        </w:rPr>
        <w:t xml:space="preserve">EEOC</w:t>
      </w:r>
      <w:r>
        <w:t xml:space="preserve"> </w:t>
      </w:r>
      <w:r>
        <w:t xml:space="preserve">fairness guidance; U.S. employment practices.</w:t>
      </w:r>
      <w:r>
        <w:br/>
      </w:r>
    </w:p>
    <w:p>
      <w:pPr>
        <w:pStyle w:val="Compact"/>
        <w:numPr>
          <w:ilvl w:val="0"/>
          <w:numId w:val="1015"/>
        </w:numPr>
      </w:pPr>
      <w:r>
        <w:rPr>
          <w:b/>
          <w:bCs/>
        </w:rPr>
        <w:t xml:space="preserve">Cross‑Border:</w:t>
      </w:r>
      <w:r>
        <w:t xml:space="preserve"> </w:t>
      </w:r>
      <w:r>
        <w:t xml:space="preserve">Keep US candidates in US regions; disclose if otherwise.</w:t>
      </w:r>
    </w:p>
    <w:p>
      <w:r>
        <w:pict>
          <v:rect style="width:0;height:1.5pt" o:hralign="center" o:hrstd="t" o:hr="t"/>
        </w:pict>
      </w:r>
    </w:p>
    <w:bookmarkEnd w:id="38"/>
    <w:bookmarkStart w:id="43" w:name="responsible-ai-ir-quality"/>
    <w:p>
      <w:pPr>
        <w:pStyle w:val="Heading2"/>
      </w:pPr>
      <w:r>
        <w:t xml:space="preserve">10) Responsible AI &amp; IR Quality</w:t>
      </w:r>
    </w:p>
    <w:bookmarkStart w:id="39" w:name="matching-quality-metrics-ir"/>
    <w:p>
      <w:pPr>
        <w:pStyle w:val="Heading3"/>
      </w:pPr>
      <w:r>
        <w:t xml:space="preserve">10.1 Matching Quality Metrics (IR)</w:t>
      </w:r>
    </w:p>
    <w:p>
      <w:pPr>
        <w:pStyle w:val="Compact"/>
        <w:numPr>
          <w:ilvl w:val="0"/>
          <w:numId w:val="1016"/>
        </w:numPr>
      </w:pPr>
      <w:r>
        <w:rPr>
          <w:b/>
          <w:bCs/>
        </w:rPr>
        <w:t xml:space="preserve">Precision@20 ≥ 0.65</w:t>
      </w:r>
      <w:r>
        <w:t xml:space="preserve">,</w:t>
      </w:r>
      <w:r>
        <w:t xml:space="preserve"> </w:t>
      </w:r>
      <w:r>
        <w:rPr>
          <w:b/>
          <w:bCs/>
        </w:rPr>
        <w:t xml:space="preserve">Recall@200 ≥ 0.75</w:t>
      </w:r>
      <w:r>
        <w:t xml:space="preserve">,</w:t>
      </w:r>
      <w:r>
        <w:t xml:space="preserve"> </w:t>
      </w:r>
      <w:r>
        <w:rPr>
          <w:b/>
          <w:bCs/>
        </w:rPr>
        <w:t xml:space="preserve">nDCG@20 ≥ 0.80</w:t>
      </w:r>
      <w:r>
        <w:t xml:space="preserve"> </w:t>
      </w:r>
      <w:r>
        <w:t xml:space="preserve">on labeled JD↔resume gold set.</w:t>
      </w:r>
      <w:r>
        <w:br/>
      </w:r>
    </w:p>
    <w:p>
      <w:pPr>
        <w:pStyle w:val="Compact"/>
        <w:numPr>
          <w:ilvl w:val="0"/>
          <w:numId w:val="1016"/>
        </w:numPr>
      </w:pPr>
      <w:r>
        <w:rPr>
          <w:b/>
          <w:bCs/>
        </w:rPr>
        <w:t xml:space="preserve">Time‑to‑first‑useful‑result:</w:t>
      </w:r>
      <w:r>
        <w:t xml:space="preserve"> </w:t>
      </w:r>
      <w:r>
        <w:t xml:space="preserve">≤ 2 s P95.</w:t>
      </w:r>
      <w:r>
        <w:br/>
      </w:r>
    </w:p>
    <w:p>
      <w:pPr>
        <w:pStyle w:val="Compact"/>
        <w:numPr>
          <w:ilvl w:val="0"/>
          <w:numId w:val="1016"/>
        </w:numPr>
      </w:pPr>
      <w:r>
        <w:rPr>
          <w:b/>
          <w:bCs/>
        </w:rPr>
        <w:t xml:space="preserve">Explanation Sufficiency Score:</w:t>
      </w:r>
      <w:r>
        <w:t xml:space="preserve"> </w:t>
      </w:r>
      <w:r>
        <w:t xml:space="preserve">≥ 0.85 (human‑rated) — evidence snippets clearly justify top matches.</w:t>
      </w:r>
    </w:p>
    <w:bookmarkEnd w:id="39"/>
    <w:bookmarkStart w:id="40" w:name="fraud-detection-metrics"/>
    <w:p>
      <w:pPr>
        <w:pStyle w:val="Heading3"/>
      </w:pPr>
      <w:r>
        <w:t xml:space="preserve">10.2 Fraud Detection Metrics</w:t>
      </w:r>
    </w:p>
    <w:p>
      <w:pPr>
        <w:pStyle w:val="Compact"/>
        <w:numPr>
          <w:ilvl w:val="0"/>
          <w:numId w:val="1017"/>
        </w:numPr>
      </w:pPr>
      <w:r>
        <w:rPr>
          <w:b/>
          <w:bCs/>
        </w:rPr>
        <w:t xml:space="preserve">Precision (High‑risk flag):</w:t>
      </w:r>
      <w:r>
        <w:t xml:space="preserve"> </w:t>
      </w:r>
      <w:r>
        <w:t xml:space="preserve">≥ 0.80;</w:t>
      </w:r>
      <w:r>
        <w:t xml:space="preserve"> </w:t>
      </w:r>
      <w:r>
        <w:rPr>
          <w:b/>
          <w:bCs/>
        </w:rPr>
        <w:t xml:space="preserve">Recall:</w:t>
      </w:r>
      <w:r>
        <w:t xml:space="preserve"> </w:t>
      </w:r>
      <w:r>
        <w:t xml:space="preserve">≥ 0.60;</w:t>
      </w:r>
      <w:r>
        <w:t xml:space="preserve"> </w:t>
      </w:r>
      <w:r>
        <w:rPr>
          <w:b/>
          <w:bCs/>
        </w:rPr>
        <w:t xml:space="preserve">FPR:</w:t>
      </w:r>
      <w:r>
        <w:t xml:space="preserve"> </w:t>
      </w:r>
      <w:r>
        <w:t xml:space="preserve">≤ 5%.</w:t>
      </w:r>
      <w:r>
        <w:br/>
      </w:r>
    </w:p>
    <w:p>
      <w:pPr>
        <w:pStyle w:val="Compact"/>
        <w:numPr>
          <w:ilvl w:val="0"/>
          <w:numId w:val="1017"/>
        </w:numPr>
      </w:pPr>
      <w:r>
        <w:t xml:space="preserve">All fraud outcomes are</w:t>
      </w:r>
      <w:r>
        <w:t xml:space="preserve"> </w:t>
      </w:r>
      <w:r>
        <w:rPr>
          <w:b/>
          <w:bCs/>
        </w:rPr>
        <w:t xml:space="preserve">assistive</w:t>
      </w:r>
      <w:r>
        <w:t xml:space="preserve"> </w:t>
      </w:r>
      <w:r>
        <w:t xml:space="preserve">(re‑ranking penalties), not automatic rejections.</w:t>
      </w:r>
    </w:p>
    <w:bookmarkEnd w:id="40"/>
    <w:bookmarkStart w:id="41" w:name="bias-fairness-guardrails"/>
    <w:p>
      <w:pPr>
        <w:pStyle w:val="Heading3"/>
      </w:pPr>
      <w:r>
        <w:t xml:space="preserve">10.3 Bias, Fairness &amp; Guardrails</w:t>
      </w:r>
    </w:p>
    <w:p>
      <w:pPr>
        <w:pStyle w:val="Compact"/>
        <w:numPr>
          <w:ilvl w:val="0"/>
          <w:numId w:val="1018"/>
        </w:numPr>
      </w:pPr>
      <w:r>
        <w:t xml:space="preserve">No use of protected attributes (race, gender, age, religion, etc.) in scoring or features.</w:t>
      </w:r>
      <w:r>
        <w:br/>
      </w:r>
    </w:p>
    <w:p>
      <w:pPr>
        <w:pStyle w:val="Compact"/>
        <w:numPr>
          <w:ilvl w:val="0"/>
          <w:numId w:val="1018"/>
        </w:numPr>
      </w:pPr>
      <w:r>
        <w:rPr>
          <w:b/>
          <w:bCs/>
        </w:rPr>
        <w:t xml:space="preserve">Bias Audits:</w:t>
      </w:r>
      <w:r>
        <w:t xml:space="preserve"> </w:t>
      </w:r>
      <w:r>
        <w:t xml:space="preserve">Quarterly disparate‑impact checks on model outputs; keep</w:t>
      </w:r>
      <w:r>
        <w:t xml:space="preserve"> </w:t>
      </w:r>
      <w:r>
        <w:rPr>
          <w:b/>
          <w:bCs/>
        </w:rPr>
        <w:t xml:space="preserve">impact ratio ≥ 0.8</w:t>
      </w:r>
      <w:r>
        <w:t xml:space="preserve"> </w:t>
      </w:r>
      <w:r>
        <w:t xml:space="preserve">across protected groups where data is available.</w:t>
      </w:r>
      <w:r>
        <w:br/>
      </w:r>
    </w:p>
    <w:p>
      <w:pPr>
        <w:pStyle w:val="Compact"/>
        <w:numPr>
          <w:ilvl w:val="0"/>
          <w:numId w:val="1018"/>
        </w:numPr>
      </w:pPr>
      <w:r>
        <w:rPr>
          <w:b/>
          <w:bCs/>
        </w:rPr>
        <w:t xml:space="preserve">Explainability:</w:t>
      </w:r>
      <w:r>
        <w:t xml:space="preserve"> </w:t>
      </w:r>
      <w:r>
        <w:t xml:space="preserve">Provide per‑feature contributions and matched evidence.</w:t>
      </w:r>
      <w:r>
        <w:br/>
      </w:r>
    </w:p>
    <w:p>
      <w:pPr>
        <w:pStyle w:val="Compact"/>
        <w:numPr>
          <w:ilvl w:val="0"/>
          <w:numId w:val="1018"/>
        </w:numPr>
      </w:pPr>
      <w:r>
        <w:rPr>
          <w:b/>
          <w:bCs/>
        </w:rPr>
        <w:t xml:space="preserve">Grounding:</w:t>
      </w:r>
      <w:r>
        <w:t xml:space="preserve"> </w:t>
      </w:r>
      <w:r>
        <w:t xml:space="preserve">All generated summaries must cite resume provenance; no hallucinated claims.</w:t>
      </w:r>
    </w:p>
    <w:bookmarkEnd w:id="41"/>
    <w:bookmarkStart w:id="42" w:name="verification-1"/>
    <w:p>
      <w:pPr>
        <w:pStyle w:val="Heading3"/>
      </w:pPr>
      <w:r>
        <w:t xml:space="preserve">10.4 Verification</w:t>
      </w:r>
    </w:p>
    <w:p>
      <w:pPr>
        <w:pStyle w:val="Compact"/>
        <w:numPr>
          <w:ilvl w:val="0"/>
          <w:numId w:val="1019"/>
        </w:numPr>
      </w:pPr>
      <w:r>
        <w:t xml:space="preserve">Gold set curation; blinded human judging; A/B testing with error‑budget policies; offline eval + online metrics.</w:t>
      </w:r>
    </w:p>
    <w:p>
      <w:r>
        <w:pict>
          <v:rect style="width:0;height:1.5pt" o:hralign="center" o:hrstd="t" o:hr="t"/>
        </w:pict>
      </w:r>
    </w:p>
    <w:bookmarkEnd w:id="42"/>
    <w:bookmarkEnd w:id="43"/>
    <w:bookmarkStart w:id="44" w:name="observability"/>
    <w:p>
      <w:pPr>
        <w:pStyle w:val="Heading2"/>
      </w:pPr>
      <w:r>
        <w:t xml:space="preserve">11) Observability</w:t>
      </w:r>
    </w:p>
    <w:p>
      <w:pPr>
        <w:pStyle w:val="Compact"/>
        <w:numPr>
          <w:ilvl w:val="0"/>
          <w:numId w:val="1020"/>
        </w:numPr>
      </w:pPr>
      <w:r>
        <w:rPr>
          <w:b/>
          <w:bCs/>
        </w:rPr>
        <w:t xml:space="preserve">Logging:</w:t>
      </w:r>
      <w:r>
        <w:t xml:space="preserve"> </w:t>
      </w:r>
      <w:r>
        <w:t xml:space="preserve">JSON structured logs; request IDs propagated (traceparent).</w:t>
      </w:r>
      <w:r>
        <w:br/>
      </w:r>
    </w:p>
    <w:p>
      <w:pPr>
        <w:pStyle w:val="Compact"/>
        <w:numPr>
          <w:ilvl w:val="0"/>
          <w:numId w:val="1020"/>
        </w:numPr>
      </w:pPr>
      <w:r>
        <w:rPr>
          <w:b/>
          <w:bCs/>
        </w:rPr>
        <w:t xml:space="preserve">Metrics:</w:t>
      </w:r>
      <w:r>
        <w:t xml:space="preserve"> </w:t>
      </w:r>
      <w:r>
        <w:t xml:space="preserve">API latency/throughput, error rates, queue depth, index load factor, cache hit rate, embedding TPS, snapshot duration.</w:t>
      </w:r>
      <w:r>
        <w:br/>
      </w:r>
    </w:p>
    <w:p>
      <w:pPr>
        <w:pStyle w:val="Compact"/>
        <w:numPr>
          <w:ilvl w:val="0"/>
          <w:numId w:val="1020"/>
        </w:numPr>
      </w:pPr>
      <w:r>
        <w:rPr>
          <w:b/>
          <w:bCs/>
        </w:rPr>
        <w:t xml:space="preserve">Tracing:</w:t>
      </w:r>
      <w:r>
        <w:t xml:space="preserve"> </w:t>
      </w:r>
      <w:r>
        <w:t xml:space="preserve">OpenTelemetry traces across UI→API→services.</w:t>
      </w:r>
      <w:r>
        <w:br/>
      </w:r>
    </w:p>
    <w:p>
      <w:pPr>
        <w:pStyle w:val="Compact"/>
        <w:numPr>
          <w:ilvl w:val="0"/>
          <w:numId w:val="1020"/>
        </w:numPr>
      </w:pPr>
      <w:r>
        <w:rPr>
          <w:b/>
          <w:bCs/>
        </w:rPr>
        <w:t xml:space="preserve">Dashboards:</w:t>
      </w:r>
      <w:r>
        <w:t xml:space="preserve"> </w:t>
      </w:r>
      <w:r>
        <w:t xml:space="preserve">Service health, ingestion pipeline, search latency, IR metrics.</w:t>
      </w:r>
      <w:r>
        <w:br/>
      </w:r>
    </w:p>
    <w:p>
      <w:pPr>
        <w:pStyle w:val="Compact"/>
        <w:numPr>
          <w:ilvl w:val="0"/>
          <w:numId w:val="1020"/>
        </w:numPr>
      </w:pPr>
      <w:r>
        <w:rPr>
          <w:b/>
          <w:bCs/>
        </w:rPr>
        <w:t xml:space="preserve">Alerts:</w:t>
      </w:r>
      <w:r>
        <w:t xml:space="preserve"> </w:t>
      </w:r>
      <w:r>
        <w:t xml:space="preserve">P95 search latency &gt; 3 s (5 min), error rate &gt; 1% (5 min), queue age &gt; 10 min, node memory &gt; 80%, disk &gt; 80%.</w:t>
      </w:r>
    </w:p>
    <w:p>
      <w:r>
        <w:pict>
          <v:rect style="width:0;height:1.5pt" o:hralign="center" o:hrstd="t" o:hr="t"/>
        </w:pict>
      </w:r>
    </w:p>
    <w:bookmarkEnd w:id="44"/>
    <w:bookmarkStart w:id="45" w:name="operability-sre"/>
    <w:p>
      <w:pPr>
        <w:pStyle w:val="Heading2"/>
      </w:pPr>
      <w:r>
        <w:t xml:space="preserve">12) Operability &amp; SRE</w:t>
      </w:r>
    </w:p>
    <w:p>
      <w:pPr>
        <w:pStyle w:val="Compact"/>
        <w:numPr>
          <w:ilvl w:val="0"/>
          <w:numId w:val="1021"/>
        </w:numPr>
      </w:pPr>
      <w:r>
        <w:rPr>
          <w:b/>
          <w:bCs/>
        </w:rPr>
        <w:t xml:space="preserve">SLOs:</w:t>
      </w:r>
    </w:p>
    <w:p>
      <w:pPr>
        <w:pStyle w:val="Compact"/>
        <w:numPr>
          <w:ilvl w:val="1"/>
          <w:numId w:val="1022"/>
        </w:numPr>
      </w:pPr>
      <w:r>
        <w:t xml:space="preserve">Availability 99.9% monthly.</w:t>
      </w:r>
    </w:p>
    <w:p>
      <w:pPr>
        <w:pStyle w:val="Compact"/>
        <w:numPr>
          <w:ilvl w:val="1"/>
          <w:numId w:val="1022"/>
        </w:numPr>
      </w:pPr>
      <w:r>
        <w:t xml:space="preserve">P95 search latency ≤ 3 s.</w:t>
      </w:r>
    </w:p>
    <w:p>
      <w:pPr>
        <w:pStyle w:val="Compact"/>
        <w:numPr>
          <w:ilvl w:val="1"/>
          <w:numId w:val="1022"/>
        </w:numPr>
      </w:pPr>
      <w:r>
        <w:t xml:space="preserve">Ingestion 95% ≤ 30 min.</w:t>
      </w:r>
    </w:p>
    <w:p>
      <w:pPr>
        <w:pStyle w:val="Compact"/>
        <w:numPr>
          <w:ilvl w:val="0"/>
          <w:numId w:val="1021"/>
        </w:numPr>
      </w:pPr>
      <w:r>
        <w:rPr>
          <w:b/>
          <w:bCs/>
        </w:rPr>
        <w:t xml:space="preserve">Error Budgets:</w:t>
      </w:r>
      <w:r>
        <w:t xml:space="preserve"> </w:t>
      </w:r>
      <w:r>
        <w:t xml:space="preserve">Trigger release freeze if SLOs breached in last 30 days.</w:t>
      </w:r>
      <w:r>
        <w:br/>
      </w:r>
    </w:p>
    <w:p>
      <w:pPr>
        <w:pStyle w:val="Compact"/>
        <w:numPr>
          <w:ilvl w:val="0"/>
          <w:numId w:val="1021"/>
        </w:numPr>
      </w:pPr>
      <w:r>
        <w:rPr>
          <w:b/>
          <w:bCs/>
        </w:rPr>
        <w:t xml:space="preserve">Incident Mgmt:</w:t>
      </w:r>
      <w:r>
        <w:t xml:space="preserve"> </w:t>
      </w:r>
      <w:r>
        <w:t xml:space="preserve">Severity definitions, on‑call 24×7; MTTA ≤ 10 min, MTTR ≤ 60 min (Sev‑1).</w:t>
      </w:r>
      <w:r>
        <w:br/>
      </w:r>
    </w:p>
    <w:p>
      <w:pPr>
        <w:pStyle w:val="Compact"/>
        <w:numPr>
          <w:ilvl w:val="0"/>
          <w:numId w:val="1021"/>
        </w:numPr>
      </w:pPr>
      <w:r>
        <w:rPr>
          <w:b/>
          <w:bCs/>
        </w:rPr>
        <w:t xml:space="preserve">Runbooks:</w:t>
      </w:r>
      <w:r>
        <w:t xml:space="preserve"> </w:t>
      </w:r>
      <w:r>
        <w:t xml:space="preserve">Failover, cache warm, index restore, partial degradation procedures.</w:t>
      </w:r>
    </w:p>
    <w:p>
      <w:r>
        <w:pict>
          <v:rect style="width:0;height:1.5pt" o:hralign="center" o:hrstd="t" o:hr="t"/>
        </w:pict>
      </w:r>
    </w:p>
    <w:bookmarkEnd w:id="45"/>
    <w:bookmarkStart w:id="46" w:name="maintainability-supportability"/>
    <w:p>
      <w:pPr>
        <w:pStyle w:val="Heading2"/>
      </w:pPr>
      <w:r>
        <w:t xml:space="preserve">13) Maintainability &amp; Supportability</w:t>
      </w:r>
    </w:p>
    <w:p>
      <w:pPr>
        <w:pStyle w:val="Compact"/>
        <w:numPr>
          <w:ilvl w:val="0"/>
          <w:numId w:val="1023"/>
        </w:numPr>
      </w:pPr>
      <w:r>
        <w:rPr>
          <w:b/>
          <w:bCs/>
        </w:rPr>
        <w:t xml:space="preserve">Code Quality:</w:t>
      </w:r>
      <w:r>
        <w:t xml:space="preserve"> </w:t>
      </w:r>
      <w:r>
        <w:t xml:space="preserve">Linting, type‑checking (mypy), unit test coverage ≥ 80%.</w:t>
      </w:r>
      <w:r>
        <w:br/>
      </w:r>
    </w:p>
    <w:p>
      <w:pPr>
        <w:pStyle w:val="Compact"/>
        <w:numPr>
          <w:ilvl w:val="0"/>
          <w:numId w:val="1023"/>
        </w:numPr>
      </w:pPr>
      <w:r>
        <w:rPr>
          <w:b/>
          <w:bCs/>
        </w:rPr>
        <w:t xml:space="preserve">Docs:</w:t>
      </w:r>
      <w:r>
        <w:t xml:space="preserve"> </w:t>
      </w:r>
      <w:r>
        <w:t xml:space="preserve">ADRs for key decisions; API docs (OpenAPI) auto‑published.</w:t>
      </w:r>
      <w:r>
        <w:br/>
      </w:r>
    </w:p>
    <w:p>
      <w:pPr>
        <w:pStyle w:val="Compact"/>
        <w:numPr>
          <w:ilvl w:val="0"/>
          <w:numId w:val="1023"/>
        </w:numPr>
      </w:pPr>
      <w:r>
        <w:rPr>
          <w:b/>
          <w:bCs/>
        </w:rPr>
        <w:t xml:space="preserve">Config Mgmt:</w:t>
      </w:r>
      <w:r>
        <w:t xml:space="preserve"> </w:t>
      </w:r>
      <w:r>
        <w:t xml:space="preserve">All config in env/SSM; no config in code; feature flags supported.</w:t>
      </w:r>
      <w:r>
        <w:br/>
      </w:r>
    </w:p>
    <w:p>
      <w:pPr>
        <w:pStyle w:val="Compact"/>
        <w:numPr>
          <w:ilvl w:val="0"/>
          <w:numId w:val="1023"/>
        </w:numPr>
      </w:pPr>
      <w:r>
        <w:rPr>
          <w:b/>
          <w:bCs/>
        </w:rPr>
        <w:t xml:space="preserve">Backwards Compatibility:</w:t>
      </w:r>
      <w:r>
        <w:t xml:space="preserve"> </w:t>
      </w:r>
      <w:r>
        <w:t xml:space="preserve">API v1 is stable for ≥ 12 months; deprecation policy with 90‑day notice.</w:t>
      </w:r>
    </w:p>
    <w:p>
      <w:r>
        <w:pict>
          <v:rect style="width:0;height:1.5pt" o:hralign="center" o:hrstd="t" o:hr="t"/>
        </w:pict>
      </w:r>
    </w:p>
    <w:bookmarkEnd w:id="46"/>
    <w:bookmarkStart w:id="47" w:name="deployability-release-engineering"/>
    <w:p>
      <w:pPr>
        <w:pStyle w:val="Heading2"/>
      </w:pPr>
      <w:r>
        <w:t xml:space="preserve">14) Deployability &amp; Release Engineering</w:t>
      </w:r>
    </w:p>
    <w:p>
      <w:pPr>
        <w:pStyle w:val="Compact"/>
        <w:numPr>
          <w:ilvl w:val="0"/>
          <w:numId w:val="1024"/>
        </w:numPr>
      </w:pPr>
      <w:r>
        <w:rPr>
          <w:b/>
          <w:bCs/>
        </w:rPr>
        <w:t xml:space="preserve">CI/CD:</w:t>
      </w:r>
      <w:r>
        <w:t xml:space="preserve"> </w:t>
      </w:r>
      <w:r>
        <w:t xml:space="preserve">GitHub Actions → ECR → ECS blue/green with canary 10% for 30 min.</w:t>
      </w:r>
      <w:r>
        <w:br/>
      </w:r>
    </w:p>
    <w:p>
      <w:pPr>
        <w:pStyle w:val="Compact"/>
        <w:numPr>
          <w:ilvl w:val="0"/>
          <w:numId w:val="1024"/>
        </w:numPr>
      </w:pPr>
      <w:r>
        <w:rPr>
          <w:b/>
          <w:bCs/>
        </w:rPr>
        <w:t xml:space="preserve">Rollbacks:</w:t>
      </w:r>
      <w:r>
        <w:t xml:space="preserve"> </w:t>
      </w:r>
      <w:r>
        <w:t xml:space="preserve">One‑click rollback within 5 min; database migrations are backward‑compatible.</w:t>
      </w:r>
      <w:r>
        <w:br/>
      </w:r>
    </w:p>
    <w:p>
      <w:pPr>
        <w:pStyle w:val="Compact"/>
        <w:numPr>
          <w:ilvl w:val="0"/>
          <w:numId w:val="1024"/>
        </w:numPr>
      </w:pPr>
      <w:r>
        <w:rPr>
          <w:b/>
          <w:bCs/>
        </w:rPr>
        <w:t xml:space="preserve">DORA Targets:</w:t>
      </w:r>
      <w:r>
        <w:t xml:space="preserve"> </w:t>
      </w:r>
      <w:r>
        <w:t xml:space="preserve">Deployment frequency ≥ weekly; change failure rate ≤ 15%; MTTR ≤ 1 h; lead time ≤ 1 day.</w:t>
      </w:r>
    </w:p>
    <w:p>
      <w:r>
        <w:pict>
          <v:rect style="width:0;height:1.5pt" o:hralign="center" o:hrstd="t" o:hr="t"/>
        </w:pict>
      </w:r>
    </w:p>
    <w:bookmarkEnd w:id="47"/>
    <w:bookmarkStart w:id="48" w:name="compatibility-accessibility-ux-quality"/>
    <w:p>
      <w:pPr>
        <w:pStyle w:val="Heading2"/>
      </w:pPr>
      <w:r>
        <w:t xml:space="preserve">15) Compatibility, Accessibility &amp; UX Quality</w:t>
      </w:r>
    </w:p>
    <w:p>
      <w:pPr>
        <w:pStyle w:val="Compact"/>
        <w:numPr>
          <w:ilvl w:val="0"/>
          <w:numId w:val="1025"/>
        </w:numPr>
      </w:pPr>
      <w:r>
        <w:rPr>
          <w:b/>
          <w:bCs/>
        </w:rPr>
        <w:t xml:space="preserve">Browser Support:</w:t>
      </w:r>
      <w:r>
        <w:t xml:space="preserve"> </w:t>
      </w:r>
      <w:r>
        <w:t xml:space="preserve">Latest 2 versions of Chrome, Edge, Firefox; Safari latest.</w:t>
      </w:r>
      <w:r>
        <w:br/>
      </w:r>
    </w:p>
    <w:p>
      <w:pPr>
        <w:pStyle w:val="Compact"/>
        <w:numPr>
          <w:ilvl w:val="0"/>
          <w:numId w:val="1025"/>
        </w:numPr>
      </w:pPr>
      <w:r>
        <w:rPr>
          <w:b/>
          <w:bCs/>
        </w:rPr>
        <w:t xml:space="preserve">Accessibility:</w:t>
      </w:r>
      <w:r>
        <w:t xml:space="preserve"> </w:t>
      </w:r>
      <w:r>
        <w:t xml:space="preserve">WCAG 2.1 AA; keyboard navigation, focus states, ARIA labels, color‑contrast checks.</w:t>
      </w:r>
      <w:r>
        <w:br/>
      </w:r>
    </w:p>
    <w:p>
      <w:pPr>
        <w:pStyle w:val="Compact"/>
        <w:numPr>
          <w:ilvl w:val="0"/>
          <w:numId w:val="1025"/>
        </w:numPr>
      </w:pPr>
      <w:r>
        <w:rPr>
          <w:b/>
          <w:bCs/>
        </w:rPr>
        <w:t xml:space="preserve">Localization:</w:t>
      </w:r>
      <w:r>
        <w:t xml:space="preserve"> </w:t>
      </w:r>
      <w:r>
        <w:t xml:space="preserve">US English; full Unicode support for names; right‑to‑left layout not required v1.</w:t>
      </w:r>
    </w:p>
    <w:p>
      <w:r>
        <w:pict>
          <v:rect style="width:0;height:1.5pt" o:hralign="center" o:hrstd="t" o:hr="t"/>
        </w:pict>
      </w:r>
    </w:p>
    <w:bookmarkEnd w:id="48"/>
    <w:bookmarkStart w:id="49" w:name="interoperability-integration"/>
    <w:p>
      <w:pPr>
        <w:pStyle w:val="Heading2"/>
      </w:pPr>
      <w:r>
        <w:t xml:space="preserve">16) Interoperability &amp; Integration</w:t>
      </w:r>
    </w:p>
    <w:p>
      <w:pPr>
        <w:pStyle w:val="Compact"/>
        <w:numPr>
          <w:ilvl w:val="0"/>
          <w:numId w:val="1026"/>
        </w:numPr>
      </w:pPr>
      <w:r>
        <w:rPr>
          <w:b/>
          <w:bCs/>
        </w:rPr>
        <w:t xml:space="preserve">File Types:</w:t>
      </w:r>
      <w:r>
        <w:t xml:space="preserve"> </w:t>
      </w:r>
      <w:r>
        <w:t xml:space="preserve">PDF, DOCX (v1); TXT optional.</w:t>
      </w:r>
      <w:r>
        <w:br/>
      </w:r>
    </w:p>
    <w:p>
      <w:pPr>
        <w:pStyle w:val="Compact"/>
        <w:numPr>
          <w:ilvl w:val="0"/>
          <w:numId w:val="1026"/>
        </w:numPr>
      </w:pPr>
      <w:r>
        <w:rPr>
          <w:b/>
          <w:bCs/>
        </w:rPr>
        <w:t xml:space="preserve">APIs:</w:t>
      </w:r>
      <w:r>
        <w:t xml:space="preserve"> </w:t>
      </w:r>
      <w:r>
        <w:t xml:space="preserve">REST (JSON) with pagination; rate limits 60 rpm/user; burst 120 rpm.</w:t>
      </w:r>
      <w:r>
        <w:br/>
      </w:r>
    </w:p>
    <w:p>
      <w:pPr>
        <w:pStyle w:val="Compact"/>
        <w:numPr>
          <w:ilvl w:val="0"/>
          <w:numId w:val="1026"/>
        </w:numPr>
      </w:pPr>
      <w:r>
        <w:rPr>
          <w:b/>
          <w:bCs/>
        </w:rPr>
        <w:t xml:space="preserve">Webhooks:</w:t>
      </w:r>
      <w:r>
        <w:t xml:space="preserve"> </w:t>
      </w:r>
      <w:r>
        <w:t xml:space="preserve">Ingestion completion callbacks; report‑ready notifications.</w:t>
      </w:r>
      <w:r>
        <w:br/>
      </w:r>
    </w:p>
    <w:p>
      <w:pPr>
        <w:pStyle w:val="Compact"/>
        <w:numPr>
          <w:ilvl w:val="0"/>
          <w:numId w:val="1026"/>
        </w:numPr>
      </w:pPr>
      <w:r>
        <w:rPr>
          <w:b/>
          <w:bCs/>
        </w:rPr>
        <w:t xml:space="preserve">Future Connectors:</w:t>
      </w:r>
      <w:r>
        <w:t xml:space="preserve"> </w:t>
      </w:r>
      <w:r>
        <w:t xml:space="preserve">ATS (Greenhouse, Lever), Slack/Email share links.</w:t>
      </w:r>
    </w:p>
    <w:p>
      <w:r>
        <w:pict>
          <v:rect style="width:0;height:1.5pt" o:hralign="center" o:hrstd="t" o:hr="t"/>
        </w:pict>
      </w:r>
    </w:p>
    <w:bookmarkEnd w:id="49"/>
    <w:bookmarkStart w:id="50" w:name="data-quality-governance"/>
    <w:p>
      <w:pPr>
        <w:pStyle w:val="Heading2"/>
      </w:pPr>
      <w:r>
        <w:t xml:space="preserve">17) Data Quality &amp; Governance</w:t>
      </w:r>
    </w:p>
    <w:p>
      <w:pPr>
        <w:pStyle w:val="Compact"/>
        <w:numPr>
          <w:ilvl w:val="0"/>
          <w:numId w:val="1027"/>
        </w:numPr>
      </w:pPr>
      <w:r>
        <w:rPr>
          <w:b/>
          <w:bCs/>
        </w:rPr>
        <w:t xml:space="preserve">Parsing Accuracy:</w:t>
      </w:r>
      <w:r>
        <w:t xml:space="preserve"> </w:t>
      </w:r>
      <w:r>
        <w:t xml:space="preserve">≥ 95% field‑level accuracy on name/title/dates; ≥ 90% on skills extraction (top‑k).</w:t>
      </w:r>
      <w:r>
        <w:br/>
      </w:r>
    </w:p>
    <w:p>
      <w:pPr>
        <w:pStyle w:val="Compact"/>
        <w:numPr>
          <w:ilvl w:val="0"/>
          <w:numId w:val="1027"/>
        </w:numPr>
      </w:pPr>
      <w:r>
        <w:rPr>
          <w:b/>
          <w:bCs/>
        </w:rPr>
        <w:t xml:space="preserve">Normalization:</w:t>
      </w:r>
      <w:r>
        <w:t xml:space="preserve"> </w:t>
      </w:r>
      <w:r>
        <w:t xml:space="preserve">Skills mapped to controlled vocabulary; synonyms list maintained; drift monitoring.</w:t>
      </w:r>
      <w:r>
        <w:br/>
      </w:r>
    </w:p>
    <w:p>
      <w:pPr>
        <w:pStyle w:val="Compact"/>
        <w:numPr>
          <w:ilvl w:val="0"/>
          <w:numId w:val="1027"/>
        </w:numPr>
      </w:pPr>
      <w:r>
        <w:rPr>
          <w:b/>
          <w:bCs/>
        </w:rPr>
        <w:t xml:space="preserve">Data Lineage:</w:t>
      </w:r>
      <w:r>
        <w:t xml:space="preserve"> </w:t>
      </w:r>
      <w:r>
        <w:t xml:space="preserve">Provenance for each evidence snippet; maintain version tags for resumes and embeddings.</w:t>
      </w:r>
      <w:r>
        <w:br/>
      </w:r>
    </w:p>
    <w:p>
      <w:pPr>
        <w:pStyle w:val="Compact"/>
        <w:numPr>
          <w:ilvl w:val="0"/>
          <w:numId w:val="1027"/>
        </w:numPr>
      </w:pPr>
      <w:r>
        <w:rPr>
          <w:b/>
          <w:bCs/>
        </w:rPr>
        <w:t xml:space="preserve">Retention &amp; Purge:</w:t>
      </w:r>
      <w:r>
        <w:t xml:space="preserve"> </w:t>
      </w:r>
      <w:r>
        <w:t xml:space="preserve">As per §9; verifiable deletion across S3, DB, embeddings, and caches.</w:t>
      </w:r>
    </w:p>
    <w:p>
      <w:r>
        <w:pict>
          <v:rect style="width:0;height:1.5pt" o:hralign="center" o:hrstd="t" o:hr="t"/>
        </w:pict>
      </w:r>
    </w:p>
    <w:bookmarkEnd w:id="50"/>
    <w:bookmarkStart w:id="51" w:name="cost-finops"/>
    <w:p>
      <w:pPr>
        <w:pStyle w:val="Heading2"/>
      </w:pPr>
      <w:r>
        <w:t xml:space="preserve">18) Cost &amp; FinOps</w:t>
      </w:r>
    </w:p>
    <w:p>
      <w:pPr>
        <w:pStyle w:val="Compact"/>
        <w:numPr>
          <w:ilvl w:val="0"/>
          <w:numId w:val="1028"/>
        </w:numPr>
      </w:pPr>
      <w:r>
        <w:rPr>
          <w:b/>
          <w:bCs/>
        </w:rPr>
        <w:t xml:space="preserve">Tagging:</w:t>
      </w:r>
      <w:r>
        <w:t xml:space="preserve"> </w:t>
      </w:r>
      <w:r>
        <w:t xml:space="preserve">All resources tagged with</w:t>
      </w:r>
      <w:r>
        <w:t xml:space="preserve"> </w:t>
      </w:r>
      <w:r>
        <w:rPr>
          <w:rStyle w:val="VerbatimChar"/>
        </w:rPr>
        <w:t xml:space="preserve">Product</w:t>
      </w:r>
      <w:r>
        <w:t xml:space="preserve">,</w:t>
      </w:r>
      <w:r>
        <w:t xml:space="preserve"> </w:t>
      </w:r>
      <w:r>
        <w:rPr>
          <w:rStyle w:val="VerbatimChar"/>
        </w:rPr>
        <w:t xml:space="preserve">Env</w:t>
      </w:r>
      <w:r>
        <w:t xml:space="preserve">,</w:t>
      </w:r>
      <w:r>
        <w:t xml:space="preserve"> </w:t>
      </w:r>
      <w:r>
        <w:rPr>
          <w:rStyle w:val="VerbatimChar"/>
        </w:rPr>
        <w:t xml:space="preserve">Owner</w:t>
      </w:r>
      <w:r>
        <w:t xml:space="preserve">,</w:t>
      </w:r>
      <w:r>
        <w:t xml:space="preserve"> </w:t>
      </w:r>
      <w:r>
        <w:rPr>
          <w:rStyle w:val="VerbatimChar"/>
        </w:rPr>
        <w:t xml:space="preserve">CostCenter</w:t>
      </w:r>
      <w:r>
        <w:t xml:space="preserve">.</w:t>
      </w:r>
      <w:r>
        <w:br/>
      </w:r>
    </w:p>
    <w:p>
      <w:pPr>
        <w:pStyle w:val="Compact"/>
        <w:numPr>
          <w:ilvl w:val="0"/>
          <w:numId w:val="1028"/>
        </w:numPr>
      </w:pPr>
      <w:r>
        <w:rPr>
          <w:b/>
          <w:bCs/>
        </w:rPr>
        <w:t xml:space="preserve">Budgets &amp; Alarms:</w:t>
      </w:r>
      <w:r>
        <w:t xml:space="preserve"> </w:t>
      </w:r>
      <w:r>
        <w:t xml:space="preserve">Monthly budget per env; 80/100/120% alerts.</w:t>
      </w:r>
      <w:r>
        <w:br/>
      </w:r>
    </w:p>
    <w:p>
      <w:pPr>
        <w:pStyle w:val="Compact"/>
        <w:numPr>
          <w:ilvl w:val="0"/>
          <w:numId w:val="1028"/>
        </w:numPr>
      </w:pPr>
      <w:r>
        <w:rPr>
          <w:b/>
          <w:bCs/>
        </w:rPr>
        <w:t xml:space="preserve">Unit Economics:</w:t>
      </w:r>
      <w:r>
        <w:t xml:space="preserve"> </w:t>
      </w:r>
      <w:r>
        <w:t xml:space="preserve">Target ≤</w:t>
      </w:r>
      <w:r>
        <w:t xml:space="preserve"> </w:t>
      </w:r>
      <w:r>
        <w:rPr>
          <w:b/>
          <w:bCs/>
        </w:rPr>
        <w:t xml:space="preserve">$0.05</w:t>
      </w:r>
      <w:r>
        <w:t xml:space="preserve"> </w:t>
      </w:r>
      <w:r>
        <w:t xml:space="preserve">per resume ingested; ≤</w:t>
      </w:r>
      <w:r>
        <w:t xml:space="preserve"> </w:t>
      </w:r>
      <w:r>
        <w:rPr>
          <w:b/>
          <w:bCs/>
        </w:rPr>
        <w:t xml:space="preserve">$0.01</w:t>
      </w:r>
      <w:r>
        <w:t xml:space="preserve"> </w:t>
      </w:r>
      <w:r>
        <w:t xml:space="preserve">per JD query at 5M scale.</w:t>
      </w:r>
      <w:r>
        <w:br/>
      </w:r>
    </w:p>
    <w:p>
      <w:pPr>
        <w:pStyle w:val="Compact"/>
        <w:numPr>
          <w:ilvl w:val="0"/>
          <w:numId w:val="1028"/>
        </w:numPr>
      </w:pPr>
      <w:r>
        <w:rPr>
          <w:b/>
          <w:bCs/>
        </w:rPr>
        <w:t xml:space="preserve">Scaling Policies:</w:t>
      </w:r>
      <w:r>
        <w:t xml:space="preserve"> </w:t>
      </w:r>
      <w:r>
        <w:t xml:space="preserve">Rightsize instances quarterly; Spot for batch where feasible; S3 lifecycle tiers for aged artifacts.</w:t>
      </w:r>
    </w:p>
    <w:p>
      <w:r>
        <w:pict>
          <v:rect style="width:0;height:1.5pt" o:hralign="center" o:hrstd="t" o:hr="t"/>
        </w:pict>
      </w:r>
    </w:p>
    <w:bookmarkEnd w:id="51"/>
    <w:bookmarkStart w:id="52" w:name="legal-ethical-policy"/>
    <w:p>
      <w:pPr>
        <w:pStyle w:val="Heading2"/>
      </w:pPr>
      <w:r>
        <w:t xml:space="preserve">19) Legal, Ethical &amp; Policy</w:t>
      </w:r>
    </w:p>
    <w:p>
      <w:pPr>
        <w:pStyle w:val="Compact"/>
        <w:numPr>
          <w:ilvl w:val="0"/>
          <w:numId w:val="1029"/>
        </w:numPr>
      </w:pPr>
      <w:r>
        <w:rPr>
          <w:b/>
          <w:bCs/>
        </w:rPr>
        <w:t xml:space="preserve">EEOC Compliance:</w:t>
      </w:r>
      <w:r>
        <w:t xml:space="preserve"> </w:t>
      </w:r>
      <w:r>
        <w:t xml:space="preserve">No disparate treatment; exclude protected attributes; audit logs for decisions.</w:t>
      </w:r>
      <w:r>
        <w:br/>
      </w:r>
    </w:p>
    <w:p>
      <w:pPr>
        <w:pStyle w:val="Compact"/>
        <w:numPr>
          <w:ilvl w:val="0"/>
          <w:numId w:val="1029"/>
        </w:numPr>
      </w:pPr>
      <w:r>
        <w:rPr>
          <w:b/>
          <w:bCs/>
        </w:rPr>
        <w:t xml:space="preserve">Explainability Policy:</w:t>
      </w:r>
      <w:r>
        <w:t xml:space="preserve"> </w:t>
      </w:r>
      <w:r>
        <w:t xml:space="preserve">Provide reasons for ranking; show missing skills and evidence snippets.</w:t>
      </w:r>
      <w:r>
        <w:br/>
      </w:r>
    </w:p>
    <w:p>
      <w:pPr>
        <w:pStyle w:val="Compact"/>
        <w:numPr>
          <w:ilvl w:val="0"/>
          <w:numId w:val="1029"/>
        </w:numPr>
      </w:pPr>
      <w:r>
        <w:rPr>
          <w:b/>
          <w:bCs/>
        </w:rPr>
        <w:t xml:space="preserve">Content Policy:</w:t>
      </w:r>
      <w:r>
        <w:t xml:space="preserve"> </w:t>
      </w:r>
      <w:r>
        <w:t xml:space="preserve">Block profane/unsafe generated text; sanitize uploads; malware scanning of attachments.</w:t>
      </w:r>
    </w:p>
    <w:p>
      <w:r>
        <w:pict>
          <v:rect style="width:0;height:1.5pt" o:hralign="center" o:hrstd="t" o:hr="t"/>
        </w:pict>
      </w:r>
    </w:p>
    <w:bookmarkEnd w:id="52"/>
    <w:bookmarkStart w:id="53" w:name="backup-recovery-archival"/>
    <w:p>
      <w:pPr>
        <w:pStyle w:val="Heading2"/>
      </w:pPr>
      <w:r>
        <w:t xml:space="preserve">20) Backup, Recovery &amp; Archival</w:t>
      </w:r>
    </w:p>
    <w:p>
      <w:pPr>
        <w:pStyle w:val="Compact"/>
        <w:numPr>
          <w:ilvl w:val="0"/>
          <w:numId w:val="1030"/>
        </w:numPr>
      </w:pPr>
      <w:r>
        <w:rPr>
          <w:b/>
          <w:bCs/>
        </w:rPr>
        <w:t xml:space="preserve">Backups:</w:t>
      </w:r>
      <w:r>
        <w:t xml:space="preserve"> </w:t>
      </w:r>
      <w:r>
        <w:t xml:space="preserve">Nightly DB snapshots; S3 versioning; index snapshots nightly.</w:t>
      </w:r>
      <w:r>
        <w:br/>
      </w:r>
    </w:p>
    <w:p>
      <w:pPr>
        <w:pStyle w:val="Compact"/>
        <w:numPr>
          <w:ilvl w:val="0"/>
          <w:numId w:val="1030"/>
        </w:numPr>
      </w:pPr>
      <w:r>
        <w:rPr>
          <w:b/>
          <w:bCs/>
        </w:rPr>
        <w:t xml:space="preserve">Verification:</w:t>
      </w:r>
      <w:r>
        <w:t xml:space="preserve"> </w:t>
      </w:r>
      <w:r>
        <w:t xml:space="preserve">Weekly restore test in staging.</w:t>
      </w:r>
      <w:r>
        <w:br/>
      </w:r>
    </w:p>
    <w:p>
      <w:pPr>
        <w:pStyle w:val="Compact"/>
        <w:numPr>
          <w:ilvl w:val="0"/>
          <w:numId w:val="1030"/>
        </w:numPr>
      </w:pPr>
      <w:r>
        <w:rPr>
          <w:b/>
          <w:bCs/>
        </w:rPr>
        <w:t xml:space="preserve">Archival:</w:t>
      </w:r>
      <w:r>
        <w:t xml:space="preserve"> </w:t>
      </w:r>
      <w:r>
        <w:t xml:space="preserve">Move stale logs/data to S3 Glacier after 90 days; retain audit logs ≥ 1 year (configurable).</w:t>
      </w:r>
    </w:p>
    <w:p>
      <w:r>
        <w:pict>
          <v:rect style="width:0;height:1.5pt" o:hralign="center" o:hrstd="t" o:hr="t"/>
        </w:pict>
      </w:r>
    </w:p>
    <w:bookmarkEnd w:id="53"/>
    <w:bookmarkStart w:id="54" w:name="measurement-acceptance"/>
    <w:p>
      <w:pPr>
        <w:pStyle w:val="Heading2"/>
      </w:pPr>
      <w:r>
        <w:t xml:space="preserve">21) Measurement &amp; Acceptance</w:t>
      </w:r>
    </w:p>
    <w:p>
      <w:pPr>
        <w:pStyle w:val="FirstParagraph"/>
      </w:pPr>
      <w:r>
        <w:t xml:space="preserve">For each SLI/SLO, define:</w:t>
      </w:r>
      <w:r>
        <w:t xml:space="preserve"> </w:t>
      </w:r>
      <w:r>
        <w:rPr>
          <w:b/>
          <w:bCs/>
        </w:rPr>
        <w:t xml:space="preserve">metric name</w:t>
      </w:r>
      <w:r>
        <w:t xml:space="preserve">,</w:t>
      </w:r>
      <w:r>
        <w:t xml:space="preserve"> </w:t>
      </w:r>
      <w:r>
        <w:rPr>
          <w:b/>
          <w:bCs/>
        </w:rPr>
        <w:t xml:space="preserve">dashboard location</w:t>
      </w:r>
      <w:r>
        <w:t xml:space="preserve">,</w:t>
      </w:r>
      <w:r>
        <w:t xml:space="preserve"> </w:t>
      </w:r>
      <w:r>
        <w:rPr>
          <w:b/>
          <w:bCs/>
        </w:rPr>
        <w:t xml:space="preserve">alert threshold</w:t>
      </w:r>
      <w:r>
        <w:t xml:space="preserve">,</w:t>
      </w:r>
      <w:r>
        <w:t xml:space="preserve"> </w:t>
      </w:r>
      <w:r>
        <w:rPr>
          <w:b/>
          <w:bCs/>
        </w:rPr>
        <w:t xml:space="preserve">test method</w:t>
      </w:r>
      <w:r>
        <w:t xml:space="preserve">,</w:t>
      </w:r>
      <w:r>
        <w:t xml:space="preserve"> </w:t>
      </w:r>
      <w:r>
        <w:rPr>
          <w:b/>
          <w:bCs/>
        </w:rPr>
        <w:t xml:space="preserve">owner</w:t>
      </w:r>
      <w:r>
        <w:t xml:space="preserve">.</w:t>
      </w:r>
      <w:r>
        <w:br/>
      </w:r>
      <w:r>
        <w:t xml:space="preserve">- Example:</w:t>
      </w:r>
      <w:r>
        <w:t xml:space="preserve"> </w:t>
      </w:r>
      <w:r>
        <w:rPr>
          <w:i/>
          <w:iCs/>
        </w:rPr>
        <w:t xml:space="preserve">Search Latency P95</w:t>
      </w:r>
      <w:r>
        <w:t xml:space="preserve"> </w:t>
      </w:r>
      <w:r>
        <w:t xml:space="preserve">→</w:t>
      </w:r>
      <w:r>
        <w:t xml:space="preserve"> </w:t>
      </w:r>
      <w:r>
        <w:rPr>
          <w:rStyle w:val="VerbatimChar"/>
        </w:rPr>
        <w:t xml:space="preserve">api.search.p95_ms</w:t>
      </w:r>
      <w:r>
        <w:t xml:space="preserve">, Dashboard:</w:t>
      </w:r>
      <w:r>
        <w:t xml:space="preserve"> </w:t>
      </w:r>
      <w:r>
        <w:rPr>
          <w:rStyle w:val="VerbatimChar"/>
        </w:rPr>
        <w:t xml:space="preserve">Search</w:t>
      </w:r>
      <w:r>
        <w:t xml:space="preserve">, Alert: &gt;3000ms for 5 min, Test: load test k6 profile</w:t>
      </w:r>
      <w:r>
        <w:t xml:space="preserve"> </w:t>
      </w:r>
      <w:r>
        <w:rPr>
          <w:rStyle w:val="VerbatimChar"/>
        </w:rPr>
        <w:t xml:space="preserve">jd_mix.json</w:t>
      </w:r>
      <w:r>
        <w:t xml:space="preserve">, Owner: SRE Lead.</w:t>
      </w:r>
    </w:p>
    <w:p>
      <w:r>
        <w:pict>
          <v:rect style="width:0;height:1.5pt" o:hralign="center" o:hrstd="t" o:hr="t"/>
        </w:pict>
      </w:r>
    </w:p>
    <w:bookmarkEnd w:id="54"/>
    <w:bookmarkStart w:id="55" w:name="roadmap-for-nfr-maturity"/>
    <w:p>
      <w:pPr>
        <w:pStyle w:val="Heading2"/>
      </w:pPr>
      <w:r>
        <w:t xml:space="preserve">22) Roadmap for NFR Maturity</w:t>
      </w:r>
    </w:p>
    <w:p>
      <w:pPr>
        <w:pStyle w:val="Compact"/>
        <w:numPr>
          <w:ilvl w:val="0"/>
          <w:numId w:val="1031"/>
        </w:numPr>
      </w:pPr>
      <w:r>
        <w:rPr>
          <w:b/>
          <w:bCs/>
        </w:rPr>
        <w:t xml:space="preserve">v1.0 (Go‑Live):</w:t>
      </w:r>
      <w:r>
        <w:t xml:space="preserve"> </w:t>
      </w:r>
      <w:r>
        <w:t xml:space="preserve">Core performance, availability, security, privacy, observability baselines.</w:t>
      </w:r>
      <w:r>
        <w:br/>
      </w:r>
    </w:p>
    <w:p>
      <w:pPr>
        <w:pStyle w:val="Compact"/>
        <w:numPr>
          <w:ilvl w:val="0"/>
          <w:numId w:val="1031"/>
        </w:numPr>
      </w:pPr>
      <w:r>
        <w:rPr>
          <w:b/>
          <w:bCs/>
        </w:rPr>
        <w:t xml:space="preserve">v1.1:</w:t>
      </w:r>
      <w:r>
        <w:t xml:space="preserve"> </w:t>
      </w:r>
      <w:r>
        <w:t xml:space="preserve">Bias audit automation; cost anomaly detection; golden‑set expansion; chaos engineering drills.</w:t>
      </w:r>
      <w:r>
        <w:br/>
      </w:r>
    </w:p>
    <w:p>
      <w:pPr>
        <w:pStyle w:val="Compact"/>
        <w:numPr>
          <w:ilvl w:val="0"/>
          <w:numId w:val="1031"/>
        </w:numPr>
      </w:pPr>
      <w:r>
        <w:rPr>
          <w:b/>
          <w:bCs/>
        </w:rPr>
        <w:t xml:space="preserve">v1.2:</w:t>
      </w:r>
      <w:r>
        <w:t xml:space="preserve"> </w:t>
      </w:r>
      <w:r>
        <w:t xml:space="preserve">Cross‑region active/active; autoscaling on custom IR signals; continuous canary load.</w:t>
      </w:r>
    </w:p>
    <w:p>
      <w:r>
        <w:pict>
          <v:rect style="width:0;height:1.5pt" o:hralign="center" o:hrstd="t" o:hr="t"/>
        </w:pict>
      </w:r>
    </w:p>
    <w:bookmarkEnd w:id="55"/>
    <w:bookmarkStart w:id="56" w:name="appendices"/>
    <w:p>
      <w:pPr>
        <w:pStyle w:val="Heading2"/>
      </w:pPr>
      <w:r>
        <w:t xml:space="preserve">23) Appendices</w:t>
      </w:r>
    </w:p>
    <w:p>
      <w:pPr>
        <w:pStyle w:val="Compact"/>
        <w:numPr>
          <w:ilvl w:val="0"/>
          <w:numId w:val="1032"/>
        </w:numPr>
      </w:pPr>
      <w:r>
        <w:rPr>
          <w:b/>
          <w:bCs/>
        </w:rPr>
        <w:t xml:space="preserve">A. SLO Registry (initial):</w:t>
      </w:r>
    </w:p>
    <w:p>
      <w:pPr>
        <w:pStyle w:val="Compact"/>
        <w:numPr>
          <w:ilvl w:val="1"/>
          <w:numId w:val="1033"/>
        </w:numPr>
      </w:pPr>
      <w:r>
        <w:rPr>
          <w:i/>
          <w:iCs/>
        </w:rPr>
        <w:t xml:space="preserve">SLO‑001:</w:t>
      </w:r>
      <w:r>
        <w:t xml:space="preserve"> </w:t>
      </w:r>
      <w:r>
        <w:t xml:space="preserve">Availability 99.9% monthly.</w:t>
      </w:r>
    </w:p>
    <w:p>
      <w:pPr>
        <w:pStyle w:val="Compact"/>
        <w:numPr>
          <w:ilvl w:val="1"/>
          <w:numId w:val="1033"/>
        </w:numPr>
      </w:pPr>
      <w:r>
        <w:rPr>
          <w:i/>
          <w:iCs/>
        </w:rPr>
        <w:t xml:space="preserve">SLO‑002:</w:t>
      </w:r>
      <w:r>
        <w:t xml:space="preserve"> </w:t>
      </w:r>
      <w:r>
        <w:t xml:space="preserve">Search P95 ≤ 3 s.</w:t>
      </w:r>
    </w:p>
    <w:p>
      <w:pPr>
        <w:pStyle w:val="Compact"/>
        <w:numPr>
          <w:ilvl w:val="1"/>
          <w:numId w:val="1033"/>
        </w:numPr>
      </w:pPr>
      <w:r>
        <w:rPr>
          <w:i/>
          <w:iCs/>
        </w:rPr>
        <w:t xml:space="preserve">SLO‑003:</w:t>
      </w:r>
      <w:r>
        <w:t xml:space="preserve"> </w:t>
      </w:r>
      <w:r>
        <w:t xml:space="preserve">Ingestion 95% ≤ 30 min.</w:t>
      </w:r>
    </w:p>
    <w:p>
      <w:pPr>
        <w:pStyle w:val="Compact"/>
        <w:numPr>
          <w:ilvl w:val="1"/>
          <w:numId w:val="1033"/>
        </w:numPr>
      </w:pPr>
      <w:r>
        <w:rPr>
          <w:i/>
          <w:iCs/>
        </w:rPr>
        <w:t xml:space="preserve">SLO‑004:</w:t>
      </w:r>
      <w:r>
        <w:t xml:space="preserve"> </w:t>
      </w:r>
      <w:r>
        <w:t xml:space="preserve">Fraud FPR ≤ 5%.</w:t>
      </w:r>
    </w:p>
    <w:p>
      <w:pPr>
        <w:pStyle w:val="Compact"/>
        <w:numPr>
          <w:ilvl w:val="1"/>
          <w:numId w:val="1033"/>
        </w:numPr>
      </w:pPr>
      <w:r>
        <w:rPr>
          <w:i/>
          <w:iCs/>
        </w:rPr>
        <w:t xml:space="preserve">SLO‑005:</w:t>
      </w:r>
      <w:r>
        <w:t xml:space="preserve"> </w:t>
      </w:r>
      <w:r>
        <w:t xml:space="preserve">DSAR close ≤ 30 days.</w:t>
      </w:r>
    </w:p>
    <w:p>
      <w:pPr>
        <w:pStyle w:val="Compact"/>
        <w:numPr>
          <w:ilvl w:val="0"/>
          <w:numId w:val="1032"/>
        </w:numPr>
      </w:pPr>
      <w:r>
        <w:rPr>
          <w:b/>
          <w:bCs/>
        </w:rPr>
        <w:t xml:space="preserve">B. Glossary:</w:t>
      </w:r>
      <w:r>
        <w:t xml:space="preserve"> </w:t>
      </w:r>
      <w:r>
        <w:t xml:space="preserve">SLI/SLO, DR, RTO/RPO, DSAR, nDCG, PII, ADR, DORA.</w:t>
      </w:r>
    </w:p>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2025-08-22T21:53:11Z</dcterms:created>
  <dcterms:modified xsi:type="dcterms:W3CDTF">2025-08-22T21:53:11Z</dcterms:modified>
</cp:coreProperties>
</file>

<file path=docProps/custom.xml><?xml version="1.0" encoding="utf-8"?>
<Properties xmlns="http://schemas.openxmlformats.org/officeDocument/2006/custom-properties" xmlns:vt="http://schemas.openxmlformats.org/officeDocument/2006/docPropsVTypes"/>
</file>