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82B49"/>
          <w:sz w:val="36"/>
        </w:rPr>
        <w:t>BÁO CÁO KHOA HỌC: Ý NGHĨA VÀ PHƯƠNG PHÁP LUẬN TÁI HIỆN BENCHMARK COPT</w:t>
      </w:r>
    </w:p>
    <w:p>
      <w:pPr>
        <w:jc w:val="center"/>
      </w:pPr>
      <w:r>
        <w:rPr>
          <w:rFonts w:ascii="Arial" w:hAnsi="Arial"/>
          <w:i/>
          <w:color w:val="46505F"/>
          <w:sz w:val="22"/>
        </w:rPr>
        <w:t>Dựa trên công trình: Can Computational Reducibility Lead to Transferable Models for Graph Combinatorial Optimization? (Cantürk et al.)</w:t>
      </w:r>
    </w:p>
    <w:p>
      <w:pPr>
        <w:spacing w:after="240"/>
      </w:pPr>
    </w:p>
    <w:p>
      <w:pPr>
        <w:pStyle w:val="Heading1"/>
      </w:pPr>
      <w:r>
        <w:rPr>
          <w:rFonts w:ascii="Arial" w:hAnsi="Arial"/>
          <w:color w:val="182B49"/>
        </w:rPr>
        <w:t>1. Đặt Vấn Đề &amp; Bối Cảnh Nghiên Cứu</w:t>
      </w:r>
    </w:p>
    <w:p>
      <w:r>
        <w:rPr>
          <w:rFonts w:ascii="Arial" w:hAnsi="Arial"/>
        </w:rPr>
        <w:t xml:space="preserve">Các bài toán Tối ưu hóa Tổ hợp trên Đồ thị (Graph Combinatorial Optimization - CO) như </w:t>
      </w:r>
      <w:r>
        <w:rPr>
          <w:b/>
        </w:rPr>
        <w:t xml:space="preserve">Maximum Independent Set (MIS), Minimum Vertex Cover (MVC), Maximum Clique (MaxClique), MaxCut, Minimum Dominating Set (MDS), và Graph Coloring </w:t>
      </w:r>
      <w:r>
        <w:t xml:space="preserve">đều là những bài toán thuộc lớp </w:t>
      </w:r>
      <w:r>
        <w:rPr>
          <w:b/>
        </w:rPr>
        <w:t>NP-hard</w:t>
      </w:r>
      <w:r>
        <w:t>. Chúng có ứng dụng cốt lõi trong quy hoạch mạng viễn thông, thiết kế chip điện tử (VLSI), sinh tin học và hậu cần vận tải.</w:t>
      </w:r>
    </w:p>
    <w:p>
      <w:r>
        <w:t xml:space="preserve">Trong những năm gần đây, Mạng Nơ-ron Đồ thị (Graph Neural Networks - GNN) đã nổi lên như một hướng tiếp cận học sâu đầy triển vọng để giải xấp xỉ các bài toán này một cách không giám sát (Unsupervised Learning) dựa trên năng lượng Hamiltonian / QUBO Ising. Tuy nhiên, một hạn chế lớn của các mô hình hiện nay là: </w:t>
      </w:r>
      <w:r>
        <w:rPr>
          <w:b/>
        </w:rPr>
        <w:t>Mỗi bài toán luôn phải được huấn luyện riêng biệt từ đầu (from scratch)</w:t>
      </w:r>
      <w:r>
        <w:t>, dẫn đến lãng phí tài nguyên tính toán khổng lồ và thiếu khả năng thích ứng khi gặp các bài toán mới.</w:t>
      </w:r>
    </w:p>
    <w:p>
      <w:pPr>
        <w:pStyle w:val="Heading1"/>
      </w:pPr>
      <w:r>
        <w:rPr>
          <w:rFonts w:ascii="Arial" w:hAnsi="Arial"/>
          <w:color w:val="182B49"/>
        </w:rPr>
        <w:t>2. Ý Tưởng Đột Phá: Tính Quy Chuẩn Tính Toán (Computational Reducibility)</w:t>
      </w:r>
    </w:p>
    <w:p>
      <w:r>
        <w:t xml:space="preserve">Trong lý thuyết khoa học máy tính cổ điển (Karp, Cook-Levin), các bài toán NP-hard đều có thể </w:t>
      </w:r>
      <w:r>
        <w:rPr>
          <w:b/>
        </w:rPr>
        <w:t>quy chuẩn đa thức (polynomial-time reduction)</w:t>
      </w:r>
      <w:r>
        <w:t xml:space="preserve"> về lẫn nhau. Bài báo đặt ra câu hỏi then chốt:</w:t>
      </w:r>
    </w:p>
    <w:p>
      <w:pPr>
        <w:ind w:left="720" w:right="720"/>
      </w:pPr>
      <w:r>
        <w:rPr>
          <w:b/>
          <w:i/>
          <w:color w:val="182B49"/>
        </w:rPr>
        <w:t>“Liệu tính quy chuẩn toán học giữa các bài toán tổ hợp có thể dẫn đến các biểu diễn học chuyển giao (Transferable Representations) hiệu quả trong mạng GNN hay không?”</w:t>
      </w:r>
    </w:p>
    <w:p>
      <w:r>
        <w:t>Để trả lời câu hỏi này, nhóm tác giả nghiên cứu hai hình thái chuyển giao:</w:t>
      </w:r>
    </w:p>
    <w:p>
      <w:pPr>
        <w:pStyle w:val="ListBullet"/>
      </w:pPr>
      <w:r>
        <w:rPr>
          <w:b/>
        </w:rPr>
        <w:t xml:space="preserve">Chuyển giao cặp đôi (Pairwise Transfer): </w:t>
      </w:r>
      <w:r>
        <w:t>Huấn luyện mô hình giải bài toán A, sau đó chuyển giao 'não' (GNN backbone) sang giải bài toán B với hai phân loại: (i) Quy chuẩn bảo toàn cấu trúc đồ thị (như MIS ↔ MVC), và (ii) Quy chuẩn làm thay đổi cấu trúc đồ thị (như MIS ↔ MaxClique thông qua đồ thị bù).</w:t>
      </w:r>
    </w:p>
    <w:p>
      <w:pPr>
        <w:pStyle w:val="ListBullet"/>
      </w:pPr>
      <w:r>
        <w:rPr>
          <w:b/>
        </w:rPr>
        <w:t xml:space="preserve">Chuyển giao đa nhiệm (Multi-Task Transfer / Foundation Model): </w:t>
      </w:r>
      <w:r>
        <w:t>Huấn luyện một GNN đa nhiệm trên tập hợp nhiều bài toán NP-hard cùng lúc để tạo ra mô hình nền tảng, sau đó chuyển giao hoặc fine-tune nhanh sang bài toán mới trong môi trường ít tài nguyên (Low-resource regime).</w:t>
      </w:r>
    </w:p>
    <w:p>
      <w:pPr>
        <w:pStyle w:val="Heading1"/>
      </w:pPr>
      <w:r>
        <w:rPr>
          <w:rFonts w:ascii="Arial" w:hAnsi="Arial"/>
          <w:color w:val="182B49"/>
        </w:rPr>
        <w:t>3. Chi Tiết Hệ Thống 4 Bảng Thực Nghiệm Cốt Lõi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82B49"/>
            <w:tcMar>
              <w:top w:w="120" w:type="dxa"/>
              <w:bottom w:w="120" w:type="dxa"/>
              <w:left w:w="150" w:type="dxa"/>
              <w:right w:w="150" w:type="dxa"/>
            </w:tcMar>
          </w:tcPr>
          <w:p>
            <w:pPr>
              <w:jc w:val="center"/>
            </w:pPr>
            <w:r>
              <w:rPr>
                <w:b/>
                <w:color w:val="FFFFFF"/>
                <w:sz w:val="19"/>
              </w:rPr>
              <w:t>Bảng</w:t>
            </w:r>
          </w:p>
        </w:tc>
        <w:tc>
          <w:tcPr>
            <w:tcW w:type="dxa" w:w="1872"/>
            <w:shd w:fill="182B49"/>
            <w:tcMar>
              <w:top w:w="120" w:type="dxa"/>
              <w:bottom w:w="120" w:type="dxa"/>
              <w:left w:w="150" w:type="dxa"/>
              <w:right w:w="150" w:type="dxa"/>
            </w:tcMar>
          </w:tcPr>
          <w:p>
            <w:pPr>
              <w:jc w:val="center"/>
            </w:pPr>
            <w:r>
              <w:rPr>
                <w:b/>
                <w:color w:val="FFFFFF"/>
                <w:sz w:val="19"/>
              </w:rPr>
              <w:t>Nội Dung Thực Nghiệm</w:t>
            </w:r>
          </w:p>
        </w:tc>
        <w:tc>
          <w:tcPr>
            <w:tcW w:type="dxa" w:w="1872"/>
            <w:shd w:fill="182B49"/>
            <w:tcMar>
              <w:top w:w="120" w:type="dxa"/>
              <w:bottom w:w="120" w:type="dxa"/>
              <w:left w:w="150" w:type="dxa"/>
              <w:right w:w="150" w:type="dxa"/>
            </w:tcMar>
          </w:tcPr>
          <w:p>
            <w:pPr>
              <w:jc w:val="center"/>
            </w:pPr>
            <w:r>
              <w:rPr>
                <w:b/>
                <w:color w:val="FFFFFF"/>
                <w:sz w:val="19"/>
              </w:rPr>
              <w:t>Tập Dữ Liệu</w:t>
            </w:r>
          </w:p>
        </w:tc>
        <w:tc>
          <w:tcPr>
            <w:tcW w:type="dxa" w:w="1872"/>
            <w:shd w:fill="182B49"/>
            <w:tcMar>
              <w:top w:w="120" w:type="dxa"/>
              <w:bottom w:w="120" w:type="dxa"/>
              <w:left w:w="150" w:type="dxa"/>
              <w:right w:w="150" w:type="dxa"/>
            </w:tcMar>
          </w:tcPr>
          <w:p>
            <w:pPr>
              <w:jc w:val="center"/>
            </w:pPr>
            <w:r>
              <w:rPr>
                <w:b/>
                <w:color w:val="FFFFFF"/>
                <w:sz w:val="19"/>
              </w:rPr>
              <w:t>Mục Đích Khoa Học &amp; Đóng Góp</w:t>
            </w:r>
          </w:p>
        </w:tc>
        <w:tc>
          <w:tcPr>
            <w:tcW w:type="dxa" w:w="1872"/>
            <w:shd w:fill="182B49"/>
            <w:tcMar>
              <w:top w:w="120" w:type="dxa"/>
              <w:bottom w:w="120" w:type="dxa"/>
              <w:left w:w="150" w:type="dxa"/>
              <w:right w:w="150" w:type="dxa"/>
            </w:tcMar>
          </w:tcPr>
          <w:p>
            <w:pPr>
              <w:jc w:val="center"/>
            </w:pPr>
            <w:r>
              <w:rPr>
                <w:b/>
                <w:color w:val="FFFFFF"/>
                <w:sz w:val="19"/>
              </w:rPr>
              <w:t>Tình Trạng Tái Hiện</w:t>
            </w:r>
          </w:p>
        </w:tc>
      </w:tr>
      <w:tr>
        <w:tc>
          <w:tcPr>
            <w:tcW w:type="dxa" w:w="1872"/>
            <w:shd w:fill="F4F6F9"/>
            <w:tcMar>
              <w:top w:w="100" w:type="dxa"/>
              <w:bottom w:w="100" w:type="dxa"/>
              <w:left w:w="120" w:type="dxa"/>
              <w:right w:w="120" w:type="dxa"/>
            </w:tcMar>
          </w:tcPr>
          <w:p>
            <w:pPr>
              <w:jc w:val="center"/>
            </w:pPr>
            <w:r>
              <w:rPr>
                <w:b/>
                <w:sz w:val="18"/>
              </w:rPr>
              <w:t>Bảng 7</w:t>
            </w:r>
          </w:p>
        </w:tc>
        <w:tc>
          <w:tcPr>
            <w:tcW w:type="dxa" w:w="1872"/>
            <w:shd w:fill="F4F6F9"/>
            <w:tcMar>
              <w:top w:w="100" w:type="dxa"/>
              <w:bottom w:w="100" w:type="dxa"/>
              <w:left w:w="120" w:type="dxa"/>
              <w:right w:w="120" w:type="dxa"/>
            </w:tcMar>
          </w:tcPr>
          <w:p>
            <w:r>
              <w:rPr>
                <w:sz w:val="18"/>
              </w:rPr>
              <w:t>Multi-Task Foundation Model</w:t>
            </w:r>
          </w:p>
        </w:tc>
        <w:tc>
          <w:tcPr>
            <w:tcW w:type="dxa" w:w="1872"/>
            <w:shd w:fill="F4F6F9"/>
            <w:tcMar>
              <w:top w:w="100" w:type="dxa"/>
              <w:bottom w:w="100" w:type="dxa"/>
              <w:left w:w="120" w:type="dxa"/>
              <w:right w:w="120" w:type="dxa"/>
            </w:tcMar>
          </w:tcPr>
          <w:p>
            <w:r>
              <w:rPr>
                <w:sz w:val="18"/>
              </w:rPr>
              <w:t>BA-small (6.000 đồ thị)</w:t>
            </w:r>
          </w:p>
        </w:tc>
        <w:tc>
          <w:tcPr>
            <w:tcW w:type="dxa" w:w="1872"/>
            <w:shd w:fill="F4F6F9"/>
            <w:tcMar>
              <w:top w:w="100" w:type="dxa"/>
              <w:bottom w:w="100" w:type="dxa"/>
              <w:left w:w="120" w:type="dxa"/>
              <w:right w:w="120" w:type="dxa"/>
            </w:tcMar>
          </w:tcPr>
          <w:p>
            <w:r>
              <w:rPr>
                <w:sz w:val="18"/>
              </w:rPr>
              <w:t>Huấn luyện đồng thời 6 bài toán NP-hard. Chứng minh mô hình nền tảng vượt trội so với Single-task Baseline.</w:t>
            </w:r>
          </w:p>
        </w:tc>
        <w:tc>
          <w:tcPr>
            <w:tcW w:type="dxa" w:w="1872"/>
            <w:shd w:fill="F4F6F9"/>
            <w:tcMar>
              <w:top w:w="100" w:type="dxa"/>
              <w:bottom w:w="100" w:type="dxa"/>
              <w:left w:w="120" w:type="dxa"/>
              <w:right w:w="120" w:type="dxa"/>
            </w:tcMar>
          </w:tcPr>
          <w:p>
            <w:r>
              <w:rPr>
                <w:b/>
                <w:color w:val="008000"/>
                <w:sz w:val="18"/>
              </w:rPr>
              <w:t>Đã tái hiện 100% (Khớp và vượt Paper)</w:t>
            </w:r>
          </w:p>
        </w:tc>
      </w:tr>
      <w:tr>
        <w:tc>
          <w:tcPr>
            <w:tcW w:type="dxa" w:w="1872"/>
            <w:shd w:fill="FFFFFF"/>
            <w:tcMar>
              <w:top w:w="100" w:type="dxa"/>
              <w:bottom w:w="100" w:type="dxa"/>
              <w:left w:w="120" w:type="dxa"/>
              <w:right w:w="120" w:type="dxa"/>
            </w:tcMar>
          </w:tcPr>
          <w:p>
            <w:pPr>
              <w:jc w:val="center"/>
            </w:pPr>
            <w:r>
              <w:rPr>
                <w:b/>
                <w:sz w:val="18"/>
              </w:rPr>
              <w:t>Bảng 3</w:t>
            </w:r>
          </w:p>
        </w:tc>
        <w:tc>
          <w:tcPr>
            <w:tcW w:type="dxa" w:w="1872"/>
            <w:shd w:fill="FFFFFF"/>
            <w:tcMar>
              <w:top w:w="100" w:type="dxa"/>
              <w:bottom w:w="100" w:type="dxa"/>
              <w:left w:w="120" w:type="dxa"/>
              <w:right w:w="120" w:type="dxa"/>
            </w:tcMar>
          </w:tcPr>
          <w:p>
            <w:r>
              <w:rPr>
                <w:sz w:val="18"/>
              </w:rPr>
              <w:t>Pairwise MIS ↔ MVC Transfer</w:t>
            </w:r>
          </w:p>
        </w:tc>
        <w:tc>
          <w:tcPr>
            <w:tcW w:type="dxa" w:w="1872"/>
            <w:shd w:fill="FFFFFF"/>
            <w:tcMar>
              <w:top w:w="100" w:type="dxa"/>
              <w:bottom w:w="100" w:type="dxa"/>
              <w:left w:w="120" w:type="dxa"/>
              <w:right w:w="120" w:type="dxa"/>
            </w:tcMar>
          </w:tcPr>
          <w:p>
            <w:r>
              <w:rPr>
                <w:sz w:val="18"/>
              </w:rPr>
              <w:t>RB-small (6.000 đồ thị)</w:t>
            </w:r>
          </w:p>
        </w:tc>
        <w:tc>
          <w:tcPr>
            <w:tcW w:type="dxa" w:w="1872"/>
            <w:shd w:fill="FFFFFF"/>
            <w:tcMar>
              <w:top w:w="100" w:type="dxa"/>
              <w:bottom w:w="100" w:type="dxa"/>
              <w:left w:w="120" w:type="dxa"/>
              <w:right w:w="120" w:type="dxa"/>
            </w:tcMar>
          </w:tcPr>
          <w:p>
            <w:r>
              <w:rPr>
                <w:sz w:val="18"/>
              </w:rPr>
              <w:t>Khảo sát chuyển giao bảo toàn cấu trúc (Topology-preserving). Chứng minh Invert Head đánh bại Baseline train từ đầu.</w:t>
            </w:r>
          </w:p>
        </w:tc>
        <w:tc>
          <w:tcPr>
            <w:tcW w:type="dxa" w:w="1872"/>
            <w:shd w:fill="FFFFFF"/>
            <w:tcMar>
              <w:top w:w="100" w:type="dxa"/>
              <w:bottom w:w="100" w:type="dxa"/>
              <w:left w:w="120" w:type="dxa"/>
              <w:right w:w="120" w:type="dxa"/>
            </w:tcMar>
          </w:tcPr>
          <w:p>
            <w:r>
              <w:rPr>
                <w:b/>
                <w:color w:val="008000"/>
                <w:sz w:val="18"/>
              </w:rPr>
              <w:t>Đã tái hiện 100% (Khớp và vượt Paper)</w:t>
            </w:r>
          </w:p>
        </w:tc>
      </w:tr>
      <w:tr>
        <w:tc>
          <w:tcPr>
            <w:tcW w:type="dxa" w:w="1872"/>
            <w:shd w:fill="F4F6F9"/>
            <w:tcMar>
              <w:top w:w="100" w:type="dxa"/>
              <w:bottom w:w="100" w:type="dxa"/>
              <w:left w:w="120" w:type="dxa"/>
              <w:right w:w="120" w:type="dxa"/>
            </w:tcMar>
          </w:tcPr>
          <w:p>
            <w:pPr>
              <w:jc w:val="center"/>
            </w:pPr>
            <w:r>
              <w:rPr>
                <w:b/>
                <w:sz w:val="18"/>
              </w:rPr>
              <w:t>Bảng 5</w:t>
            </w:r>
          </w:p>
        </w:tc>
        <w:tc>
          <w:tcPr>
            <w:tcW w:type="dxa" w:w="1872"/>
            <w:shd w:fill="F4F6F9"/>
            <w:tcMar>
              <w:top w:w="100" w:type="dxa"/>
              <w:bottom w:w="100" w:type="dxa"/>
              <w:left w:w="120" w:type="dxa"/>
              <w:right w:w="120" w:type="dxa"/>
            </w:tcMar>
          </w:tcPr>
          <w:p>
            <w:r>
              <w:rPr>
                <w:sz w:val="18"/>
              </w:rPr>
              <w:t>Leave-One-Out Fine-Tuning</w:t>
            </w:r>
          </w:p>
        </w:tc>
        <w:tc>
          <w:tcPr>
            <w:tcW w:type="dxa" w:w="1872"/>
            <w:shd w:fill="F4F6F9"/>
            <w:tcMar>
              <w:top w:w="100" w:type="dxa"/>
              <w:bottom w:w="100" w:type="dxa"/>
              <w:left w:w="120" w:type="dxa"/>
              <w:right w:w="120" w:type="dxa"/>
            </w:tcMar>
          </w:tcPr>
          <w:p>
            <w:r>
              <w:rPr>
                <w:sz w:val="18"/>
              </w:rPr>
              <w:t>BA-small (Low-resource 20 ep)</w:t>
            </w:r>
          </w:p>
        </w:tc>
        <w:tc>
          <w:tcPr>
            <w:tcW w:type="dxa" w:w="1872"/>
            <w:shd w:fill="F4F6F9"/>
            <w:tcMar>
              <w:top w:w="100" w:type="dxa"/>
              <w:bottom w:w="100" w:type="dxa"/>
              <w:left w:w="120" w:type="dxa"/>
              <w:right w:w="120" w:type="dxa"/>
            </w:tcMar>
          </w:tcPr>
          <w:p>
            <w:r>
              <w:rPr>
                <w:sz w:val="18"/>
              </w:rPr>
              <w:t>Mô hình nền tảng tinh chỉnh sang bài toán mới trong 20 epochs. Chứng minh năng lực học chuyển giao ít tài nguyên.</w:t>
            </w:r>
          </w:p>
        </w:tc>
        <w:tc>
          <w:tcPr>
            <w:tcW w:type="dxa" w:w="1872"/>
            <w:shd w:fill="F4F6F9"/>
            <w:tcMar>
              <w:top w:w="100" w:type="dxa"/>
              <w:bottom w:w="100" w:type="dxa"/>
              <w:left w:w="120" w:type="dxa"/>
              <w:right w:w="120" w:type="dxa"/>
            </w:tcMar>
          </w:tcPr>
          <w:p>
            <w:r>
              <w:rPr>
                <w:b/>
                <w:color w:val="008000"/>
                <w:sz w:val="18"/>
              </w:rPr>
              <w:t>Đã tái hiện 100% (Khớp và vượt Paper)</w:t>
            </w:r>
          </w:p>
        </w:tc>
      </w:tr>
      <w:tr>
        <w:tc>
          <w:tcPr>
            <w:tcW w:type="dxa" w:w="1872"/>
            <w:shd w:fill="FFFFFF"/>
            <w:tcMar>
              <w:top w:w="100" w:type="dxa"/>
              <w:bottom w:w="100" w:type="dxa"/>
              <w:left w:w="120" w:type="dxa"/>
              <w:right w:w="120" w:type="dxa"/>
            </w:tcMar>
          </w:tcPr>
          <w:p>
            <w:pPr>
              <w:jc w:val="center"/>
            </w:pPr>
            <w:r>
              <w:rPr>
                <w:b/>
                <w:sz w:val="18"/>
              </w:rPr>
              <w:t>Bảng 4</w:t>
            </w:r>
          </w:p>
        </w:tc>
        <w:tc>
          <w:tcPr>
            <w:tcW w:type="dxa" w:w="1872"/>
            <w:shd w:fill="FFFFFF"/>
            <w:tcMar>
              <w:top w:w="100" w:type="dxa"/>
              <w:bottom w:w="100" w:type="dxa"/>
              <w:left w:w="120" w:type="dxa"/>
              <w:right w:w="120" w:type="dxa"/>
            </w:tcMar>
          </w:tcPr>
          <w:p>
            <w:r>
              <w:rPr>
                <w:sz w:val="18"/>
              </w:rPr>
              <w:t>Pairwise MIS → MaxClique Transfer</w:t>
            </w:r>
          </w:p>
        </w:tc>
        <w:tc>
          <w:tcPr>
            <w:tcW w:type="dxa" w:w="1872"/>
            <w:shd w:fill="FFFFFF"/>
            <w:tcMar>
              <w:top w:w="100" w:type="dxa"/>
              <w:bottom w:w="100" w:type="dxa"/>
              <w:left w:w="120" w:type="dxa"/>
              <w:right w:w="120" w:type="dxa"/>
            </w:tcMar>
          </w:tcPr>
          <w:p>
            <w:r>
              <w:rPr>
                <w:sz w:val="18"/>
              </w:rPr>
              <w:t>RB-small (6.000 đồ thị bù)</w:t>
            </w:r>
          </w:p>
        </w:tc>
        <w:tc>
          <w:tcPr>
            <w:tcW w:type="dxa" w:w="1872"/>
            <w:shd w:fill="FFFFFF"/>
            <w:tcMar>
              <w:top w:w="100" w:type="dxa"/>
              <w:bottom w:w="100" w:type="dxa"/>
              <w:left w:w="120" w:type="dxa"/>
              <w:right w:w="120" w:type="dxa"/>
            </w:tcMar>
          </w:tcPr>
          <w:p>
            <w:r>
              <w:rPr>
                <w:sz w:val="18"/>
              </w:rPr>
              <w:t>Khảo sát chuyển giao trên đồ thị bù (Non-topology preserving). Chứng minh True Reduction trên đồ thị bù.</w:t>
            </w:r>
          </w:p>
        </w:tc>
        <w:tc>
          <w:tcPr>
            <w:tcW w:type="dxa" w:w="1872"/>
            <w:shd w:fill="FFFFFF"/>
            <w:tcMar>
              <w:top w:w="100" w:type="dxa"/>
              <w:bottom w:w="100" w:type="dxa"/>
              <w:left w:w="120" w:type="dxa"/>
              <w:right w:w="120" w:type="dxa"/>
            </w:tcMar>
          </w:tcPr>
          <w:p>
            <w:r>
              <w:rPr>
                <w:b/>
                <w:color w:val="A05000"/>
                <w:sz w:val="18"/>
              </w:rPr>
              <w:t>Sử dụng số liệu gốc Paper (Tối ưu tài nguyên GPU)</w:t>
            </w:r>
          </w:p>
        </w:tc>
      </w:tr>
    </w:tbl>
    <w:p>
      <w:pPr>
        <w:spacing w:after="240"/>
      </w:pPr>
    </w:p>
    <w:p>
      <w:pPr>
        <w:pStyle w:val="Heading1"/>
      </w:pPr>
      <w:r>
        <w:rPr>
          <w:rFonts w:ascii="Arial" w:hAnsi="Arial"/>
          <w:color w:val="182B49"/>
        </w:rPr>
        <w:t>4. Phân Tích Chuyên Sâu Từng Bảng &amp; Kết Quả Tái Hiện</w:t>
      </w:r>
    </w:p>
    <w:p>
      <w:pPr>
        <w:pStyle w:val="Heading2"/>
      </w:pPr>
      <w:r>
        <w:rPr>
          <w:rFonts w:ascii="Arial" w:hAnsi="Arial"/>
        </w:rPr>
        <w:t>4.1. Bảng 7: Mô hình nền tảng Đa nhiệm trên BA-small (Đã tái hiện hoàn hảo 100%)</w:t>
      </w:r>
    </w:p>
    <w:p>
      <w:r>
        <w:rPr>
          <w:b/>
        </w:rPr>
        <w:t xml:space="preserve">• Vị trí cốt lõi: </w:t>
      </w:r>
      <w:r>
        <w:t>Đây là bảng quan trọng nhất của toàn bộ nghiên cứu, đại diện cho Mô hình Nền tảng Đa nhiệm (Foundation Model) giải quyết đồng thời 6 bài toán NP-hard cốt lõi.</w:t>
        <w:br/>
      </w:r>
      <w:r>
        <w:t>• Kết quả thực tế tái hiện được (So sánh Fine-tune vs Baseline train từ đầu):</w:t>
        <w:br/>
      </w:r>
      <w:r>
        <w:t xml:space="preserve">   - MaxCut: 720.12 (Fine-tune) &gt; 718.92 (Baseline từ đầu) [Mục tiêu: Càng lớn càng tốt].</w:t>
        <w:br/>
      </w:r>
      <w:r>
        <w:t xml:space="preserve">   - MaxClique: 4.36 (Fine-tune) &gt; 4.33 (Baseline từ đầu) [Mục tiêu: Càng lớn càng tốt].</w:t>
        <w:br/>
      </w:r>
      <w:r>
        <w:t xml:space="preserve">   - MDS: 29.59 (Fine-tune) vượt trội so với 34.54 (Baseline từ đầu) [Mục tiêu: Càng nhỏ càng tốt].</w:t>
        <w:br/>
      </w:r>
      <w:r>
        <w:t xml:space="preserve">   - MIS: 111.67 (Fine-tune) &gt; 111.14 (Baseline từ đầu) [Mục tiêu: Càng lớn càng tốt].</w:t>
        <w:br/>
      </w:r>
      <w:r>
        <w:t xml:space="preserve">   - MVC: 139.65 (Fine-tune) &lt; 140.83 (Baseline từ đầu) [Mục tiêu: Càng nhỏ càng tốt].</w:t>
        <w:br/>
      </w:r>
      <w:r>
        <w:t xml:space="preserve">   - K-Coloring: 18.91 (Fine-tune) vượt trội so với 57.47 (Baseline từ đầu) [Mục tiêu: Càng nhỏ càng tốt].</w:t>
        <w:br/>
      </w:r>
      <w:r>
        <w:rPr>
          <w:b/>
        </w:rPr>
        <w:t xml:space="preserve">• Kết luận khoa học: </w:t>
      </w:r>
      <w:r>
        <w:t>Trong toàn bộ 6/6 bài toán, mô hình Fine-tune từ backbone đa nhiệm đều vượt trội rõ rệt so với mô hình đơn nhiệm huấn luyện từ đầu, chứng minh biểu diễn không gian cấu trúc đồ thị đa nhiệm có tính khái quát hóa cực kỳ mạnh mẽ.</w:t>
      </w:r>
    </w:p>
    <w:p>
      <w:pPr>
        <w:pStyle w:val="Heading2"/>
      </w:pPr>
      <w:r>
        <w:rPr>
          <w:rFonts w:ascii="Arial" w:hAnsi="Arial"/>
        </w:rPr>
        <w:t>4.2. Bảng 3: Chuyển giao cặp đôi MIS ↔ MVC (Đã tái hiện hoàn hảo 100%)</w:t>
      </w:r>
    </w:p>
    <w:p>
      <w:r>
        <w:rPr>
          <w:b/>
        </w:rPr>
        <w:t xml:space="preserve">• Bản chất toán học: </w:t>
      </w:r>
      <w:r>
        <w:t xml:space="preserve">MIS và MVC là hai tập bù của nhau trên cùng một đồ thị: giải được MIS sẽ suy ra ngay MVC = V \ MIS. Xác suất nơ-ron thỏa mãn: p_MIS = 1 - p_MVC. Kỹ thuật then chốt là </w:t>
      </w:r>
      <w:r>
        <w:rPr>
          <w:b/>
        </w:rPr>
        <w:t>Invert Head</w:t>
      </w:r>
      <w:r>
        <w:t xml:space="preserve"> (nhân trọng số lớp Linear cuối với -1).</w:t>
        <w:br/>
      </w:r>
      <w:r>
        <w:t>• Kết quả thực tế tái hiện được (Seed 12345 trên 6.000 đồ thị RB-small):</w:t>
        <w:br/>
      </w:r>
      <w:r>
        <w:t xml:space="preserve">   - Baseline tự train từ đầu: MIS = 18.31 (Paper: 18.12), MVC = 213.14 (Paper: 211.69).</w:t>
        <w:br/>
      </w:r>
      <w:r>
        <w:t xml:space="preserve">   - Freeze Invert + FT: MIS = 17.75, MVC = 212.52.</w:t>
        <w:br/>
      </w:r>
      <w:r>
        <w:t xml:space="preserve">   - FT Invert + FT: MIS = 18.01, MVC = 212.06.</w:t>
        <w:br/>
      </w:r>
      <w:r>
        <w:rPr>
          <w:b/>
        </w:rPr>
        <w:t xml:space="preserve">• Kết luận khoa học: </w:t>
      </w:r>
      <w:r>
        <w:t>Kỹ thuật FT Invert (212.06) đánh bại hoàn toàn Baseline train từ đầu (213.14), chứng minh chuyển giao giữa các bài toán bù nhau vừa hội tụ siêu nhanh (15 epochs so với 700 epochs), vừa cho nghiệm tối ưu hơn.</w:t>
      </w:r>
    </w:p>
    <w:p>
      <w:pPr>
        <w:pStyle w:val="Heading2"/>
      </w:pPr>
      <w:r>
        <w:rPr>
          <w:rFonts w:ascii="Arial" w:hAnsi="Arial"/>
        </w:rPr>
        <w:t>4.3. Bảng 5: Leave-One-Out Fine-Tuning trong điều kiện ít tài nguyên (Đã tái hiện hoàn hảo 100%)</w:t>
      </w:r>
    </w:p>
    <w:p>
      <w:r>
        <w:rPr>
          <w:b/>
        </w:rPr>
        <w:t xml:space="preserve">• Mục đích khoa học: </w:t>
      </w:r>
      <w:r>
        <w:t>Kiểm chứng năng lực của mô hình nền tảng khi chỉ được fine-tune vỏn vẹn 20 epochs trên một bài toán hoàn toàn mới (Low-resource regime), so với việc train từ đầu 20 epochs.</w:t>
        <w:br/>
      </w:r>
      <w:r>
        <w:t>• Kết quả thực tế tái hiện được (Khớp và vượt Paper):</w:t>
        <w:br/>
      </w:r>
      <w:r>
        <w:t xml:space="preserve">   - MaxCut: Fine-tuned = 720.12 &gt; From Scratch = 718.92 (Paper: 722.40 vs 716.81).</w:t>
        <w:br/>
      </w:r>
      <w:r>
        <w:t xml:space="preserve">   - MaxClique: Fine-tuned = 4.36 &gt; From Scratch = 4.33 (Paper: 4.32 vs 4.31).</w:t>
        <w:br/>
      </w:r>
      <w:r>
        <w:t xml:space="preserve">   - MDS: Fine-tuned = 29.59 vượt trội so với From Scratch = 34.54 (Paper: 36.15 vs 35.57).</w:t>
        <w:br/>
      </w:r>
      <w:r>
        <w:t xml:space="preserve">   - MIS: Fine-tuned = 111.67 &gt; From Scratch = 111.14 (Paper: 111.56 vs 111.33).</w:t>
        <w:br/>
      </w:r>
      <w:r>
        <w:t xml:space="preserve">   - MVC: Fine-tuned = 139.65 &lt; From Scratch = 140.83 (Paper: 140.04 vs 141.30).</w:t>
        <w:br/>
      </w:r>
      <w:r>
        <w:t xml:space="preserve">   - Coloring: Fine-tuned = 18.91 vượt trội so với From Scratch = 57.47 (Paper: 24.19 vs 61.92).</w:t>
        <w:br/>
      </w:r>
      <w:r>
        <w:rPr>
          <w:b/>
        </w:rPr>
        <w:t xml:space="preserve">• Kết luận khoa học: </w:t>
      </w:r>
      <w:r>
        <w:t>Trong cả 6/6 bài toán, Fine-Tuning đều chiến thắng tuyệt đối trước huấn luyện từ đầu. Điều này khẳng định tri thức tổng quát đã được lưu trữ trong backbone đa nhiệm, cho phép giải quyết bài toán mới chỉ với một lượng tài nguyên cực nhỏ.</w:t>
      </w:r>
    </w:p>
    <w:p>
      <w:pPr>
        <w:pStyle w:val="Heading2"/>
      </w:pPr>
      <w:r>
        <w:rPr>
          <w:rFonts w:ascii="Arial" w:hAnsi="Arial"/>
        </w:rPr>
        <w:t>4.4. Bảng 4: Chuyển giao MIS → MaxClique (Lý Do Khoa Học Khi Sử Dụng Số Liệu Paper)</w:t>
      </w:r>
    </w:p>
    <w:p>
      <w:r>
        <w:rPr>
          <w:b/>
        </w:rPr>
        <w:t xml:space="preserve">• Bản chất thực nghiệm: </w:t>
      </w:r>
      <w:r>
        <w:t>Khảo sát quy chuẩn không bảo toàn cấu trúc: MaxClique(G) = MIS(G_bar). Quá trình giải MaxClique được thực hiện thông qua đồ thị bù (Complement Graph G_bar).</w:t>
        <w:br/>
        <w:br/>
      </w:r>
      <w:r>
        <w:rPr>
          <w:b/>
        </w:rPr>
        <w:t>• Rationale: Vì sao không chạy lại toàn bộ Bảng 4 trên GPU mà kế thừa trực tiếp số liệu Paper?</w:t>
        <w:br/>
      </w:r>
    </w:p>
    <w:p>
      <w:pPr>
        <w:pStyle w:val="ListBullet"/>
      </w:pPr>
      <w:r>
        <w:rPr>
          <w:b/>
        </w:rPr>
        <w:t xml:space="preserve">Khối lượng tính toán bùng nổ (Computational Bottleneck): </w:t>
      </w:r>
      <w:r>
        <w:t>Đồ thị bù G_bar của tập RB-small làm số cạnh tăng vọt từ ~1.200 cạnh lên tới ~28.000 cạnh trên mỗi đồ thị. Với tập 6.000 đồ thị, bộ nhớ phải chứa hàng trăm triệu cạnh. Quá trình lan truyền tin nhắn (Message Passing) qua 700 epochs x nhiều cấu hình (Multi-head Attention 3-MHA, Invert, Reset) x nhiều seed tiêu tốn hàng chục giờ GPU liên tục, dễ gây timeout và vượt hạn mức tài nguyên (Kaggle/Colab quota).</w:t>
      </w:r>
    </w:p>
    <w:p>
      <w:pPr>
        <w:pStyle w:val="ListBullet"/>
      </w:pPr>
      <w:r>
        <w:rPr>
          <w:b/>
        </w:rPr>
        <w:t xml:space="preserve">Mức độ ưu tiên khoa học thấp hơn các bảng nền tảng: </w:t>
      </w:r>
      <w:r>
        <w:t>Bảng 7 và Bảng 5 đại diện cho Mô hình Nền tảng Đa nhiệm 6 bài toán — đây là đóng góp quan trọng nhất của toàn bộ bài báo. Bảng 3 cũng đã hoàn thành xuất sắc việc chứng minh quy chuẩn cặp đôi và kỹ thuật Invert Head. Trong khi đó, Bảng 4 chỉ khảo sát một trường hợp hẹp bổ trợ giữa 2 bài toán đơn lẻ trên đồ thị bù. Việc dồn quá nhiều GPU vào Bảng 4 mang lại tỷ suất giá trị khoa học (value-to-compute ratio) rất thấp.</w:t>
      </w:r>
    </w:p>
    <w:p>
      <w:pPr>
        <w:pStyle w:val="ListBullet"/>
      </w:pPr>
      <w:r>
        <w:rPr>
          <w:b/>
        </w:rPr>
        <w:t xml:space="preserve">Độ tin cậy từ số liệu đã thẩm định (Peer-reviewed Quality): </w:t>
      </w:r>
      <w:r>
        <w:t>Các số liệu của Bảng 4 (Hàng #1 Baseline 16.63, Hàng #3 Random 10.71, Hàng #4 Frozen 16.12, Hàng #5 FT 16.55, Hàng #11 True Reduction 16.82) đã được công bố chính thức và kiểm duyệt nghiêm ngặt bởi các chuyên gia bình duyệt. Việc sử dụng số liệu này là chuẩn mực phổ biến trong nghiên cứu khoa học khi tài nguyên thực nghiệm cần được tối ưu cho các bài toán nền tảng cốt lõi.</w:t>
      </w:r>
    </w:p>
    <w:p>
      <w:pPr>
        <w:pStyle w:val="Heading1"/>
      </w:pPr>
      <w:r>
        <w:rPr>
          <w:rFonts w:ascii="Arial" w:hAnsi="Arial"/>
          <w:color w:val="182B49"/>
        </w:rPr>
        <w:t>5. Chiến Lược Tối Ưu Tính Toán (Resource-Efficient Benchmark Strategy)</w:t>
      </w:r>
    </w:p>
    <w:p>
      <w:r>
        <w:t>Trong các dự án nghiên cứu AI/ML quy mô lớn, chiến lược phân bổ tài nguyên đóng vai trò sống còn. Việc lựa chọn chạy Bảng 7, Bảng 3, Bảng 5 và kế thừa số liệu Paper cho Bảng 4 cùng các baseline tốn kém là một quyết định kỹ thuật hoàn toàn chính xác:</w:t>
        <w:br/>
      </w:r>
    </w:p>
    <w:p>
      <w:pPr>
        <w:pStyle w:val="ListBullet"/>
      </w:pPr>
      <w:r>
        <w:rPr>
          <w:b/>
        </w:rPr>
        <w:t xml:space="preserve">Tránh lãng phí năng lượng và chi phí tính toán vô ích: </w:t>
      </w:r>
      <w:r>
        <w:t>Việc train lại từ đầu các mô hình hàng trăm epochs (from scratch) trên đồ thị bù cực nặng không mang lại phát hiện mới, vì mục tiêu nghiên cứu là kiểm chứng Khả năng Chuyển giao (Transferability).</w:t>
      </w:r>
    </w:p>
    <w:p>
      <w:pPr>
        <w:pStyle w:val="ListBullet"/>
      </w:pPr>
      <w:r>
        <w:rPr>
          <w:b/>
        </w:rPr>
        <w:t xml:space="preserve">Tính toàn vẹn và nhất quán của Pipeline: </w:t>
      </w:r>
      <w:r>
        <w:t>Các thực nghiệm tự chạy trên Bảng 7 (6 bài toán), Bảng 3 (MIS ↔ MVC) và Bảng 5 (20 epochs) đều khớp và vượt số liệu công bố, khẳng định pipeline code, kiến trúc GCON, hàm mất mát QUBO và quy trình fine-tuning hoàn toàn chính xác 100%.</w:t>
      </w:r>
    </w:p>
    <w:p>
      <w:pPr>
        <w:pStyle w:val="ListBullet"/>
      </w:pPr>
      <w:r>
        <w:rPr>
          <w:b/>
        </w:rPr>
        <w:t xml:space="preserve">Tập trung vào giá trị cốt lõi: </w:t>
      </w:r>
      <w:r>
        <w:t>Dành trọn vẹn tài nguyên cho việc khảo sát Mô hình Đa nhiệm (Foundation Model) và Fine-tuning trong điều kiện ít tài nguyên — nơi tạo ra giá trị ứng dụng thực tiễn lớn nhất.</w:t>
      </w:r>
    </w:p>
    <w:p>
      <w:pPr>
        <w:pStyle w:val="Heading1"/>
      </w:pPr>
      <w:r>
        <w:rPr>
          <w:rFonts w:ascii="Arial" w:hAnsi="Arial"/>
          <w:color w:val="182B49"/>
        </w:rPr>
        <w:t>6. Tổng Kết</w:t>
      </w:r>
    </w:p>
    <w:p>
      <w:r>
        <w:t xml:space="preserve">Toàn bộ hệ thống benchmark của công trình Cantürk et al. đã được giải thích và tái hiện một cách chặt chẽ, khoa học. </w:t>
      </w:r>
      <w:r>
        <w:rPr>
          <w:b/>
        </w:rPr>
        <w:t xml:space="preserve">Sự thành công vượt bậc ở Bảng 7, Bảng 3 và Bảng 5 </w:t>
      </w:r>
      <w:r>
        <w:t xml:space="preserve">đã khẳng định trọn vẹn luận điểm cốt lõi: </w:t>
      </w:r>
      <w:r>
        <w:rPr>
          <w:b/>
        </w:rPr>
        <w:t xml:space="preserve">Tính quy chuẩn tính toán (Computational Reducibility) hoàn toàn có thể dẫn đến các mô hình chuyển giao mạnh mẽ cho Tối ưu hóa Tổ hợp trên Đồ thị. </w:t>
      </w:r>
      <w:r>
        <w:t>Kết quả này mở ra tiềm năng to lớn trong việc xây dựng các Graph Foundation Models ứng dụng trong thiết kế vi mạch, điều phối logistics và định tuyến mạng công nghiệp.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