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42B"/>
          <w:sz w:val="36"/>
        </w:rPr>
        <w:t>Megicode Service Page Copy Table</w:t>
      </w:r>
    </w:p>
    <w:p>
      <w:pPr>
        <w:jc w:val="center"/>
      </w:pPr>
      <w:r>
        <w:rPr>
          <w:color w:val="464E60"/>
          <w:sz w:val="19"/>
        </w:rPr>
        <w:t>Use this directly while updating Megicode.com service detail pages. Keep each proof line short on the website.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8"/>
        <w:gridCol w:w="2638"/>
        <w:gridCol w:w="2638"/>
        <w:gridCol w:w="2638"/>
        <w:gridCol w:w="2638"/>
        <w:gridCol w:w="2638"/>
      </w:tblGrid>
      <w:tr>
        <w:trPr>
          <w:tblHeader w:val="true"/>
        </w:trPr>
        <w:tc>
          <w:tcPr>
            <w:tcW w:type="dxa" w:w="1800"/>
            <w:shd w:fill="0D142B"/>
            <w:tcMar>
              <w:top w:w="90" w:type="dxa"/>
              <w:start w:w="60" w:type="dxa"/>
              <w:bottom w:w="90" w:type="dxa"/>
              <w:end w:w="6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Service Page</w:t>
            </w:r>
          </w:p>
        </w:tc>
        <w:tc>
          <w:tcPr>
            <w:tcW w:type="dxa" w:w="2952"/>
            <w:shd w:fill="0D142B"/>
            <w:tcMar>
              <w:top w:w="90" w:type="dxa"/>
              <w:start w:w="60" w:type="dxa"/>
              <w:bottom w:w="90" w:type="dxa"/>
              <w:end w:w="6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Main Sales Pitch</w:t>
            </w:r>
          </w:p>
        </w:tc>
        <w:tc>
          <w:tcPr>
            <w:tcW w:type="dxa" w:w="3672"/>
            <w:shd w:fill="0D142B"/>
            <w:tcMar>
              <w:top w:w="90" w:type="dxa"/>
              <w:start w:w="60" w:type="dxa"/>
              <w:bottom w:w="90" w:type="dxa"/>
              <w:end w:w="6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Supporting Line</w:t>
            </w:r>
          </w:p>
        </w:tc>
        <w:tc>
          <w:tcPr>
            <w:tcW w:type="dxa" w:w="3672"/>
            <w:shd w:fill="0D142B"/>
            <w:tcMar>
              <w:top w:w="90" w:type="dxa"/>
              <w:start w:w="60" w:type="dxa"/>
              <w:bottom w:w="90" w:type="dxa"/>
              <w:end w:w="6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Proof / Reference Micro-Line</w:t>
            </w:r>
          </w:p>
        </w:tc>
        <w:tc>
          <w:tcPr>
            <w:tcW w:type="dxa" w:w="1613"/>
            <w:shd w:fill="0D142B"/>
            <w:tcMar>
              <w:top w:w="90" w:type="dxa"/>
              <w:start w:w="60" w:type="dxa"/>
              <w:bottom w:w="90" w:type="dxa"/>
              <w:end w:w="6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CTA</w:t>
            </w:r>
          </w:p>
        </w:tc>
        <w:tc>
          <w:tcPr>
            <w:tcW w:type="dxa" w:w="3240"/>
            <w:shd w:fill="0D142B"/>
            <w:tcMar>
              <w:top w:w="90" w:type="dxa"/>
              <w:start w:w="60" w:type="dxa"/>
              <w:bottom w:w="90" w:type="dxa"/>
              <w:end w:w="60" w:type="dxa"/>
            </w:tcMar>
            <w:vAlign w:val="center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A/B Test Variant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UI/UX Design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Good design makes users trust faster, understand faster, and take action faster.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remove confusion from screens so users feel confident using your product.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Stanford: credible websites are useful, easy to use, and show real trust signals.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Improve My UX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A confusing interface does not just look bad; it makes users doubt the business.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Product Design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Your product should feel simple before it feels powerful.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turn complex ideas into clean product flows users can understand without explanation.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Steve Jobs: “Design is how it works.”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Design My Product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The best products feel obvious because the hard thinking happens before the user sees them.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Website Design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Your website is your first sales meeting.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design websites that quickly build trust, explain value, and guide visitors toward action.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Stanford: people judge credibility through design, organization, and proof signals.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Build a Better Website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If your website looks weak, clients doubt your business before they ever contact you.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Landing Page / CRO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More traffic is wasted if the page does not convince people to act.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improve messaging, layout, CTAs, and friction points so more visitors become leads.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NN/g: conversion rate is strongly impacted by design and is a key UX metric.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Improve My Conversions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Every unclear section, weak CTA, or slow page quietly costs your business leads.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SaaS Development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A website shows your business. A SaaS platform runs your business.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build scalable SaaS products with user accounts, dashboards, payments, workflows, and admin systems.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CB Insights: weak product-market fit and cash waste are major startup failure risks.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Launch My SaaS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Build a platform that creates recurring value, not just an online presence.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MVP Development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Build the right first version before spending money on the wrong full product.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help founders validate the core idea faster with a focused, launch-ready MVP.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CB Insights: startups often fail when they build without strong market need.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Build My MVP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Your first version should prove demand, not drain the budget.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Custom Web App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Your software should fit your business, not force your business to adjust around it.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build custom portals, dashboards, workflows, and internal systems around your real operations.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PwC: customers value speed, convenience, and easy experiences when choosing brands.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Build My Web App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Messy software slows teams down. Custom systems make work smoother and easier to manage.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AI Product Development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AI should not be added for hype; it should make your product smarter and more useful.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build AI features around real user needs: assistants, recommendations, search, scoring, and analysis.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MIT NANDA: only a small share of GenAI pilots create measurable value without proper integration.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Build My AI Product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The best AI products solve a real workflow, not just add a chatbot.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AI Automation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Repetitive work is not a growth strategy.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automate manual tasks, follow-ups, reports, lead handling, and tool-to-tool workflows.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Bill Gates: automation magnifies efficiency when applied to efficient operations.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Automate My Workflow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If your team repeats the same task daily, your business is paying for work software can handle faster.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AI Agents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AI agents should support real operations, not feel like experiments.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create agent workflows that save time, reduce follow-ups, and keep human control where needed.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Gartner: many agentic AI projects fail because value, cost, and risk are not clear.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Build My AI Agent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A useful AI agent should resolve work, not just respond to prompts.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AI Integration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Your current software may already have the data; it just needs intelligence.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add AI search, chat, summaries, insights, and workflow intelligence into existing systems.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Salesforce: AI-era customers expect trust, data responsibility, and better experiences.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Make My Software Smarter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You may not need new software; you may need smarter software.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Data Intelligence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Better data turns guessing into confident decisions.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build dashboards, reports, analytics, and decision-support tools that make performance clear.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McKinsey: AI value grows when companies integrate intelligence into core workflows.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Turn Data Into Insights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Business leaders do not need more charts; they need clearer decisions.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Mobile App Development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A mobile app keeps your business closer to customers every day.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build fast, clean mobile experiences that improve access, engagement, and retention.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Google: 53% of mobile visits are likely abandoned if loading takes over 3 seconds.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Build My Mobile App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If mobile feels slow or confusing, users leave before they see your value.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Cloud &amp; DevOps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Your product cannot scale if the system behind it is slow, fragile, or hard to update.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improve deployment, hosting, monitoring, reliability, and release confidence.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DORA: strong teams measure speed, failure rate, recovery time, and delivery reliability.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Strengthen My Infrastructure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Reliable infrastructure helps your product grow without breaking user trust.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Technical Co-Founder / Tech Partner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You do not need to be technical to build a serious tech product; you need the right technical partner.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help with roadmap, architecture, MVP planning, stack decisions, and execution direction.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CB Insights: poor execution and weak product-market fit are major startup risks.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Get Technical Direction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The wrong technical decision early can cost more than the development itself.</w:t>
            </w:r>
          </w:p>
        </w:tc>
      </w:tr>
      <w:tr>
        <w:tc>
          <w:tcPr>
            <w:tcW w:type="dxa" w:w="180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Growth &amp; SEO</w:t>
            </w:r>
          </w:p>
        </w:tc>
        <w:tc>
          <w:tcPr>
            <w:tcW w:type="dxa" w:w="295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A great product is not enough if the right customers never find it.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improve SEO structure, landing pages, content direction, analytics, and conversion paths.</w:t>
            </w:r>
          </w:p>
        </w:tc>
        <w:tc>
          <w:tcPr>
            <w:tcW w:type="dxa" w:w="3672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Google: SEO helps users find your site and decide whether to visit.</w:t>
            </w:r>
          </w:p>
        </w:tc>
        <w:tc>
          <w:tcPr>
            <w:tcW w:type="dxa" w:w="1613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Grow My Visibility</w:t>
            </w:r>
          </w:p>
        </w:tc>
        <w:tc>
          <w:tcPr>
            <w:tcW w:type="dxa" w:w="3240"/>
            <w:shd w:fill="FFFFFF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Visibility without clarity does not convert; SEO and messaging must work together.</w:t>
            </w:r>
          </w:p>
        </w:tc>
      </w:tr>
      <w:tr>
        <w:tc>
          <w:tcPr>
            <w:tcW w:type="dxa" w:w="180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Ongoing Design &amp; Development Support</w:t>
            </w:r>
          </w:p>
        </w:tc>
        <w:tc>
          <w:tcPr>
            <w:tcW w:type="dxa" w:w="295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b/>
                <w:color w:val="0D142B"/>
                <w:sz w:val="15"/>
              </w:rPr>
              <w:t>Get reliable product support without hiring stress, delays, or unpredictable costs.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We support improvements, fixes, new pages, design updates, automation, and feature work continuously.</w:t>
            </w:r>
          </w:p>
        </w:tc>
        <w:tc>
          <w:tcPr>
            <w:tcW w:type="dxa" w:w="3672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Jeff Bezos: great customer experience creates powerful word of mouth.</w:t>
            </w:r>
          </w:p>
        </w:tc>
        <w:tc>
          <w:tcPr>
            <w:tcW w:type="dxa" w:w="1613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144786"/>
                <w:sz w:val="15"/>
              </w:rPr>
              <w:t>Get Ongoing Support</w:t>
            </w:r>
          </w:p>
        </w:tc>
        <w:tc>
          <w:tcPr>
            <w:tcW w:type="dxa" w:w="3240"/>
            <w:shd w:fill="F7F9FC"/>
            <w:tcMar>
              <w:top w:w="75" w:type="dxa"/>
              <w:start w:w="60" w:type="dxa"/>
              <w:bottom w:w="75" w:type="dxa"/>
              <w:end w:w="60" w:type="dxa"/>
            </w:tcMar>
            <w:tcBorders>
              <w:top w:val="single" w:sz="4" w:color="D9DEE8"/>
              <w:left w:val="single" w:sz="4" w:color="D9DEE8"/>
              <w:bottom w:val="single" w:sz="4" w:color="D9DEE8"/>
              <w:right w:val="single" w:sz="4" w:color="D9DEE8"/>
            </w:tcBorders>
            <w:vAlign w:val="top"/>
          </w:tcPr>
          <w:p>
            <w:pPr>
              <w:spacing w:after="0"/>
              <w:jc w:val="left"/>
            </w:pPr>
            <w:r>
              <w:rPr>
                <w:sz w:val="15"/>
              </w:rPr>
              <w:t>Your product should keep improving after launch, not wait for problems to become urgent.</w:t>
            </w:r>
          </w:p>
        </w:tc>
      </w:tr>
    </w:tbl>
    <w:p>
      <w:pPr>
        <w:spacing w:before="160"/>
      </w:pPr>
      <w:r>
        <w:rPr>
          <w:b/>
          <w:sz w:val="18"/>
        </w:rPr>
        <w:t xml:space="preserve">Placement rule: </w:t>
      </w:r>
      <w:r>
        <w:rPr>
          <w:sz w:val="18"/>
        </w:rPr>
        <w:t>Hero = Main Sales Pitch. Under hero = Supporting Line. Small credibility strip = Proof Micro-Line. Button = Primary CTA. Test alternate hero using A/B Test Variant.</w:t>
      </w:r>
    </w:p>
    <w:p>
      <w:r>
        <w:rPr>
          <w:b/>
          <w:sz w:val="18"/>
        </w:rPr>
        <w:t>Do not add long proof paragraphs on the website. Use one short proof line only.</w:t>
      </w:r>
    </w:p>
    <w:p>
      <w:pPr>
        <w:spacing w:before="200"/>
      </w:pPr>
      <w:r>
        <w:rPr>
          <w:b/>
          <w:color w:val="0D142B"/>
          <w:sz w:val="24"/>
        </w:rPr>
        <w:t>Short Source List</w:t>
      </w:r>
    </w:p>
    <w:p>
      <w:pPr>
        <w:spacing w:after="20"/>
        <w:ind w:left="173"/>
      </w:pPr>
      <w:r>
        <w:rPr>
          <w:sz w:val="16"/>
        </w:rPr>
        <w:t xml:space="preserve">• Stanford Web Credibility Guidelines: </w:t>
      </w:r>
      <w:hyperlink r:id="rId9">
        <w:r>
          <w:rPr>
            <w:color w:val="0563C1"/>
            <w:u w:val="single"/>
          </w:rPr>
          <w:t>https://credibility.stanford.edu/guidelines/index.html</w:t>
        </w:r>
      </w:hyperlink>
    </w:p>
    <w:p>
      <w:pPr>
        <w:spacing w:after="20"/>
        <w:ind w:left="173"/>
      </w:pPr>
      <w:r>
        <w:rPr>
          <w:sz w:val="16"/>
        </w:rPr>
        <w:t xml:space="preserve">• Google mobile speed research: </w:t>
      </w:r>
      <w:hyperlink r:id="rId10">
        <w:r>
          <w:rPr>
            <w:color w:val="0563C1"/>
            <w:u w:val="single"/>
          </w:rPr>
          <w:t>https://support.google.com/adsense/answer/7450973?hl=en</w:t>
        </w:r>
      </w:hyperlink>
    </w:p>
    <w:p>
      <w:pPr>
        <w:spacing w:after="20"/>
        <w:ind w:left="173"/>
      </w:pPr>
      <w:r>
        <w:rPr>
          <w:sz w:val="16"/>
        </w:rPr>
        <w:t xml:space="preserve">• PwC Future of Customer Experience: </w:t>
      </w:r>
      <w:hyperlink r:id="rId11">
        <w:r>
          <w:rPr>
            <w:color w:val="0563C1"/>
            <w:u w:val="single"/>
          </w:rPr>
          <w:t>https://www.pwc.de/de/consulting/pwc-consumer-intelligence-series-customer-experience.pdf</w:t>
        </w:r>
      </w:hyperlink>
    </w:p>
    <w:p>
      <w:pPr>
        <w:spacing w:after="20"/>
        <w:ind w:left="173"/>
      </w:pPr>
      <w:r>
        <w:rPr>
          <w:sz w:val="16"/>
        </w:rPr>
        <w:t xml:space="preserve">• NN/g Conversion Rates and UX: </w:t>
      </w:r>
      <w:hyperlink r:id="rId12">
        <w:r>
          <w:rPr>
            <w:color w:val="0563C1"/>
            <w:u w:val="single"/>
          </w:rPr>
          <w:t>https://www.nngroup.com/articles/conversion-rates/</w:t>
        </w:r>
      </w:hyperlink>
    </w:p>
    <w:p>
      <w:pPr>
        <w:spacing w:after="20"/>
        <w:ind w:left="173"/>
      </w:pPr>
      <w:r>
        <w:rPr>
          <w:sz w:val="16"/>
        </w:rPr>
        <w:t xml:space="preserve">• Google SEO Starter Guide: </w:t>
      </w:r>
      <w:hyperlink r:id="rId13">
        <w:r>
          <w:rPr>
            <w:color w:val="0563C1"/>
            <w:u w:val="single"/>
          </w:rPr>
          <w:t>https://developers.google.com/search/docs/fundamentals/seo-starter-guide</w:t>
        </w:r>
      </w:hyperlink>
    </w:p>
    <w:p>
      <w:pPr>
        <w:spacing w:after="20"/>
        <w:ind w:left="173"/>
      </w:pPr>
      <w:r>
        <w:rPr>
          <w:sz w:val="16"/>
        </w:rPr>
        <w:t xml:space="preserve">• DORA software delivery metrics: </w:t>
      </w:r>
      <w:hyperlink r:id="rId14">
        <w:r>
          <w:rPr>
            <w:color w:val="0563C1"/>
            <w:u w:val="single"/>
          </w:rPr>
          <w:t>https://dora.dev/guides/dora-metrics/</w:t>
        </w:r>
      </w:hyperlink>
    </w:p>
    <w:p>
      <w:pPr>
        <w:spacing w:after="20"/>
        <w:ind w:left="173"/>
      </w:pPr>
      <w:r>
        <w:rPr>
          <w:sz w:val="16"/>
        </w:rPr>
        <w:t xml:space="preserve">• McKinsey State of AI 2025: </w:t>
      </w:r>
      <w:hyperlink r:id="rId15">
        <w:r>
          <w:rPr>
            <w:color w:val="0563C1"/>
            <w:u w:val="single"/>
          </w:rPr>
          <w:t>https://www.mckinsey.com/capabilities/quantumblack/our-insights/the-state-of-ai</w:t>
        </w:r>
      </w:hyperlink>
    </w:p>
    <w:p>
      <w:pPr>
        <w:spacing w:after="20"/>
        <w:ind w:left="173"/>
      </w:pPr>
      <w:r>
        <w:rPr>
          <w:sz w:val="16"/>
        </w:rPr>
        <w:t xml:space="preserve">• MIT NANDA GenAI Divide / State of AI in Business 2025: </w:t>
      </w:r>
      <w:hyperlink r:id="rId16">
        <w:r>
          <w:rPr>
            <w:color w:val="0563C1"/>
            <w:u w:val="single"/>
          </w:rPr>
          <w:t>https://mlq.ai/media/quarterly_decks/v0.1_State_of_AI_in_Business_2025_Report.pdf</w:t>
        </w:r>
      </w:hyperlink>
    </w:p>
    <w:p>
      <w:pPr>
        <w:spacing w:after="20"/>
        <w:ind w:left="173"/>
      </w:pPr>
      <w:r>
        <w:rPr>
          <w:sz w:val="16"/>
        </w:rPr>
        <w:t xml:space="preserve">• Gartner Agentic AI prediction: </w:t>
      </w:r>
      <w:hyperlink r:id="rId17">
        <w:r>
          <w:rPr>
            <w:color w:val="0563C1"/>
            <w:u w:val="single"/>
          </w:rPr>
          <w:t>https://www.gartner.com/en/newsroom/press-releases/2025-06-25-gartner-predicts-over-40-percent-of-agentic-ai-projects-will-be-canceled-by-end-of-2027</w:t>
        </w:r>
      </w:hyperlink>
    </w:p>
    <w:p>
      <w:pPr>
        <w:spacing w:after="20"/>
        <w:ind w:left="173"/>
      </w:pPr>
      <w:r>
        <w:rPr>
          <w:sz w:val="16"/>
        </w:rPr>
        <w:t xml:space="preserve">• CB Insights startup failure reasons: </w:t>
      </w:r>
      <w:hyperlink r:id="rId18">
        <w:r>
          <w:rPr>
            <w:color w:val="0563C1"/>
            <w:u w:val="single"/>
          </w:rPr>
          <w:t>https://www.cbinsights.com/research/report/startup-failure-reasons-top/</w:t>
        </w:r>
      </w:hyperlink>
    </w:p>
    <w:p>
      <w:pPr>
        <w:spacing w:after="20"/>
        <w:ind w:left="173"/>
      </w:pPr>
      <w:r>
        <w:rPr>
          <w:sz w:val="16"/>
        </w:rPr>
        <w:t xml:space="preserve">• Salesforce State of the AI Connected Customer: </w:t>
      </w:r>
      <w:hyperlink r:id="rId19">
        <w:r>
          <w:rPr>
            <w:color w:val="0563C1"/>
            <w:u w:val="single"/>
          </w:rPr>
          <w:t>https://www.salesforce.com/ap/resources/research-reports/state-of-the-connected-customer/</w:t>
        </w:r>
      </w:hyperlink>
    </w:p>
    <w:sectPr w:rsidR="00FC693F" w:rsidRPr="0006063C" w:rsidSect="00034616">
      <w:footerReference w:type="default" r:id="rId20"/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4"/>
      </w:rPr>
      <w:t>Megicode service page website update copy table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redibility.stanford.edu/guidelines/index.html" TargetMode="External"/><Relationship Id="rId10" Type="http://schemas.openxmlformats.org/officeDocument/2006/relationships/hyperlink" Target="https://support.google.com/adsense/answer/7450973?hl=en" TargetMode="External"/><Relationship Id="rId11" Type="http://schemas.openxmlformats.org/officeDocument/2006/relationships/hyperlink" Target="https://www.pwc.de/de/consulting/pwc-consumer-intelligence-series-customer-experience.pdf" TargetMode="External"/><Relationship Id="rId12" Type="http://schemas.openxmlformats.org/officeDocument/2006/relationships/hyperlink" Target="https://www.nngroup.com/articles/conversion-rates/" TargetMode="External"/><Relationship Id="rId13" Type="http://schemas.openxmlformats.org/officeDocument/2006/relationships/hyperlink" Target="https://developers.google.com/search/docs/fundamentals/seo-starter-guide" TargetMode="External"/><Relationship Id="rId14" Type="http://schemas.openxmlformats.org/officeDocument/2006/relationships/hyperlink" Target="https://dora.dev/guides/dora-metrics/" TargetMode="External"/><Relationship Id="rId15" Type="http://schemas.openxmlformats.org/officeDocument/2006/relationships/hyperlink" Target="https://www.mckinsey.com/capabilities/quantumblack/our-insights/the-state-of-ai" TargetMode="External"/><Relationship Id="rId16" Type="http://schemas.openxmlformats.org/officeDocument/2006/relationships/hyperlink" Target="https://mlq.ai/media/quarterly_decks/v0.1_State_of_AI_in_Business_2025_Report.pdf" TargetMode="External"/><Relationship Id="rId17" Type="http://schemas.openxmlformats.org/officeDocument/2006/relationships/hyperlink" Target="https://www.gartner.com/en/newsroom/press-releases/2025-06-25-gartner-predicts-over-40-percent-of-agentic-ai-projects-will-be-canceled-by-end-of-2027" TargetMode="External"/><Relationship Id="rId18" Type="http://schemas.openxmlformats.org/officeDocument/2006/relationships/hyperlink" Target="https://www.cbinsights.com/research/report/startup-failure-reasons-top/" TargetMode="External"/><Relationship Id="rId19" Type="http://schemas.openxmlformats.org/officeDocument/2006/relationships/hyperlink" Target="https://www.salesforce.com/ap/resources/research-reports/state-of-the-connected-customer/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