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TOOLCART</w:t>
      </w:r>
    </w:p>
    <w:p>
      <w:pPr>
        <w:pStyle w:val="Subtitle"/>
      </w:pPr>
      <w:r>
        <w:t>FINAL COLOUR SYSTEM V3  |  12 OCTOBER 2026</w:t>
      </w:r>
    </w:p>
    <w:p>
      <w:r>
        <w:t>Industrial Cobalt + Action Lime — no copper, purple, violet, lavender or teal brand colours.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Cart_V3_Final_Palette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Decision: keep the exact Ink, Cobalt, Action Lime, Workshop White, Cloud Blue and Graphite shades you selected. Make cobalt the primary purchase action; use lime sparingly for memorable brand accents. Warm and cool whites keep real product imagery clean.</w:t>
      </w:r>
    </w:p>
    <w:p>
      <w:r>
        <w:t>Important: this is a well-specified design recommendation, not a study proving all UK customers prefer these colours or that they increase sales.</w:t>
      </w:r>
    </w:p>
    <w:p>
      <w:r>
        <w:br w:type="page"/>
      </w:r>
    </w:p>
    <w:p>
      <w:pPr>
        <w:pStyle w:val="Heading1"/>
      </w:pPr>
      <w:r>
        <w:t>01 / Final palette hierarchy</w:t>
      </w:r>
    </w:p>
    <w:p>
      <w:r>
        <w:t>Primary retail identity: Ink + Cobalt. Signature highlight: Lime. Information and product surfaces: Workshop White, Pure White and Cloud Blue. The supporting shades are defined below rather than added as competing brand identities.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AF0FF"/>
          </w:tcPr>
          <w:p>
            <w:r>
              <w:t>Role</w:t>
            </w:r>
          </w:p>
        </w:tc>
        <w:tc>
          <w:tcPr>
            <w:tcW w:type="dxa" w:w="2498"/>
            <w:shd w:fill="EAF0FF"/>
          </w:tcPr>
          <w:p>
            <w:r>
              <w:t>Name</w:t>
            </w:r>
          </w:p>
        </w:tc>
        <w:tc>
          <w:tcPr>
            <w:tcW w:type="dxa" w:w="2498"/>
            <w:shd w:fill="EAF0FF"/>
          </w:tcPr>
          <w:p>
            <w:r>
              <w:t>HEX</w:t>
            </w:r>
          </w:p>
        </w:tc>
        <w:tc>
          <w:tcPr>
            <w:tcW w:type="dxa" w:w="2498"/>
            <w:shd w:fill="EAF0FF"/>
          </w:tcPr>
          <w:p>
            <w:r>
              <w:t>Use</w:t>
            </w:r>
          </w:p>
        </w:tc>
      </w:tr>
      <w:tr>
        <w:tc>
          <w:tcPr>
            <w:tcW w:type="dxa" w:w="2498"/>
          </w:tcPr>
          <w:p>
            <w:r>
              <w:t>Brand foundation</w:t>
            </w:r>
          </w:p>
        </w:tc>
        <w:tc>
          <w:tcPr>
            <w:tcW w:type="dxa" w:w="2498"/>
          </w:tcPr>
          <w:p>
            <w:r>
              <w:t>Ink</w:t>
            </w:r>
          </w:p>
        </w:tc>
        <w:tc>
          <w:tcPr>
            <w:tcW w:type="dxa" w:w="2498"/>
            <w:shd w:fill="182336"/>
          </w:tcPr>
          <w:p>
            <w:r>
              <w:rPr>
                <w:color w:val="FFFFFF"/>
              </w:rPr>
              <w:t>#182336</w:t>
            </w:r>
          </w:p>
        </w:tc>
        <w:tc>
          <w:tcPr>
            <w:tcW w:type="dxa" w:w="2498"/>
          </w:tcPr>
          <w:p>
            <w:r>
              <w:t>header, footer, wordmark, text on lime</w:t>
            </w:r>
          </w:p>
        </w:tc>
      </w:tr>
      <w:tr>
        <w:tc>
          <w:tcPr>
            <w:tcW w:type="dxa" w:w="2498"/>
          </w:tcPr>
          <w:p>
            <w:r>
              <w:t>Buying action</w:t>
            </w:r>
          </w:p>
        </w:tc>
        <w:tc>
          <w:tcPr>
            <w:tcW w:type="dxa" w:w="2498"/>
          </w:tcPr>
          <w:p>
            <w:r>
              <w:t>Cobalt</w:t>
            </w:r>
          </w:p>
        </w:tc>
        <w:tc>
          <w:tcPr>
            <w:tcW w:type="dxa" w:w="2498"/>
            <w:shd w:fill="2450B8"/>
          </w:tcPr>
          <w:p>
            <w:r>
              <w:rPr>
                <w:color w:val="FFFFFF"/>
              </w:rPr>
              <w:t>#2450B8</w:t>
            </w:r>
          </w:p>
        </w:tc>
        <w:tc>
          <w:tcPr>
            <w:tcW w:type="dxa" w:w="2498"/>
          </w:tcPr>
          <w:p>
            <w:r>
              <w:t>primary CTAs, interactive links, focus</w:t>
            </w:r>
          </w:p>
        </w:tc>
      </w:tr>
      <w:tr>
        <w:tc>
          <w:tcPr>
            <w:tcW w:type="dxa" w:w="2498"/>
          </w:tcPr>
          <w:p>
            <w:r>
              <w:t>Signature accent</w:t>
            </w:r>
          </w:p>
        </w:tc>
        <w:tc>
          <w:tcPr>
            <w:tcW w:type="dxa" w:w="2498"/>
          </w:tcPr>
          <w:p>
            <w:r>
              <w:t>Action Lime</w:t>
            </w:r>
          </w:p>
        </w:tc>
        <w:tc>
          <w:tcPr>
            <w:tcW w:type="dxa" w:w="2498"/>
            <w:shd w:fill="DDF16A"/>
          </w:tcPr>
          <w:p>
            <w:r>
              <w:t>#DDF16A</w:t>
            </w:r>
          </w:p>
        </w:tc>
        <w:tc>
          <w:tcPr>
            <w:tcW w:type="dxa" w:w="2498"/>
          </w:tcPr>
          <w:p>
            <w:r>
              <w:t>limited badges, selected actions, packaging detail</w:t>
            </w:r>
          </w:p>
        </w:tc>
      </w:tr>
      <w:tr>
        <w:tc>
          <w:tcPr>
            <w:tcW w:type="dxa" w:w="2498"/>
          </w:tcPr>
          <w:p>
            <w:r>
              <w:t>Canvas</w:t>
            </w:r>
          </w:p>
        </w:tc>
        <w:tc>
          <w:tcPr>
            <w:tcW w:type="dxa" w:w="2498"/>
          </w:tcPr>
          <w:p>
            <w:r>
              <w:t>Workshop White</w:t>
            </w:r>
          </w:p>
        </w:tc>
        <w:tc>
          <w:tcPr>
            <w:tcW w:type="dxa" w:w="2498"/>
            <w:shd w:fill="F7F8F5"/>
          </w:tcPr>
          <w:p>
            <w:r>
              <w:t>#F7F8F5</w:t>
            </w:r>
          </w:p>
        </w:tc>
        <w:tc>
          <w:tcPr>
            <w:tcW w:type="dxa" w:w="2498"/>
          </w:tcPr>
          <w:p>
            <w:r>
              <w:t>page background</w:t>
            </w:r>
          </w:p>
        </w:tc>
      </w:tr>
      <w:tr>
        <w:tc>
          <w:tcPr>
            <w:tcW w:type="dxa" w:w="2498"/>
          </w:tcPr>
          <w:p>
            <w:r>
              <w:t>Cards</w:t>
            </w:r>
          </w:p>
        </w:tc>
        <w:tc>
          <w:tcPr>
            <w:tcW w:type="dxa" w:w="2498"/>
          </w:tcPr>
          <w:p>
            <w:r>
              <w:t>Pure White</w:t>
            </w:r>
          </w:p>
        </w:tc>
        <w:tc>
          <w:tcPr>
            <w:tcW w:type="dxa" w:w="2498"/>
            <w:shd w:fill="FFFFFF"/>
          </w:tcPr>
          <w:p>
            <w:r>
              <w:t>#FFFFFF</w:t>
            </w:r>
          </w:p>
        </w:tc>
        <w:tc>
          <w:tcPr>
            <w:tcW w:type="dxa" w:w="2498"/>
          </w:tcPr>
          <w:p>
            <w:r>
              <w:t>product tiles, checkout, forms</w:t>
            </w:r>
          </w:p>
        </w:tc>
      </w:tr>
      <w:tr>
        <w:tc>
          <w:tcPr>
            <w:tcW w:type="dxa" w:w="2498"/>
          </w:tcPr>
          <w:p>
            <w:r>
              <w:t>AI &amp; education</w:t>
            </w:r>
          </w:p>
        </w:tc>
        <w:tc>
          <w:tcPr>
            <w:tcW w:type="dxa" w:w="2498"/>
          </w:tcPr>
          <w:p>
            <w:r>
              <w:t>Cloud Blue</w:t>
            </w:r>
          </w:p>
        </w:tc>
        <w:tc>
          <w:tcPr>
            <w:tcW w:type="dxa" w:w="2498"/>
            <w:shd w:fill="EAF0FF"/>
          </w:tcPr>
          <w:p>
            <w:r>
              <w:t>#EAF0FF</w:t>
            </w:r>
          </w:p>
        </w:tc>
        <w:tc>
          <w:tcPr>
            <w:tcW w:type="dxa" w:w="2498"/>
          </w:tcPr>
          <w:p>
            <w:r>
              <w:t>Ask ToolCart surfaces and info panels</w:t>
            </w:r>
          </w:p>
        </w:tc>
      </w:tr>
      <w:tr>
        <w:tc>
          <w:tcPr>
            <w:tcW w:type="dxa" w:w="2498"/>
          </w:tcPr>
          <w:p>
            <w:r>
              <w:t>Primary content</w:t>
            </w:r>
          </w:p>
        </w:tc>
        <w:tc>
          <w:tcPr>
            <w:tcW w:type="dxa" w:w="2498"/>
          </w:tcPr>
          <w:p>
            <w:r>
              <w:t>Graphite</w:t>
            </w:r>
          </w:p>
        </w:tc>
        <w:tc>
          <w:tcPr>
            <w:tcW w:type="dxa" w:w="2498"/>
            <w:shd w:fill="252D30"/>
          </w:tcPr>
          <w:p>
            <w:r>
              <w:rPr>
                <w:color w:val="FFFFFF"/>
              </w:rPr>
              <w:t>#252D30</w:t>
            </w:r>
          </w:p>
        </w:tc>
        <w:tc>
          <w:tcPr>
            <w:tcW w:type="dxa" w:w="2498"/>
          </w:tcPr>
          <w:p>
            <w:r>
              <w:t>body copy, product descriptions</w:t>
            </w:r>
          </w:p>
        </w:tc>
      </w:tr>
      <w:tr>
        <w:tc>
          <w:tcPr>
            <w:tcW w:type="dxa" w:w="2498"/>
          </w:tcPr>
          <w:p>
            <w:r>
              <w:t>Muted on white</w:t>
            </w:r>
          </w:p>
        </w:tc>
        <w:tc>
          <w:tcPr>
            <w:tcW w:type="dxa" w:w="2498"/>
          </w:tcPr>
          <w:p>
            <w:r>
              <w:t>Steel Grey</w:t>
            </w:r>
          </w:p>
        </w:tc>
        <w:tc>
          <w:tcPr>
            <w:tcW w:type="dxa" w:w="2498"/>
            <w:shd w:fill="66767A"/>
          </w:tcPr>
          <w:p>
            <w:r>
              <w:rPr>
                <w:color w:val="FFFFFF"/>
              </w:rPr>
              <w:t>#66767A</w:t>
            </w:r>
          </w:p>
        </w:tc>
        <w:tc>
          <w:tcPr>
            <w:tcW w:type="dxa" w:w="2498"/>
          </w:tcPr>
          <w:p>
            <w:r>
              <w:t>secondary text ON pure white only</w:t>
            </w:r>
          </w:p>
        </w:tc>
      </w:tr>
      <w:tr>
        <w:tc>
          <w:tcPr>
            <w:tcW w:type="dxa" w:w="2498"/>
          </w:tcPr>
          <w:p>
            <w:r>
              <w:t>Muted everywhere</w:t>
            </w:r>
          </w:p>
        </w:tc>
        <w:tc>
          <w:tcPr>
            <w:tcW w:type="dxa" w:w="2498"/>
          </w:tcPr>
          <w:p>
            <w:r>
              <w:t>Accessible Steel</w:t>
            </w:r>
          </w:p>
        </w:tc>
        <w:tc>
          <w:tcPr>
            <w:tcW w:type="dxa" w:w="2498"/>
            <w:shd w:fill="596B70"/>
          </w:tcPr>
          <w:p>
            <w:r>
              <w:rPr>
                <w:color w:val="FFFFFF"/>
              </w:rPr>
              <w:t>#596B70</w:t>
            </w:r>
          </w:p>
        </w:tc>
        <w:tc>
          <w:tcPr>
            <w:tcW w:type="dxa" w:w="2498"/>
          </w:tcPr>
          <w:p>
            <w:r>
              <w:t>secondary text on off-white/pale blue</w:t>
            </w:r>
          </w:p>
        </w:tc>
      </w:tr>
    </w:tbl>
    <w:p>
      <w:r>
        <w:t>Additional: Chalk #F7F5F1 (optional alternative neutral); Cool Blue #D7EFFF (verified trend-inspired illustration shade); Warning Amber #B45309 (functional warnings only).</w:t>
      </w:r>
    </w:p>
    <w:p>
      <w:pPr>
        <w:pStyle w:val="Heading2"/>
      </w:pPr>
      <w:r>
        <w:t>Visual distribution (design guidance, not a measured ratio)</w:t>
      </w:r>
    </w:p>
    <w:p>
      <w:r>
        <w:t>65–75% white/off-white product canvas; 15–25% Ink/Graphite navigation, copy and framing; 5–10% Cobalt actions and links; no more than 2–4% Action Lime accents. Adjust per page type and accessibility.</w:t>
      </w:r>
    </w:p>
    <w:p>
      <w:r>
        <w:br w:type="page"/>
      </w:r>
    </w:p>
    <w:p>
      <w:pPr>
        <w:pStyle w:val="Heading1"/>
      </w:pPr>
      <w:r>
        <w:t>02 / Safe use and actual contrast verification</w:t>
      </w:r>
    </w:p>
    <w:p>
      <w:r>
        <w:t>WCAG 2.2 AA expects at least 4.5:1 contrast for regular text and 3:1 for large text; essential non-text control boundaries generally need 3:1. The numbers below are mathematically computed from the exact sRGB HEX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AF0FF"/>
          </w:tcPr>
          <w:p>
            <w:r>
              <w:t>Combination</w:t>
            </w:r>
          </w:p>
        </w:tc>
        <w:tc>
          <w:tcPr>
            <w:tcW w:type="dxa" w:w="3331"/>
            <w:shd w:fill="EAF0FF"/>
          </w:tcPr>
          <w:p>
            <w:r>
              <w:t>Contrast</w:t>
            </w:r>
          </w:p>
        </w:tc>
        <w:tc>
          <w:tcPr>
            <w:tcW w:type="dxa" w:w="3331"/>
            <w:shd w:fill="EAF0FF"/>
          </w:tcPr>
          <w:p>
            <w:r>
              <w:t>Verdict</w:t>
            </w:r>
          </w:p>
        </w:tc>
      </w:tr>
      <w:tr>
        <w:tc>
          <w:tcPr>
            <w:tcW w:type="dxa" w:w="3331"/>
          </w:tcPr>
          <w:p>
            <w:r>
              <w:t>Primary CTA</w:t>
            </w:r>
          </w:p>
        </w:tc>
        <w:tc>
          <w:tcPr>
            <w:tcW w:type="dxa" w:w="3331"/>
          </w:tcPr>
          <w:p>
            <w:r>
              <w:t>7.21:1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Lime accent CTA</w:t>
            </w:r>
          </w:p>
        </w:tc>
        <w:tc>
          <w:tcPr>
            <w:tcW w:type="dxa" w:w="3331"/>
          </w:tcPr>
          <w:p>
            <w:r>
              <w:t>12.66:1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Secondary text on pure white</w:t>
            </w:r>
          </w:p>
        </w:tc>
        <w:tc>
          <w:tcPr>
            <w:tcW w:type="dxa" w:w="3331"/>
          </w:tcPr>
          <w:p>
            <w:r>
              <w:t>4.73:1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Secondary text on workshop</w:t>
            </w:r>
          </w:p>
        </w:tc>
        <w:tc>
          <w:tcPr>
            <w:tcW w:type="dxa" w:w="3331"/>
          </w:tcPr>
          <w:p>
            <w:r>
              <w:t>5.24:1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Secondary text on AI panel</w:t>
            </w:r>
          </w:p>
        </w:tc>
        <w:tc>
          <w:tcPr>
            <w:tcW w:type="dxa" w:w="3331"/>
          </w:tcPr>
          <w:p>
            <w:r>
              <w:t>4.89:1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Strong border on cloud</w:t>
            </w:r>
          </w:p>
        </w:tc>
        <w:tc>
          <w:tcPr>
            <w:tcW w:type="dxa" w:w="3331"/>
          </w:tcPr>
          <w:p>
            <w:r>
              <w:t>3.11:1</w:t>
            </w:r>
          </w:p>
        </w:tc>
        <w:tc>
          <w:tcPr>
            <w:tcW w:type="dxa" w:w="3331"/>
          </w:tcPr>
          <w:p>
            <w:r>
              <w:t>PASS</w:t>
            </w:r>
          </w:p>
        </w:tc>
      </w:tr>
      <w:tr>
        <w:tc>
          <w:tcPr>
            <w:tcW w:type="dxa" w:w="3331"/>
          </w:tcPr>
          <w:p>
            <w:r>
              <w:t>Lime alone on white (do not use)</w:t>
            </w:r>
          </w:p>
        </w:tc>
        <w:tc>
          <w:tcPr>
            <w:tcW w:type="dxa" w:w="3331"/>
          </w:tcPr>
          <w:p>
            <w:r>
              <w:t>1.25:1</w:t>
            </w:r>
          </w:p>
        </w:tc>
        <w:tc>
          <w:tcPr>
            <w:tcW w:type="dxa" w:w="3331"/>
          </w:tcPr>
          <w:p>
            <w:r>
              <w:t>DO NOT USE</w:t>
            </w:r>
          </w:p>
        </w:tc>
      </w:tr>
      <w:tr>
        <w:tc>
          <w:tcPr>
            <w:tcW w:type="dxa" w:w="3331"/>
          </w:tcPr>
          <w:p>
            <w:r>
              <w:t>Steel Grey on canvas (do not use)</w:t>
            </w:r>
          </w:p>
        </w:tc>
        <w:tc>
          <w:tcPr>
            <w:tcW w:type="dxa" w:w="3331"/>
          </w:tcPr>
          <w:p>
            <w:r>
              <w:t>4.44:1</w:t>
            </w:r>
          </w:p>
        </w:tc>
        <w:tc>
          <w:tcPr>
            <w:tcW w:type="dxa" w:w="3331"/>
          </w:tcPr>
          <w:p>
            <w:r>
              <w:t>DO NOT USE</w:t>
            </w:r>
          </w:p>
        </w:tc>
      </w:tr>
      <w:tr>
        <w:tc>
          <w:tcPr>
            <w:tcW w:type="dxa" w:w="3331"/>
          </w:tcPr>
          <w:p>
            <w:r>
              <w:t>White on Lime (do not use)</w:t>
            </w:r>
          </w:p>
        </w:tc>
        <w:tc>
          <w:tcPr>
            <w:tcW w:type="dxa" w:w="3331"/>
          </w:tcPr>
          <w:p>
            <w:r>
              <w:t>1.25:1</w:t>
            </w:r>
          </w:p>
        </w:tc>
        <w:tc>
          <w:tcPr>
            <w:tcW w:type="dxa" w:w="3331"/>
          </w:tcPr>
          <w:p>
            <w:r>
              <w:t>DO NOT USE</w:t>
            </w:r>
          </w:p>
        </w:tc>
      </w:tr>
    </w:tbl>
    <w:p>
      <w:r>
        <w:t>Key correction: original Steel Grey #66767A scores 4.73:1 on white but 4.44:1 on Workshop White and 4.15:1 on Cloud Blue. For text on those surfaces, use Accessible Steel #596B70 instead. White text on Action Lime is prohibited; ink text on lime is 12.66:1.</w:t>
      </w:r>
    </w:p>
    <w:p>
      <w:r>
        <w:t>If a lime-coloured control appears on white, surround it with a high-contrast Ink border: a lime fill alone is too visually close to white to define the control boundary.</w:t>
      </w:r>
    </w:p>
    <w:p>
      <w:r>
        <w:br w:type="page"/>
      </w:r>
    </w:p>
    <w:p>
      <w:pPr>
        <w:pStyle w:val="Heading1"/>
      </w:pPr>
      <w:r>
        <w:t>03 / Brand application guide</w:t>
      </w:r>
    </w:p>
    <w:p>
      <w:pPr>
        <w:pStyle w:val="Heading2"/>
      </w:pPr>
      <w:r>
        <w:t>Retail website</w:t>
      </w:r>
    </w:p>
    <w:p>
      <w:r>
        <w:t>Header: Pure White, Ink wordmark and a Cobalt search/primary action. Navigation can use Ink or Cobalt but not competing accent bands. Product-grid background: Workshop White. Product tiles: white with stable layout, clear prices and real supplier-licensed imagery.</w:t>
      </w:r>
    </w:p>
    <w:p>
      <w:pPr>
        <w:pStyle w:val="Heading2"/>
      </w:pPr>
      <w:r>
        <w:t>Hero and marketing banners</w:t>
      </w:r>
    </w:p>
    <w:p>
      <w:r>
        <w:t>Primary hero: Cloud Blue or Workshop White with a strong Ink heading and Cobalt CTA. Action Lime can accent the wordmark, a small 2–4 word micro-label, or a clearly outlined secondary CTA. Never cover the page with lime or create a fluorescent gradient.</w:t>
      </w:r>
    </w:p>
    <w:p>
      <w:pPr>
        <w:pStyle w:val="Heading2"/>
      </w:pPr>
      <w:r>
        <w:t>AI product adviser</w:t>
      </w:r>
    </w:p>
    <w:p>
      <w:r>
        <w:t>“Ask ToolCart” uses the same brand as the storefront: Cloud Blue panel, Ink heading, Cobalt action and text. No separate futuristic purple/cyan branding. Never imply a product is in stock, compatible or safe without verified supplier/manufacturer data.</w:t>
      </w:r>
    </w:p>
    <w:p>
      <w:pPr>
        <w:pStyle w:val="Heading2"/>
      </w:pPr>
      <w:r>
        <w:t>Checkout</w:t>
      </w:r>
    </w:p>
    <w:p>
      <w:r>
        <w:t>Keep pure white surfaces, black/Graphite text, cobalt primary payment action, and colour-independent field errors. Functional red/green/amber colours are status signals, not marketing colours.</w:t>
      </w:r>
    </w:p>
    <w:p>
      <w:pPr>
        <w:pStyle w:val="Heading2"/>
      </w:pPr>
      <w:r>
        <w:t>Physical use</w:t>
      </w:r>
    </w:p>
    <w:p>
      <w:r>
        <w:t>Logo must work as Ink-on-white and White-on-Ink first. For packaging, consider single-colour Ink with limited Cobalt/Lime label details; test litho/digital print and Pantone matching before production. HEX values are digital only, not a substitute for press proofs.</w:t>
      </w:r>
    </w:p>
    <w:p>
      <w:r>
        <w:br w:type="page"/>
      </w:r>
    </w:p>
    <w:p>
      <w:pPr>
        <w:pStyle w:val="Heading1"/>
      </w:pPr>
      <w:r>
        <w:t>04 / Emerging shades — controlled extensions only</w:t>
      </w:r>
    </w:p>
    <w:p>
      <w:r>
        <w:t>Trend evidence: Pinterest’s official 2026 palette includes Cool Blue #D7EFFF and Wasabi #E9F056, based on Pinterest search and save signals. These document trend momentum; they are not evidence that ToolCart customers prefer those colours.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EAF0FF"/>
          </w:tcPr>
          <w:p>
            <w:r>
              <w:t>Cloud Blue</w:t>
              <w:br/>
              <w:t>#EAF0FF</w:t>
            </w:r>
          </w:p>
        </w:tc>
        <w:tc>
          <w:tcPr>
            <w:tcW w:type="dxa" w:w="4997"/>
          </w:tcPr>
          <w:p>
            <w:r>
              <w:t>Base AI and information background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D7EFFF"/>
          </w:tcPr>
          <w:p>
            <w:r>
              <w:t>Cool Blue</w:t>
              <w:br/>
              <w:t>#D7EFFF</w:t>
            </w:r>
          </w:p>
        </w:tc>
        <w:tc>
          <w:tcPr>
            <w:tcW w:type="dxa" w:w="4997"/>
          </w:tcPr>
          <w:p>
            <w:r>
              <w:t>Optional guide or social campaign illustration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DDF16A"/>
          </w:tcPr>
          <w:p>
            <w:r>
              <w:t>Action Lime</w:t>
              <w:br/>
              <w:t>#DDF16A</w:t>
            </w:r>
          </w:p>
        </w:tc>
        <w:tc>
          <w:tcPr>
            <w:tcW w:type="dxa" w:w="4997"/>
          </w:tcPr>
          <w:p>
            <w:r>
              <w:t>Core, founder-approved small brand accent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CFDE53"/>
          </w:tcPr>
          <w:p>
            <w:r>
              <w:t>Lime Hover</w:t>
              <w:br/>
              <w:t>#CFDE53</w:t>
            </w:r>
          </w:p>
        </w:tc>
        <w:tc>
          <w:tcPr>
            <w:tcW w:type="dxa" w:w="4997"/>
          </w:tcPr>
          <w:p>
            <w:r>
              <w:t>Hovered outlined accent button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193F99"/>
          </w:tcPr>
          <w:p>
            <w:r>
              <w:rPr>
                <w:color w:val="FFFFFF"/>
              </w:rPr>
              <w:t>Cobalt Hover</w:t>
              <w:br/>
              <w:t>#193F99</w:t>
            </w:r>
          </w:p>
        </w:tc>
        <w:tc>
          <w:tcPr>
            <w:tcW w:type="dxa" w:w="4997"/>
          </w:tcPr>
          <w:p>
            <w:r>
              <w:t>Hovered primary button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4997"/>
            <w:shd w:fill="F7F5F1"/>
          </w:tcPr>
          <w:p>
            <w:r>
              <w:t>Chalk</w:t>
              <w:br/>
              <w:t>#F7F5F1</w:t>
            </w:r>
          </w:p>
        </w:tc>
        <w:tc>
          <w:tcPr>
            <w:tcW w:type="dxa" w:w="4997"/>
          </w:tcPr>
          <w:p>
            <w:r>
              <w:t>Optional warm background on editorial pages</w:t>
            </w:r>
          </w:p>
        </w:tc>
      </w:tr>
    </w:tbl>
    <w:p/>
    <w:p>
      <w:pPr>
        <w:pStyle w:val="Heading2"/>
      </w:pPr>
      <w:r>
        <w:t>What we are not adding</w:t>
      </w:r>
    </w:p>
    <w:p>
      <w:r>
        <w:t>No Copper #B84C32; no purple/violet/lavender; no teal as an independent brand colour; no overused AI glow/neon gradient. Status colours are exceptions only when conveying meaning (warning, error, success).</w:t>
      </w:r>
    </w:p>
    <w:p>
      <w:r>
        <w:br w:type="page"/>
      </w:r>
    </w:p>
    <w:p>
      <w:pPr>
        <w:pStyle w:val="Heading1"/>
      </w:pPr>
      <w:r>
        <w:t>05 / Production design tokens &amp; acceptance criteria</w:t>
      </w:r>
    </w:p>
    <w:p>
      <w:r>
        <w:t>Source of truth: design/tokens.json and design/tokens.css in the developer package. Do not hardcode retired colours anywhere in the UI or marketing templates. Use semantic token names such as --tc-primary, --tc-action-lime, --tc-canvas and --tc-text-secondary.</w:t>
      </w:r>
    </w:p>
    <w:p>
      <w:r>
        <w:t>Typography retained from prior approved direction: Manrope headings, IBM Plex Sans body/UI. Base normal text 16 px; responsive typography with accessible line-height and clear prices/measurements.</w:t>
      </w:r>
    </w:p>
    <w:p>
      <w:pPr>
        <w:pStyle w:val="Heading2"/>
      </w:pPr>
      <w:r>
        <w:t>Acceptance checklist</w:t>
      </w:r>
    </w:p>
    <w:p>
      <w:r>
        <w:t>☐ Exact founder-approved HEX values preserved; brand accents use only Ink/Cobalt/Lime.</w:t>
      </w:r>
    </w:p>
    <w:p>
      <w:r>
        <w:t>☐ Every regular text/background pair passes WCAG AA 4.5:1; focus/input states remain visibly distinct.</w:t>
      </w:r>
    </w:p>
    <w:p>
      <w:r>
        <w:t>☐ No white text on lime; steel grey darkened when used on Workshop White or Cloud Blue.</w:t>
      </w:r>
    </w:p>
    <w:p>
      <w:r>
        <w:t>☐ Mobile 360px and desktop 1440px screens have no overflow; navigation, search and checkout remain legible.</w:t>
      </w:r>
    </w:p>
    <w:p>
      <w:r>
        <w:t>☐ Product photo colours are not altered with blue/lime filters; product identity/packing is accurate.</w:t>
      </w:r>
    </w:p>
    <w:p>
      <w:r>
        <w:t>☐ All legal/business, supplier and stock claims remain unverified until founder sign-off.</w:t>
      </w:r>
    </w:p>
    <w:p>
      <w:r>
        <w:t>☐ Compare two identical real-product layouts and test with UK DIY and trade participants before final investment.</w:t>
      </w:r>
    </w:p>
    <w:p>
      <w:pPr>
        <w:pStyle w:val="Heading2"/>
      </w:pPr>
      <w:r>
        <w:t>Reference and evidence</w:t>
      </w:r>
    </w:p>
    <w:p>
      <w:r>
        <w:t>W3C WCAG 2.2: https://www.w3.org/TR/wcag/</w:t>
      </w:r>
    </w:p>
    <w:p>
      <w:r>
        <w:t>W3C non-text contrast: https://www.w3.org/WAI/WCAG22/Understanding/non-text-contrast.html</w:t>
      </w:r>
    </w:p>
    <w:p>
      <w:r>
        <w:t>Pinterest 2026 palette: https://business.pinterest.com/en-gb/pinterest-palette/</w:t>
      </w:r>
    </w:p>
    <w:p>
      <w:r>
        <w:t>Baymard buttons: https://baymard.com/blog/button-design</w:t>
      </w:r>
    </w:p>
    <w:p>
      <w:r>
        <w:t>Method note: contrasts calculated from linearised sRGB; design quality requires actual-browser/accessibility testing. Industry/trend research informs the shortlist but does not establish a universal colour preference.</w:t>
      </w:r>
    </w:p>
    <w:sectPr w:rsidR="00FC693F" w:rsidRPr="0006063C" w:rsidSect="00034616">
      <w:footerReference w:type="default" r:id="rId9"/>
      <w:pgSz w:w="12240" w:h="15840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TOOLCART · BRAND SYSTEM V3 · DRAFT NAME / DESIGN APPROVAL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2D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3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23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