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0"/>
        <w:spacing w:before="200" w:line="240" w:lineRule="auto"/>
        <w:jc w:val="center"/>
        <w:rPr>
          <w:rFonts w:ascii="Liberation Serif" w:cs="Liberation Serif" w:eastAsia="Liberation Serif" w:hAnsi="Liberation Serif"/>
          <w:b w:val="1"/>
          <w:sz w:val="36"/>
          <w:szCs w:val="36"/>
        </w:rPr>
      </w:pPr>
      <w:bookmarkStart w:colFirst="0" w:colLast="0" w:name="_ct8f5spqo3rx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Design Document: S.M.A.R.T.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S.M.A.R.T.</w:t>
      </w:r>
      <w:r w:rsidDel="00000000" w:rsidR="00000000" w:rsidRPr="00000000">
        <w:rPr>
          <w:rtl w:val="0"/>
        </w:rPr>
        <w:t xml:space="preserve"> — Secure ‘doc’ Management And Retrieval Technology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18xxhf4za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Authors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Gurpreet K Hundal 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gurpreet@sklose.com</w:t>
        </w:r>
      </w:hyperlink>
      <w:r w:rsidDel="00000000" w:rsidR="00000000" w:rsidRPr="00000000">
        <w:rPr>
          <w:rtl w:val="0"/>
        </w:rPr>
        <w:t xml:space="preserve"> | Tiffany Valdecantos 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tiv001@g.harvard.edu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Hellen Momoh ·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hem299@g.harvard.edu</w:t>
        </w:r>
      </w:hyperlink>
      <w:r w:rsidDel="00000000" w:rsidR="00000000" w:rsidRPr="00000000">
        <w:rPr>
          <w:rtl w:val="0"/>
        </w:rPr>
        <w:t xml:space="preserve"> | Spiro Habasch · sph083@g.harvard.edu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5n9vaw37a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Background and Motivation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Organizations increasingly rely on internal digital repositories—notes, policies, records—but conventional keyword-based search fails to deliver contextual understanding. SMART addresses this gap by providing an intelligent, secure, and attribution-aware retrieval system powered by LLMs and hybrid search while prioritizing data privacy and access control.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jm47dfnp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Scope and Objectives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SMART will deliver: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566.9291338582675" w:hanging="360"/>
      </w:pPr>
      <w:r w:rsidDel="00000000" w:rsidR="00000000" w:rsidRPr="00000000">
        <w:rPr>
          <w:b w:val="1"/>
          <w:rtl w:val="0"/>
        </w:rPr>
        <w:t xml:space="preserve">Secure Document Storage</w:t>
      </w:r>
      <w:r w:rsidDel="00000000" w:rsidR="00000000" w:rsidRPr="00000000">
        <w:rPr>
          <w:rtl w:val="0"/>
        </w:rPr>
        <w:t xml:space="preserve">: Centralized, permissioned content repository (class notes, quizzes).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566.9291338582675" w:hanging="360"/>
      </w:pPr>
      <w:r w:rsidDel="00000000" w:rsidR="00000000" w:rsidRPr="00000000">
        <w:rPr>
          <w:b w:val="1"/>
          <w:rtl w:val="0"/>
        </w:rPr>
        <w:t xml:space="preserve">Semantic Search &amp; Ranking</w:t>
      </w:r>
      <w:r w:rsidDel="00000000" w:rsidR="00000000" w:rsidRPr="00000000">
        <w:rPr>
          <w:rtl w:val="0"/>
        </w:rPr>
        <w:t xml:space="preserve">: Vector embeddings via LLM with vector and BM25 hybrid search.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Guardrails</w:t>
      </w:r>
      <w:r w:rsidDel="00000000" w:rsidR="00000000" w:rsidRPr="00000000">
        <w:rPr>
          <w:rtl w:val="0"/>
        </w:rPr>
        <w:t xml:space="preserve">: LLM powdered guardrails to avoid jailbreaking and inappropriate content.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566.9291338582675" w:hanging="360"/>
      </w:pPr>
      <w:r w:rsidDel="00000000" w:rsidR="00000000" w:rsidRPr="00000000">
        <w:rPr>
          <w:b w:val="1"/>
          <w:rtl w:val="0"/>
        </w:rPr>
        <w:t xml:space="preserve">LLM-Powered Summarization</w:t>
      </w:r>
      <w:r w:rsidDel="00000000" w:rsidR="00000000" w:rsidRPr="00000000">
        <w:rPr>
          <w:rtl w:val="0"/>
        </w:rPr>
        <w:t xml:space="preserve">: Relevant results reranked and structured via LLMs, supporting multilingual text.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566.9291338582675" w:hanging="360"/>
      </w:pPr>
      <w:r w:rsidDel="00000000" w:rsidR="00000000" w:rsidRPr="00000000">
        <w:rPr>
          <w:b w:val="1"/>
          <w:rtl w:val="0"/>
        </w:rPr>
        <w:t xml:space="preserve">Frontend UI</w:t>
      </w:r>
      <w:r w:rsidDel="00000000" w:rsidR="00000000" w:rsidRPr="00000000">
        <w:rPr>
          <w:rtl w:val="0"/>
        </w:rPr>
        <w:t xml:space="preserve">: Chatbot interface, authenticated via Google OAuth.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566.9291338582675" w:hanging="360"/>
      </w:pPr>
      <w:r w:rsidDel="00000000" w:rsidR="00000000" w:rsidRPr="00000000">
        <w:rPr>
          <w:b w:val="1"/>
          <w:rtl w:val="0"/>
        </w:rPr>
        <w:t xml:space="preserve">Security + Audit Trail</w:t>
      </w:r>
      <w:r w:rsidDel="00000000" w:rsidR="00000000" w:rsidRPr="00000000">
        <w:rPr>
          <w:rtl w:val="0"/>
        </w:rPr>
        <w:t xml:space="preserve">: Logs at every access and retrieval point.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as08rczun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TechStack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905"/>
        <w:gridCol w:w="1860"/>
        <w:gridCol w:w="6225"/>
        <w:tblGridChange w:id="0">
          <w:tblGrid>
            <w:gridCol w:w="600"/>
            <w:gridCol w:w="1905"/>
            <w:gridCol w:w="1860"/>
            <w:gridCol w:w="6225"/>
          </w:tblGrid>
        </w:tblGridChange>
      </w:tblGrid>
      <w:tr>
        <w:trPr>
          <w:cantSplit w:val="0"/>
          <w:tblHeader w:val="1"/>
        </w:trPr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</w:p>
        </w:tc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TECHNOLOGY</w:t>
            </w:r>
          </w:p>
        </w:tc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React.js, Next.js, 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a responsive, modular user interface. All rendering is client-side to reduce backend exposure. No sensitive logic is handled on the frontend.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OAuth2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Enterprise-grade identity verification. Ensures secure token-based access control with minimal attack surface. Delegates auth to trusted third party (Google), no passwords stored locally.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High-performance async Python backend. Chosen for its compatibility with local models, secure routing, and full control over all I/O. Avoids opaque cloud platforms or closed-source runtimes.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 +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pgvector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pgroonga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hybrid semantic and keyword search without relying on external vector DBs (e.g., Pinecone, ChromaDB). Local storage with full auditability and encryption support.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Cloud Storage (GCS)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only for secure document storage. Access is abstracted via signed links, preventing direct user access. Ensures scalability while maintaining fine-grained control.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Embedding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all-MiniLM-L6-v2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all-mpnet-base-v2</w:t>
            </w:r>
            <w:r w:rsidDel="00000000" w:rsidR="00000000" w:rsidRPr="00000000">
              <w:rPr>
                <w:rtl w:val="0"/>
              </w:rPr>
              <w:t xml:space="preserve"> (Hugging Face, 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Lightweight and performant transformer models for encoding queries and documents into vector space. Hosted entirely locally, removing external API risks.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Reranker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llama3:8b</w:t>
            </w:r>
            <w:r w:rsidDel="00000000" w:rsidR="00000000" w:rsidRPr="00000000">
              <w:rPr>
                <w:rtl w:val="0"/>
              </w:rPr>
              <w:t xml:space="preserve"> via Ollama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Performs deep cross-encoder ranking. Hosted locally to ensure model weights and queries never leave the environment. Provides much better relevance over cosine alone.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LLM 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Gemma3:12b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llama3:8b </w:t>
            </w:r>
            <w:r w:rsidDel="00000000" w:rsidR="00000000" w:rsidRPr="00000000">
              <w:rPr>
                <w:rtl w:val="0"/>
              </w:rPr>
              <w:t xml:space="preserve">via Ollama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Generates answers using rag. Chosen for open-weight licensing and strong reasoning under limited compute. Hosted securely offline.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Safety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llama-guard3:8b</w:t>
            </w:r>
            <w:r w:rsidDel="00000000" w:rsidR="00000000" w:rsidRPr="00000000">
              <w:rPr>
                <w:rtl w:val="0"/>
              </w:rPr>
              <w:t xml:space="preserve"> via Ollama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Applies content safety and compliance filtering before LLM responses are returned. Local deployment ensures no user data leaves the system for moderation.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langdetect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polyglot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Implements majority-vote detection with fallback to robust heuristics. No calls to Google Translate or any online classifier, fully offline detection logic.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deep-translator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only for multilingual fallback to English if needed. Translation happens locally unless explicitly extended; fails silently for secure environments.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ydp1c9d7q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SMART Schema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50"/>
        <w:gridCol w:w="7305"/>
        <w:tblGridChange w:id="0">
          <w:tblGrid>
            <w:gridCol w:w="705"/>
            <w:gridCol w:w="1650"/>
            <w:gridCol w:w="7305"/>
          </w:tblGrid>
        </w:tblGridChange>
      </w:tblGrid>
      <w:tr>
        <w:trPr>
          <w:cantSplit w:val="0"/>
          <w:tblHeader w:val="1"/>
        </w:trPr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TABLE</w:t>
            </w:r>
          </w:p>
        </w:tc>
        <w:tc>
          <w:tcPr>
            <w:shd w:fill="8520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metadata about each class (e.g., course title, authors, term)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document access control per user and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documents linked to a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individual document chunks + vector embeddings for retrieval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user queries, associated embeddings, retrieved chunks, and LLM outputs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 OAuth token data for session validation and renewal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per-user chat sessions, conversation history, and timestamps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y0xs6poih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5. SMART Artifacts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Below are the artifacts of SMART deployed via docker compose.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5tqpbc8hu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Solution Architecture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onzm5wttl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Technical Architecture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i w:val="1"/>
        <w:rtl w:val="0"/>
      </w:rPr>
      <w:t xml:space="preserve">CSCI 115 Spring 2025 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gurpreet@sklose.com" TargetMode="External"/><Relationship Id="rId7" Type="http://schemas.openxmlformats.org/officeDocument/2006/relationships/hyperlink" Target="mailto:tiv001@g.harvard.edu" TargetMode="External"/><Relationship Id="rId8" Type="http://schemas.openxmlformats.org/officeDocument/2006/relationships/hyperlink" Target="mailto:hem299@g.harvar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