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72"/>
          <w:szCs w:val="72"/>
        </w:rPr>
        <w:t xml:space="preserve">PROYECTO STEM</w:t>
      </w:r>
    </w:p>
    <w:p>
      <w:pPr>
        <w:spacing w:after="0" w:before="80"/>
        <w:jc w:val="center"/>
      </w:pPr>
      <w:r>
        <w:rPr>
          <w:color w:val="2E5496"/>
          <w:sz w:val="30"/>
          <w:szCs w:val="30"/>
        </w:rPr>
        <w:t xml:space="preserve">Modelo Analítico de Operaciones High Tech</w:t>
      </w:r>
    </w:p>
    <w:p>
      <w:pPr>
        <w:spacing w:after="360" w:before="40"/>
        <w:jc w:val="center"/>
      </w:pPr>
      <w:r>
        <w:rPr>
          <w:i/>
          <w:iCs/>
          <w:color w:val="595959"/>
          <w:sz w:val="24"/>
          <w:szCs w:val="24"/>
        </w:rPr>
        <w:t xml:space="preserve">Datawarehouse SQL Gobernado + Capa de Consulta con Inteligencia Artificial</w:t>
      </w:r>
    </w:p>
    <w:p>
      <w:pPr>
        <w:pBdr>
          <w:bottom w:val="single" w:color="2E75B6" w:sz="12" w:space="4"/>
        </w:pBdr>
        <w:spacing w:after="0"/>
        <w:jc w:val="center"/>
      </w:pPr>
      <w:r>
        <w:rPr>
          <w:sz w:val="2"/>
          <w:szCs w:val="2"/>
        </w:rPr>
        <w:t xml:space="preserve"/>
      </w:r>
    </w:p>
    <w:p>
      <w:pPr>
        <w:spacing w:after="0" w:before="360"/>
        <w:jc w:val="center"/>
      </w:pPr>
      <w:r>
        <w:rPr>
          <w:b/>
          <w:bCs/>
          <w:color w:val="1F3864"/>
          <w:sz w:val="28"/>
          <w:szCs w:val="28"/>
        </w:rPr>
        <w:t xml:space="preserve">Plan de Trabajo — Ejecución en 8 Semanas</w:t>
      </w:r>
    </w:p>
    <w:p>
      <w:pPr>
        <w:spacing w:after="0" w:before="60"/>
        <w:jc w:val="center"/>
      </w:pPr>
      <w:r>
        <w:rPr>
          <w:color w:val="595959"/>
          <w:sz w:val="20"/>
          <w:szCs w:val="20"/>
        </w:rPr>
        <w:t xml:space="preserve">Discovery cerrado · Gobernanza primero · Entregables medidos por Definición de Hecho</w:t>
      </w:r>
    </w:p>
    <w:p>
      <w:pPr>
        <w:spacing w:after="0" w:before="1400"/>
        <w:jc w:val="center"/>
      </w:pPr>
      <w:r>
        <w:rPr>
          <w:b/>
          <w:bCs/>
          <w:color w:val="2E5496"/>
          <w:sz w:val="22"/>
          <w:szCs w:val="22"/>
        </w:rPr>
        <w:t xml:space="preserve">Versión 1.0</w:t>
      </w:r>
    </w:p>
    <w:p>
      <w:pPr>
        <w:spacing w:after="0" w:before="40"/>
        <w:jc w:val="center"/>
      </w:pPr>
      <w:r>
        <w:rPr>
          <w:sz w:val="22"/>
          <w:szCs w:val="22"/>
        </w:rPr>
        <w:t xml:space="preserve">Ventana de ejecución: 16 de junio – 7 de agosto de 2026</w:t>
      </w:r>
    </w:p>
    <w:p>
      <w:pPr>
        <w:spacing w:after="0" w:before="40"/>
        <w:jc w:val="center"/>
      </w:pPr>
      <w:r>
        <w:rPr>
          <w:color w:val="595959"/>
          <w:sz w:val="20"/>
          <w:szCs w:val="20"/>
        </w:rPr>
        <w:t xml:space="preserve">Business Intelligence · GHVeggies · Querétaro</w:t>
      </w:r>
    </w:p>
    <w:p>
      <w:r>
        <w:br w:type="page"/>
      </w:r>
    </w:p>
    <w:p>
      <w:pPr>
        <w:sectPr>
          <w:pgSz w:w="12240" w:h="15840" w:orient="portrait"/>
          <w:pgMar w:top="1440" w:right="1440" w:bottom="1440" w:left="1440" w:header="708" w:footer="708" w:gutter="0"/>
          <w:pgNumType/>
          <w:docGrid w:linePitch="360"/>
        </w:sectPr>
      </w:pPr>
    </w:p>
    <w:p>
      <w:pPr>
        <w:spacing w:after="120"/>
      </w:pPr>
      <w:r>
        <w:rPr>
          <w:b/>
          <w:bCs/>
          <w:color w:val="1F3864"/>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Resumen ejecutivo</w:t>
      </w:r>
    </w:p>
    <w:p>
      <w:pPr>
        <w:spacing w:after="120" w:line="276"/>
      </w:pPr>
      <w:r>
        <w:t xml:space="preserve">STEM construye el datawarehouse SQL gobernado de GHVeggies y, sobre él, una capa de consulta en lenguaje natural con IA. Hoy Power BI hace de ETL, datawarehouse y capa semántica al mismo tiempo: refresh de 18:56 minutos, dependencia de archivos manuales, fragilidad ante cualquier capturista y un Golden Dataset único del que cuelgan los tres dashboards principales. STEM separa esas funciones: el ETL vive en Python + SQL, el dato gobernado vive en SQL Server, y Power BI queda como pura capa visual.</w:t>
      </w:r>
    </w:p>
    <w:p>
      <w:pPr>
        <w:spacing w:after="120" w:line="276"/>
      </w:pPr>
      <w:r>
        <w:t xml:space="preserve">El objetivo final del proyecto no es un tablero más: es habilitar por primera vez consultas en lenguaje natural sobre los datos de la empresa. El LLM es el entregable de cierre porque solo es confiable si los datos debajo están gobernados; todo lo anterior es el prerequisito que lo hace posible.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8"/>
              <w:bottom w:val="single" w:color="1F3864" w:sz="1"/>
              <w:right w:val="single" w:color="1F3864" w:sz="1"/>
            </w:tcBorders>
            <w:shd w:fill="FCE4D6" w:val="clear"/>
            <w:tcMar>
              <w:top w:type="dxa" w:w="120"/>
              <w:left w:type="dxa" w:w="200"/>
              <w:bottom w:type="dxa" w:w="120"/>
              <w:right w:type="dxa" w:w="160"/>
            </w:tcMar>
          </w:tcPr>
          <w:p>
            <w:pPr>
              <w:spacing w:after="60"/>
            </w:pPr>
            <w:r>
              <w:rPr>
                <w:b/>
                <w:bCs/>
                <w:color w:val="1F3864"/>
                <w:sz w:val="21"/>
                <w:szCs w:val="21"/>
              </w:rPr>
              <w:t xml:space="preserve">Regla de oro</w:t>
            </w:r>
          </w:p>
          <w:p>
            <w:pPr>
              <w:spacing w:after="60" w:line="264"/>
            </w:pPr>
            <w:r>
              <w:rPr>
                <w:sz w:val="20"/>
                <w:szCs w:val="20"/>
              </w:rPr>
              <w:t xml:space="preserve">Todo lo que se discuta se mide contra el deadline. La ventana de ejecución es de 8 semanas: inicia el 16 de junio y entrega el 7 de agosto de 2026.</w:t>
            </w:r>
          </w:p>
          <w:p>
            <w:pPr>
              <w:spacing w:after="0" w:line="264"/>
            </w:pPr>
            <w:r>
              <w:rPr>
                <w:sz w:val="20"/>
                <w:szCs w:val="20"/>
              </w:rPr>
              <w:t xml:space="preserve">Si una tarea no acerca el DW productivo ni el LLM consultable, es secundaria y se dice explícitamente.</w:t>
            </w:r>
          </w:p>
        </w:tc>
      </w:tr>
    </w:tbl>
    <w:p>
      <w:pPr>
        <w:spacing w:after="120"/>
      </w:pPr>
      <w:r>
        <w:t xml:space="preserve"/>
      </w:r>
    </w:p>
    <w:p>
      <w:pPr>
        <w:spacing w:after="60" w:line="276"/>
      </w:pPr>
      <w:r>
        <w:t xml:space="preserve">Este plan no parte de cero. El Discovery &amp; Governance (Sprint 0) ya está ejecutado: inventario de fuentes, baseline de refresh, topología SQL, restricciones de infraestructura y plantilla canónica de gobernanza. STEM toma ese terreno conocido y lo convierte en ejecución medida por Definición de Hecho (DoD) binaria — un entregable no existe hasta cumplir su DoD.</w:t>
      </w:r>
    </w:p>
    <w:p>
      <w:pPr>
        <w:spacing w:after="120" w:line="276"/>
      </w:pPr>
      <w:r>
        <w:t xml:space="preserve">Respecto al alcance funcional planteado originalmente por OPEX (once módulos operativos y catálogos maestros): el alcance es correcto y se conserva. Lo que cambia es la ejecución — fechas reales, capacidad realista del equipo, restricciones técnicas ya conocidas (RAM topada, AlwaysOn, accesos bloqueados, instancias SQL duales) y DoD por entregable. La IA no se difiere a 2027: se entrega en la Semana 8.</w:t>
      </w:r>
    </w:p>
    <w:p>
      <w:r>
        <w:br w:type="page"/>
      </w:r>
    </w:p>
    <w:p>
      <w:pPr>
        <w:pStyle w:val="Heading1"/>
      </w:pPr>
      <w:r>
        <w:t xml:space="preserve">2. Equipo y roles</w:t>
      </w:r>
    </w:p>
    <w:p>
      <w:pPr>
        <w:spacing w:after="160" w:line="276"/>
      </w:pPr>
      <w:r>
        <w:t xml:space="preserve">Hace un mes Business Intelligence operaba con una sola persona; hoy es un equipo de tres, con presencia en oficinas centrales y en planta. Los roles son los prescritos por la estructura del área y no cambian con este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4F7FB" w:val="clear"/>
            <w:tcMar>
              <w:top w:type="dxa" w:w="140"/>
              <w:left w:type="dxa" w:w="180"/>
              <w:bottom w:type="dxa" w:w="140"/>
              <w:right w:type="dxa" w:w="160"/>
            </w:tcMar>
          </w:tcPr>
          <w:p>
            <w:pPr>
              <w:spacing w:after="20"/>
            </w:pPr>
            <w:r>
              <w:rPr>
                <w:b/>
                <w:bCs/>
                <w:color w:val="1F3864"/>
                <w:sz w:val="24"/>
                <w:szCs w:val="24"/>
              </w:rPr>
              <w:t xml:space="preserve">Armando Gaytán</w:t>
            </w:r>
            <w:r>
              <w:rPr>
                <w:color w:val="2E5496"/>
                <w:sz w:val="22"/>
                <w:szCs w:val="22"/>
              </w:rPr>
              <w:t xml:space="preserve">   ·   Head of Business Intelligence</w:t>
            </w:r>
          </w:p>
          <w:p>
            <w:pPr>
              <w:spacing w:after="80"/>
            </w:pPr>
            <w:r>
              <w:rPr>
                <w:i/>
                <w:iCs/>
                <w:color w:val="595959"/>
                <w:sz w:val="20"/>
                <w:szCs w:val="20"/>
              </w:rPr>
              <w:t xml:space="preserve">Define el rumbo: arquitectura, IA y dirección.</w:t>
            </w:r>
          </w:p>
          <w:p>
            <w:pPr>
              <w:pStyle w:val="ListParagraph"/>
              <w:numPr>
                <w:ilvl w:val="0"/>
                <w:numId w:val="2"/>
              </w:numPr>
              <w:spacing w:after="40" w:line="252"/>
            </w:pPr>
            <w:r>
              <w:rPr>
                <w:sz w:val="20"/>
                <w:szCs w:val="20"/>
              </w:rPr>
              <w:t xml:space="preserve">Arquitectura de datos y diseño del datawarehouse SQL.</w:t>
            </w:r>
          </w:p>
          <w:p>
            <w:pPr>
              <w:pStyle w:val="ListParagraph"/>
              <w:numPr>
                <w:ilvl w:val="0"/>
                <w:numId w:val="2"/>
              </w:numPr>
              <w:spacing w:after="40" w:line="252"/>
            </w:pPr>
            <w:r>
              <w:rPr>
                <w:sz w:val="20"/>
                <w:szCs w:val="20"/>
              </w:rPr>
              <w:t xml:space="preserve">Estrategia de IA y consultas con LLM.</w:t>
            </w:r>
          </w:p>
          <w:p>
            <w:pPr>
              <w:pStyle w:val="ListParagraph"/>
              <w:numPr>
                <w:ilvl w:val="0"/>
                <w:numId w:val="2"/>
              </w:numPr>
              <w:spacing w:after="40" w:line="252"/>
            </w:pPr>
            <w:r>
              <w:rPr>
                <w:sz w:val="20"/>
                <w:szCs w:val="20"/>
              </w:rPr>
              <w:t xml:space="preserve">Gobernanza de datos, accesos y estándares de calidad.</w:t>
            </w:r>
          </w:p>
          <w:p>
            <w:pPr>
              <w:pStyle w:val="ListParagraph"/>
              <w:numPr>
                <w:ilvl w:val="0"/>
                <w:numId w:val="2"/>
              </w:numPr>
              <w:spacing w:after="40" w:line="252"/>
            </w:pPr>
            <w:r>
              <w:rPr>
                <w:sz w:val="20"/>
                <w:szCs w:val="20"/>
              </w:rPr>
              <w:t xml:space="preserve">Relación con dirección y priorización del portafolio del área.</w:t>
            </w:r>
          </w:p>
          <w:p>
            <w:pPr>
              <w:pStyle w:val="ListParagraph"/>
              <w:numPr>
                <w:ilvl w:val="0"/>
                <w:numId w:val="2"/>
              </w:numPr>
              <w:spacing w:after="0" w:line="252"/>
            </w:pPr>
            <w:r>
              <w:rPr>
                <w:sz w:val="20"/>
                <w:szCs w:val="20"/>
              </w:rPr>
              <w:t xml:space="preserve">Decisiones irreversibles, DDL de producción, capa semántica y releases.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4F7FB" w:val="clear"/>
            <w:tcMar>
              <w:top w:type="dxa" w:w="140"/>
              <w:left w:type="dxa" w:w="180"/>
              <w:bottom w:type="dxa" w:w="140"/>
              <w:right w:type="dxa" w:w="160"/>
            </w:tcMar>
          </w:tcPr>
          <w:p>
            <w:pPr>
              <w:spacing w:after="20"/>
            </w:pPr>
            <w:r>
              <w:rPr>
                <w:b/>
                <w:bCs/>
                <w:color w:val="1F3864"/>
                <w:sz w:val="24"/>
                <w:szCs w:val="24"/>
              </w:rPr>
              <w:t xml:space="preserve">Fernando</w:t>
            </w:r>
            <w:r>
              <w:rPr>
                <w:color w:val="2E5496"/>
                <w:sz w:val="22"/>
                <w:szCs w:val="22"/>
              </w:rPr>
              <w:t xml:space="preserve">   ·   Ingeniero de Datos y Automatización</w:t>
            </w:r>
          </w:p>
          <w:p>
            <w:pPr>
              <w:spacing w:after="80"/>
            </w:pPr>
            <w:r>
              <w:rPr>
                <w:i/>
                <w:iCs/>
                <w:color w:val="595959"/>
                <w:sz w:val="20"/>
                <w:szCs w:val="20"/>
              </w:rPr>
              <w:t xml:space="preserve">Si el dato fluye, es Fernando.</w:t>
            </w:r>
          </w:p>
          <w:p>
            <w:pPr>
              <w:pStyle w:val="ListParagraph"/>
              <w:numPr>
                <w:ilvl w:val="0"/>
                <w:numId w:val="2"/>
              </w:numPr>
              <w:spacing w:after="40" w:line="252"/>
            </w:pPr>
            <w:r>
              <w:rPr>
                <w:sz w:val="20"/>
                <w:szCs w:val="20"/>
              </w:rPr>
              <w:t xml:space="preserve">ETL y migración de fuentes (Excel, listas, SQL) al datawarehouse.</w:t>
            </w:r>
          </w:p>
          <w:p>
            <w:pPr>
              <w:pStyle w:val="ListParagraph"/>
              <w:numPr>
                <w:ilvl w:val="0"/>
                <w:numId w:val="2"/>
              </w:numPr>
              <w:spacing w:after="40" w:line="252"/>
            </w:pPr>
            <w:r>
              <w:rPr>
                <w:sz w:val="20"/>
                <w:szCs w:val="20"/>
              </w:rPr>
              <w:t xml:space="preserve">Construcción y mantenimiento de pipelines en Python/SQL y Power Query.</w:t>
            </w:r>
          </w:p>
          <w:p>
            <w:pPr>
              <w:pStyle w:val="ListParagraph"/>
              <w:numPr>
                <w:ilvl w:val="0"/>
                <w:numId w:val="2"/>
              </w:numPr>
              <w:spacing w:after="40" w:line="252"/>
            </w:pPr>
            <w:r>
              <w:rPr>
                <w:sz w:val="20"/>
                <w:szCs w:val="20"/>
              </w:rPr>
              <w:t xml:space="preserve">Automatización con Power Automate y administración de SharePoint.</w:t>
            </w:r>
          </w:p>
          <w:p>
            <w:pPr>
              <w:pStyle w:val="ListParagraph"/>
              <w:numPr>
                <w:ilvl w:val="0"/>
                <w:numId w:val="2"/>
              </w:numPr>
              <w:spacing w:after="40" w:line="252"/>
            </w:pPr>
            <w:r>
              <w:rPr>
                <w:sz w:val="20"/>
                <w:szCs w:val="20"/>
              </w:rPr>
              <w:t xml:space="preserve">Alertas de carga, datos atípicos y monitoreo de integridad.</w:t>
            </w:r>
          </w:p>
          <w:p>
            <w:pPr>
              <w:pStyle w:val="ListParagraph"/>
              <w:numPr>
                <w:ilvl w:val="0"/>
                <w:numId w:val="2"/>
              </w:numPr>
              <w:spacing w:after="0" w:line="252"/>
            </w:pPr>
            <w:r>
              <w:rPr>
                <w:sz w:val="20"/>
                <w:szCs w:val="20"/>
              </w:rPr>
              <w:t xml:space="preserve">Co-desarrollo de prototipos de consulta IA sobre el DW.</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4F7FB" w:val="clear"/>
            <w:tcMar>
              <w:top w:type="dxa" w:w="140"/>
              <w:left w:type="dxa" w:w="180"/>
              <w:bottom w:type="dxa" w:w="140"/>
              <w:right w:type="dxa" w:w="160"/>
            </w:tcMar>
          </w:tcPr>
          <w:p>
            <w:pPr>
              <w:spacing w:after="20"/>
            </w:pPr>
            <w:r>
              <w:rPr>
                <w:b/>
                <w:bCs/>
                <w:color w:val="1F3864"/>
                <w:sz w:val="24"/>
                <w:szCs w:val="24"/>
              </w:rPr>
              <w:t xml:space="preserve">Avelina</w:t>
            </w:r>
            <w:r>
              <w:rPr>
                <w:color w:val="2E5496"/>
                <w:sz w:val="22"/>
                <w:szCs w:val="22"/>
              </w:rPr>
              <w:t xml:space="preserve">   ·   Analista de Datos y Operación</w:t>
            </w:r>
          </w:p>
          <w:p>
            <w:pPr>
              <w:spacing w:after="80"/>
            </w:pPr>
            <w:r>
              <w:rPr>
                <w:i/>
                <w:iCs/>
                <w:color w:val="595959"/>
                <w:sz w:val="20"/>
                <w:szCs w:val="20"/>
              </w:rPr>
              <w:t xml:space="preserve">Si el dato responde una pregunta del negocio, es Avelina.</w:t>
            </w:r>
          </w:p>
          <w:p>
            <w:pPr>
              <w:pStyle w:val="ListParagraph"/>
              <w:numPr>
                <w:ilvl w:val="0"/>
                <w:numId w:val="2"/>
              </w:numPr>
              <w:spacing w:after="40" w:line="252"/>
            </w:pPr>
            <w:r>
              <w:rPr>
                <w:sz w:val="20"/>
                <w:szCs w:val="20"/>
              </w:rPr>
              <w:t xml:space="preserve">Reportes Power BI y tablero de las juntas de revisión operativa.</w:t>
            </w:r>
          </w:p>
          <w:p>
            <w:pPr>
              <w:pStyle w:val="ListParagraph"/>
              <w:numPr>
                <w:ilvl w:val="0"/>
                <w:numId w:val="2"/>
              </w:numPr>
              <w:spacing w:after="40" w:line="252"/>
            </w:pPr>
            <w:r>
              <w:rPr>
                <w:sz w:val="20"/>
                <w:szCs w:val="20"/>
              </w:rPr>
              <w:t xml:space="preserve">Seguimiento de minutas, actividades derivadas y análisis de causa raíz (SEED).</w:t>
            </w:r>
          </w:p>
          <w:p>
            <w:pPr>
              <w:pStyle w:val="ListParagraph"/>
              <w:numPr>
                <w:ilvl w:val="0"/>
                <w:numId w:val="2"/>
              </w:numPr>
              <w:spacing w:after="40" w:line="252"/>
            </w:pPr>
            <w:r>
              <w:rPr>
                <w:sz w:val="20"/>
                <w:szCs w:val="20"/>
              </w:rPr>
              <w:t xml:space="preserve">Análisis de datos de empaque y producción.</w:t>
            </w:r>
          </w:p>
          <w:p>
            <w:pPr>
              <w:pStyle w:val="ListParagraph"/>
              <w:numPr>
                <w:ilvl w:val="0"/>
                <w:numId w:val="2"/>
              </w:numPr>
              <w:spacing w:after="40" w:line="252"/>
            </w:pPr>
            <w:r>
              <w:rPr>
                <w:sz w:val="20"/>
                <w:szCs w:val="20"/>
              </w:rPr>
              <w:t xml:space="preserve">Voz del negocio: traduce las preguntas de la operación al diseño del DW y del LLM.</w:t>
            </w:r>
          </w:p>
          <w:p>
            <w:pPr>
              <w:pStyle w:val="ListParagraph"/>
              <w:numPr>
                <w:ilvl w:val="0"/>
                <w:numId w:val="2"/>
              </w:numPr>
              <w:spacing w:after="0" w:line="252"/>
            </w:pPr>
            <w:r>
              <w:rPr>
                <w:sz w:val="20"/>
                <w:szCs w:val="20"/>
              </w:rPr>
              <w:t xml:space="preserve">Validación en campo: verifica que lo migrado refleje la realidad de planta.</w:t>
            </w:r>
          </w:p>
        </w:tc>
      </w:tr>
    </w:tbl>
    <w:p>
      <w:pPr>
        <w:spacing w:after="160"/>
      </w:pPr>
      <w:r>
        <w:t xml:space="preserve"/>
      </w:r>
    </w:p>
    <w:p>
      <w:pPr>
        <w:pStyle w:val="Heading2"/>
      </w:pPr>
      <w:r>
        <w:t xml:space="preserve">Matriz de responsabilidades (RACI)</w:t>
      </w:r>
    </w:p>
    <w:p>
      <w:pPr>
        <w:spacing w:after="100" w:line="276"/>
      </w:pPr>
      <w:r>
        <w:rPr>
          <w:i/>
          <w:iCs/>
          <w:color w:val="595959"/>
          <w:sz w:val="20"/>
          <w:szCs w:val="20"/>
        </w:rPr>
        <w:t xml:space="preserve">R = Responsable (ejecuta) · A = Aprueba · C = Consultado · I = Informado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Área / Actividad</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Armando</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Fernando</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Avelina</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Arquitectura de datos y DW SQL</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Gobernanza de datos, accesos y calidad</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ETL / migración de fuentes</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Power Automate y SharePoint</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Reportes Power BI (3)</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Tablero de juntas operativas</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Minutas y seguimiento SEED</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Análisis empaque / producción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Estrategia y prototipos de IA / LLM</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Relación con dirección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bl>
    <w:p>
      <w:pPr>
        <w:spacing w:after="160"/>
      </w:pPr>
      <w:r>
        <w:t xml:space="preserve"/>
      </w:r>
    </w:p>
    <w:p>
      <w:pPr>
        <w:pStyle w:val="Heading2"/>
      </w:pPr>
      <w:r>
        <w:t xml:space="preserve">Aceleradores AI (no son roles con ownership)</w:t>
      </w:r>
    </w:p>
    <w:p>
      <w:pPr>
        <w:spacing w:after="80" w:line="276"/>
      </w:pPr>
      <w:r>
        <w:t xml:space="preserve">El equipo usa asistentes de IA como aceleradores, nunca como responsables. Ninguno tiene ownership operacional: cuando algo falla a las 3 AM, responde el equipo humano. Su uso es parte del método (sección 6):</w:t>
      </w:r>
    </w:p>
    <w:p>
      <w:pPr>
        <w:pStyle w:val="ListParagraph"/>
        <w:numPr>
          <w:ilvl w:val="0"/>
          <w:numId w:val="2"/>
        </w:numPr>
        <w:spacing w:after="60" w:line="264"/>
      </w:pPr>
      <w:r>
        <w:rPr>
          <w:b/>
          <w:bCs/>
        </w:rPr>
        <w:t xml:space="preserve">ChatGPT (PM): </w:t>
      </w:r>
      <w:r>
        <w:t xml:space="preserve">lleva el PM del sprint, RAID log, backlog y comunicación a stakeholders.</w:t>
      </w:r>
    </w:p>
    <w:p>
      <w:pPr>
        <w:pStyle w:val="ListParagraph"/>
        <w:numPr>
          <w:ilvl w:val="0"/>
          <w:numId w:val="2"/>
        </w:numPr>
        <w:spacing w:after="60" w:line="264"/>
      </w:pPr>
      <w:r>
        <w:rPr>
          <w:b/>
          <w:bCs/>
        </w:rPr>
        <w:t xml:space="preserve">Claude Chat (arquitectura): </w:t>
      </w:r>
      <w:r>
        <w:t xml:space="preserve">segundo arquitecto — reta el diseño dimensional, optimiza DAX y critica decisiones.</w:t>
      </w:r>
    </w:p>
    <w:p>
      <w:pPr>
        <w:pStyle w:val="ListParagraph"/>
        <w:numPr>
          <w:ilvl w:val="0"/>
          <w:numId w:val="2"/>
        </w:numPr>
        <w:spacing w:after="60" w:line="264"/>
      </w:pPr>
      <w:r>
        <w:rPr>
          <w:b/>
          <w:bCs/>
        </w:rPr>
        <w:t xml:space="preserve">Claude Code (ejecución): </w:t>
      </w:r>
      <w:r>
        <w:t xml:space="preserve">scripts Python, ETLs, conexiones SharePoint/Graph/SQL, DDL y repo Git.</w:t>
      </w:r>
    </w:p>
    <w:p>
      <w:pPr>
        <w:pStyle w:val="ListParagraph"/>
        <w:numPr>
          <w:ilvl w:val="0"/>
          <w:numId w:val="2"/>
        </w:numPr>
        <w:spacing w:after="60" w:line="264"/>
      </w:pPr>
      <w:r>
        <w:rPr>
          <w:b/>
          <w:bCs/>
        </w:rPr>
        <w:t xml:space="preserve">Gemini (documentación): </w:t>
      </w:r>
      <w:r>
        <w:t xml:space="preserve">soporte de documentación (declarar siempre Entorno: Windows + PowerShell en sus prompts).</w:t>
      </w:r>
    </w:p>
    <w:p>
      <w:r>
        <w:br w:type="page"/>
      </w:r>
    </w:p>
    <w:p>
      <w:pPr>
        <w:pStyle w:val="Heading1"/>
      </w:pPr>
      <w:r>
        <w:t xml:space="preserve">3. Problemática actual</w:t>
      </w:r>
    </w:p>
    <w:p>
      <w:pPr>
        <w:spacing w:after="140" w:line="276"/>
      </w:pPr>
      <w:r>
        <w:t xml:space="preserve">El diagnóstico de origen es correcto y se conserva. El problema no es la falta de tableros, sino la arquitectura que los sostiene.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Lo que tenemos hoy</w:t>
            </w:r>
          </w:p>
        </w:tc>
        <w:tc>
          <w:tcPr>
            <w:tcW w:type="dxa" w:w="468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Lo que no funciona</w:t>
            </w:r>
          </w:p>
        </w:tc>
      </w:tr>
      <w:tr>
        <w:tc>
          <w:tcPr>
            <w:tcW w:type="dxa" w:w="468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pStyle w:val="ListParagraph"/>
              <w:numPr>
                <w:ilvl w:val="0"/>
                <w:numId w:val="2"/>
              </w:numPr>
              <w:spacing w:after="40"/>
            </w:pPr>
            <w:r>
              <w:rPr>
                <w:sz w:val="19"/>
                <w:szCs w:val="19"/>
              </w:rPr>
              <w:t xml:space="preserve">3 dashboards alimentados por 1 Golden Dataset único en Power BI Pro.</w:t>
            </w:r>
          </w:p>
          <w:p>
            <w:pPr>
              <w:pStyle w:val="ListParagraph"/>
              <w:numPr>
                <w:ilvl w:val="0"/>
                <w:numId w:val="2"/>
              </w:numPr>
              <w:spacing w:after="40"/>
            </w:pPr>
            <w:r>
              <w:rPr>
                <w:sz w:val="19"/>
                <w:szCs w:val="19"/>
              </w:rPr>
              <w:t xml:space="preserve">Refresh de 18:56 min con DirectQuery activo.</w:t>
            </w:r>
          </w:p>
          <w:p>
            <w:pPr>
              <w:pStyle w:val="ListParagraph"/>
              <w:numPr>
                <w:ilvl w:val="0"/>
                <w:numId w:val="2"/>
              </w:numPr>
              <w:spacing w:after="40"/>
            </w:pPr>
            <w:r>
              <w:rPr>
                <w:sz w:val="19"/>
                <w:szCs w:val="19"/>
              </w:rPr>
              <w:t xml:space="preserve">100+ fuentes: Excel sobre SharePoint en 2 tenants, CSV de Ridder, listas SP, exports de Planner y 24 tablas de 2 SQL locales.</w:t>
            </w:r>
          </w:p>
          <w:p>
            <w:pPr>
              <w:pStyle w:val="ListParagraph"/>
              <w:numPr>
                <w:ilvl w:val="0"/>
                <w:numId w:val="2"/>
              </w:numPr>
              <w:spacing w:after="40"/>
            </w:pPr>
            <w:r>
              <w:rPr>
                <w:sz w:val="19"/>
                <w:szCs w:val="19"/>
              </w:rPr>
              <w:t xml:space="preserve">Tablas grandes: 28M y 24M de registros.</w:t>
            </w:r>
          </w:p>
          <w:p>
            <w:pPr>
              <w:pStyle w:val="ListParagraph"/>
              <w:numPr>
                <w:ilvl w:val="0"/>
                <w:numId w:val="2"/>
              </w:numPr>
              <w:spacing w:after="0"/>
            </w:pPr>
            <w:r>
              <w:rPr>
                <w:sz w:val="19"/>
                <w:szCs w:val="19"/>
              </w:rPr>
              <w:t xml:space="preserve">Dependencia de archivos administrados por usuarios y catálogos sin estandarizar.</w:t>
            </w:r>
          </w:p>
        </w:tc>
        <w:tc>
          <w:tcPr>
            <w:tcW w:type="dxa" w:w="468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pStyle w:val="ListParagraph"/>
              <w:numPr>
                <w:ilvl w:val="0"/>
                <w:numId w:val="2"/>
              </w:numPr>
              <w:spacing w:after="40"/>
            </w:pPr>
            <w:r>
              <w:rPr>
                <w:sz w:val="19"/>
                <w:szCs w:val="19"/>
              </w:rPr>
              <w:t xml:space="preserve">Cualquier capturista que rompa formato tira el pipeline.</w:t>
            </w:r>
          </w:p>
          <w:p>
            <w:pPr>
              <w:pStyle w:val="ListParagraph"/>
              <w:numPr>
                <w:ilvl w:val="0"/>
                <w:numId w:val="2"/>
              </w:numPr>
              <w:spacing w:after="40"/>
            </w:pPr>
            <w:r>
              <w:rPr>
                <w:sz w:val="19"/>
                <w:szCs w:val="19"/>
              </w:rPr>
              <w:t xml:space="preserve">Drift de catálogos detectado (“Gasto”, “Gasto ”, “gasto” coexisten).</w:t>
            </w:r>
          </w:p>
          <w:p>
            <w:pPr>
              <w:pStyle w:val="ListParagraph"/>
              <w:numPr>
                <w:ilvl w:val="0"/>
                <w:numId w:val="2"/>
              </w:numPr>
              <w:spacing w:after="40"/>
            </w:pPr>
            <w:r>
              <w:rPr>
                <w:sz w:val="19"/>
                <w:szCs w:val="19"/>
              </w:rPr>
              <w:t xml:space="preserve">Si falla una sola fuente, falla todo el refresh del Golden Dataset.</w:t>
            </w:r>
          </w:p>
          <w:p>
            <w:pPr>
              <w:pStyle w:val="ListParagraph"/>
              <w:numPr>
                <w:ilvl w:val="0"/>
                <w:numId w:val="2"/>
              </w:numPr>
              <w:spacing w:after="40"/>
            </w:pPr>
            <w:r>
              <w:rPr>
                <w:sz w:val="19"/>
                <w:szCs w:val="19"/>
              </w:rPr>
              <w:t xml:space="preserve">Imposible cruzar información entre áreas; análisis agregado que tapa la causa raíz.</w:t>
            </w:r>
          </w:p>
          <w:p>
            <w:pPr>
              <w:pStyle w:val="ListParagraph"/>
              <w:numPr>
                <w:ilvl w:val="0"/>
                <w:numId w:val="2"/>
              </w:numPr>
              <w:spacing w:after="0"/>
            </w:pPr>
            <w:r>
              <w:rPr>
                <w:sz w:val="19"/>
                <w:szCs w:val="19"/>
              </w:rPr>
              <w:t xml:space="preserve">Power Query hace transformaciones que deberían vivir en SQL.</w:t>
            </w:r>
          </w:p>
        </w:tc>
      </w:tr>
    </w:tbl>
    <w:p>
      <w:pPr>
        <w:spacing w:after="160"/>
      </w:pPr>
      <w:r>
        <w:t xml:space="preserve"/>
      </w:r>
    </w:p>
    <w:p>
      <w:pPr>
        <w:pStyle w:val="Heading2"/>
      </w:pPr>
      <w:r>
        <w:t xml:space="preserve">A dónde vamos</w:t>
      </w:r>
    </w:p>
    <w:p>
      <w:pPr>
        <w:spacing w:after="120" w:line="276"/>
      </w:pPr>
      <w:r>
        <w:t xml:space="preserve">Construir un DWH on-premise desacoplado y modular sobre la infraestructura existente, donde Power BI sea solo la capa visual y todo el ETL viva en Python + SQL. Una sola fuente de verdad: datos críticos consolidados en SQL gobernado, con catálogos maestros estandarizados, detección de drift y linaje versionado. Sobre esa base, habilitar consultas en lenguaje natural con IA — el cierre del proyecto.</w:t>
      </w:r>
    </w:p>
    <w:p>
      <w:r>
        <w:br w:type="page"/>
      </w:r>
    </w:p>
    <w:p>
      <w:pPr>
        <w:pStyle w:val="Heading1"/>
      </w:pPr>
      <w:r>
        <w:t xml:space="preserve">4. Alcance funcional</w:t>
      </w:r>
    </w:p>
    <w:p>
      <w:pPr>
        <w:spacing w:after="120" w:line="276"/>
      </w:pPr>
      <w:r>
        <w:t xml:space="preserve">El alcance lo definen once módulos operativos. Es el alcance objetivo del modelo analítico y se conserva íntegro. La diferencia está en la priorización: Tier 1 son los dominios que alimentan los tres BI actuales y la primera demo del LLM, y entran dentro de la ventana de 8 semanas; Tier 2 entra en la fase inmediata posterior, no en 2027.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4600"/>
        <w:gridCol w:w="1800"/>
      </w:tblGrid>
      <w:tr>
        <w:trPr>
          <w:tblHeader/>
        </w:trPr>
        <w:tc>
          <w:tcPr>
            <w:tcW w:type="dxa" w:w="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w:t>
            </w:r>
          </w:p>
        </w:tc>
        <w:tc>
          <w:tcPr>
            <w:tcW w:type="dxa" w:w="24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Módulo</w:t>
            </w:r>
          </w:p>
        </w:tc>
        <w:tc>
          <w:tcPr>
            <w:tcW w:type="dxa" w:w="4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Profundización analítica</w:t>
            </w:r>
          </w:p>
        </w:tc>
        <w:tc>
          <w:tcPr>
            <w:tcW w:type="dxa" w:w="18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Prioridad</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1</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Dashboard Ejecutivo</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KPIs generales consolidados de todas las áreas.</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2</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SEED</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Tipo de problema, causa raíz, responsable, tiempo de cierre, reincidencias.</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3</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Operaciones e Invernaderos</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Eficiencias, actividades culturales, cumplimiento, asistencias, incidencias, mapa de calor.</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4</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Empaque</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OEE, scrap, retrabajo, productividad, capacidad.</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5</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Forecast</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Correlaciones, tendencias, forecast error, productividad vs volumen.</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6</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Capital Humano</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Rotación, ausentismo, productividad, antigüedad.</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7</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Calidad</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Auditoría, hallazgo, categoría, reincidencia (dejar de ver solo %). Acceso bloqueado.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 ⚠</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8</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SISSO</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Área, invernadero, actividad, hora, turno, tipo de accidente. Acceso bloqueado.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 ⚠</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9</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MIP</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Plaga, enfermedad, umbral, tendencia. Integración Adaviv.</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10</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Gas</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Consumo, costo, rendimiento.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11</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Mantenimiento</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Correctivos, preventivos. Implementación / sistema nuevo.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bl>
    <w:p>
      <w:pPr>
        <w:spacing w:after="140" w:line="276"/>
      </w:pPr>
      <w:r>
        <w:rPr>
          <w:i/>
          <w:iCs/>
          <w:color w:val="595959"/>
          <w:sz w:val="18"/>
          <w:szCs w:val="18"/>
        </w:rPr>
        <w:t xml:space="preserve">⚠  Calidad y SISSO tienen acceso a fuentes bloqueado (riesgo documentado). Su entrada al DW depende de resolver el acceso; mientras tanto se marcan con PENDIENTE en el linaje, no se asume.</w:t>
      </w:r>
    </w:p>
    <w:p>
      <w:pPr>
        <w:spacing w:after="140" w:line="276"/>
      </w:pPr>
      <w:r>
        <w:t xml:space="preserve">La asignación final de Tier 1 vs Tier 2 se confirma al cierre de la Semana 1, contrastando el “Mapa de Datos” (Fernando) y la “Voz del Negocio” (Avelina). No se compromete una fecha sobre un módulo cuya fuente no esté validada.</w:t>
      </w:r>
    </w:p>
    <w:p>
      <w:pPr>
        <w:pStyle w:val="Heading2"/>
      </w:pPr>
      <w:r>
        <w:t xml:space="preserve">Catálogos maestros (gobernanza transversal)</w:t>
      </w:r>
    </w:p>
    <w:p>
      <w:pPr>
        <w:spacing w:after="80" w:line="276"/>
      </w:pPr>
      <w:r>
        <w:t xml:space="preserve">Los nueve catálogos maestros son la columna vertebral del modelo: estandarizan los valores que hoy tienen drift y son las dimensiones que permiten cruzar áreas.</w:t>
      </w:r>
    </w:p>
    <w:p>
      <w:pPr>
        <w:spacing w:after="120" w:line="276"/>
      </w:pPr>
      <w:r>
        <w:rPr>
          <w:b/>
          <w:bCs/>
          <w:color w:val="2E5496"/>
          <w:sz w:val="20"/>
          <w:szCs w:val="20"/>
        </w:rPr>
        <w:t xml:space="preserve">Predios · Invernaderos · Cultivos · Variedades · Actividades culturales · Empaques · Áreas · Accidentes · Causas raíz SEED.</w:t>
      </w:r>
    </w:p>
    <w:p>
      <w:pPr>
        <w:pStyle w:val="Heading2"/>
      </w:pPr>
      <w:r>
        <w:t xml:space="preserve">Sistemas a integrar</w:t>
      </w:r>
    </w:p>
    <w:p>
      <w:pPr>
        <w:spacing w:after="0" w:line="276"/>
      </w:pPr>
      <w:r>
        <w:t xml:space="preserve">GHS, Ridder (CSV ~50 MB diarios, near-real-time crítico), Adaviv (MIP) y SharePoint (dos tenants: ghveggies y agrogemso). Dos instancias SQL Server: Naturesweet (todos los sitios salvo GSO) y Ganfer (GSO).</w:t>
      </w:r>
    </w:p>
    <w:p>
      <w:r>
        <w:br w:type="page"/>
      </w:r>
    </w:p>
    <w:p>
      <w:pPr>
        <w:pStyle w:val="Heading1"/>
      </w:pPr>
      <w:r>
        <w:t xml:space="preserve">5. Arquitectura objetivo</w:t>
      </w:r>
    </w:p>
    <w:p>
      <w:pPr>
        <w:spacing w:after="140" w:line="276"/>
      </w:pPr>
      <w:r>
        <w:t xml:space="preserve">STEM desacopla las tres funciones que hoy Power BI hace a la vez. Cada capa tiene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Capa</w:t>
            </w:r>
          </w:p>
        </w:tc>
        <w:tc>
          <w:tcPr>
            <w:tcW w:type="dxa" w:w="67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y restricción</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Servidor DWH</w:t>
            </w:r>
          </w:p>
        </w:tc>
        <w:tc>
          <w:tcPr>
            <w:tcW w:type="dxa" w:w="67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SQL Server 2025 Standard sobre VM con 16 GB de RAM topados (no escalable verticalmente). AlwaysOn HA ya configurado. La RAM topada es la restricción dura del proyecto: cualquier crecimiento empeora el refresh si el ETL no se desacopla.</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Capa ETL</w:t>
            </w:r>
          </w:p>
        </w:tc>
        <w:tc>
          <w:tcPr>
            <w:tcW w:type="dxa" w:w="67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Python + SQL como único lugar donde viven las transformaciones. Sale de Power Query todo lo que sea transformación de datos. Ingesta de Ridder (CSV diario near-real-time) tratada como pipeline crítico.</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Capa de datos</w:t>
            </w:r>
          </w:p>
        </w:tc>
        <w:tc>
          <w:tcPr>
            <w:tcW w:type="dxa" w:w="67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Modelo dimensional fact/dim sobre las tablas grandes (28M / 24M filas). NO una tabla plana “maestra”: con esos volúmenes, un modelo plano garantiza problemas de rendimiento. Las dimensiones son los catálogos maestros.</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Capa visual</w:t>
            </w:r>
          </w:p>
        </w:tc>
        <w:tc>
          <w:tcPr>
            <w:tcW w:type="dxa" w:w="67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Power BI Pro (sin Premium): pierde incremental refresh nativo, XMLA endpoint y deployment pipelines, lo que se compensa con estrategia de DWH on-prem. Single Golden Dataset publicado solo por pbi@ghveggies.com; ~90 licencias Pro.</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Capa de consulta IA</w:t>
            </w:r>
          </w:p>
        </w:tc>
        <w:tc>
          <w:tcPr>
            <w:tcW w:type="dxa" w:w="67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LLM sobre la capa semántica gobernada — traduce preguntas en lenguaje natural a consultas sobre el DW (sección 11).</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Versionado y DDL</w:t>
            </w:r>
          </w:p>
        </w:tc>
        <w:tc>
          <w:tcPr>
            <w:tcW w:type="dxa" w:w="67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Todo versionado en Git (inicialización diferida hasta su tarea de gobernanza). TI ejecuta todo el DDL de producción; solo pbi@ghveggies.com publica datasets.</w:t>
            </w:r>
          </w:p>
        </w:tc>
      </w:tr>
    </w:tbl>
    <w:p>
      <w:pPr>
        <w:spacing w:after="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8"/>
              <w:bottom w:val="single" w:color="2E75B6" w:sz="1"/>
              <w:right w:val="single" w:color="2E75B6" w:sz="1"/>
            </w:tcBorders>
            <w:shd w:fill="F4F7FB" w:val="clear"/>
            <w:tcMar>
              <w:top w:type="dxa" w:w="120"/>
              <w:left w:type="dxa" w:w="200"/>
              <w:bottom w:type="dxa" w:w="120"/>
              <w:right w:type="dxa" w:w="160"/>
            </w:tcMar>
          </w:tcPr>
          <w:p>
            <w:pPr>
              <w:spacing w:after="60"/>
            </w:pPr>
            <w:r>
              <w:rPr>
                <w:b/>
                <w:bCs/>
                <w:color w:val="2E75B6"/>
                <w:sz w:val="21"/>
                <w:szCs w:val="21"/>
              </w:rPr>
              <w:t xml:space="preserve">Flujo objetivo</w:t>
            </w:r>
          </w:p>
          <w:p>
            <w:pPr>
              <w:spacing w:after="0" w:line="264"/>
            </w:pPr>
            <w:r>
              <w:rPr>
                <w:sz w:val="20"/>
                <w:szCs w:val="20"/>
              </w:rPr>
              <w:t xml:space="preserve">Fuentes (Excel/SP, Ridder, listas, SQL local) → ETL Python/SQL → DWH SQL Server (fact/dim gobernado) → Power BI (solo visual) + Capa de consulta LLM (lenguaje natural).</w:t>
            </w:r>
          </w:p>
        </w:tc>
      </w:tr>
    </w:tbl>
    <w:p>
      <w:r>
        <w:br w:type="page"/>
      </w:r>
    </w:p>
    <w:p>
      <w:pPr>
        <w:pStyle w:val="Heading1"/>
      </w:pPr>
      <w:r>
        <w:t xml:space="preserve">6. Metodología</w:t>
      </w:r>
    </w:p>
    <w:p>
      <w:pPr>
        <w:spacing w:after="140" w:line="276"/>
      </w:pPr>
      <w:r>
        <w:t xml:space="preserve">Entrega ágil incremental, gated por Definición de Hecho binaria. La cadencia produce algo funcionando cada semana, no láminas.</w:t>
      </w:r>
    </w:p>
    <w:p>
      <w:pPr>
        <w:pStyle w:val="Heading2"/>
      </w:pPr>
      <w:r>
        <w:t xml:space="preserve">Principios de ejecución</w:t>
      </w:r>
    </w:p>
    <w:p>
      <w:pPr>
        <w:pStyle w:val="ListParagraph"/>
        <w:numPr>
          <w:ilvl w:val="0"/>
          <w:numId w:val="2"/>
        </w:numPr>
        <w:spacing w:after="60" w:line="264"/>
      </w:pPr>
      <w:r>
        <w:rPr>
          <w:b/>
          <w:bCs/>
        </w:rPr>
        <w:t xml:space="preserve">DoD primero: </w:t>
      </w:r>
      <w:r>
        <w:t xml:space="preserve">un entregable no está “hecho” hasta cumplir su DoD. No hay puntos parciales; es una vara binaria intencional.</w:t>
      </w:r>
    </w:p>
    <w:p>
      <w:pPr>
        <w:pStyle w:val="ListParagraph"/>
        <w:numPr>
          <w:ilvl w:val="0"/>
          <w:numId w:val="2"/>
        </w:numPr>
        <w:spacing w:after="60" w:line="264"/>
      </w:pPr>
      <w:r>
        <w:rPr>
          <w:b/>
          <w:bCs/>
        </w:rPr>
        <w:t xml:space="preserve">Fuente de verdad única: </w:t>
      </w:r>
      <w:r>
        <w:t xml:space="preserve">el Tracker es la única fuente de verdad del avance. Tracker_Sprint_0.xlsx y Actualizaciones_areas.xlsx son fuentes de verdad del Tech Lead: ningún agente las modifica.</w:t>
      </w:r>
    </w:p>
    <w:p>
      <w:pPr>
        <w:pStyle w:val="ListParagraph"/>
        <w:numPr>
          <w:ilvl w:val="0"/>
          <w:numId w:val="2"/>
        </w:numPr>
        <w:spacing w:after="60" w:line="264"/>
      </w:pPr>
      <w:r>
        <w:rPr>
          <w:b/>
          <w:bCs/>
        </w:rPr>
        <w:t xml:space="preserve">Tres fases: </w:t>
      </w:r>
      <w:r>
        <w:t xml:space="preserve">toda ejecución técnica sobre archivos sigue inspeccionar → script + dry-run (preview) → escribir con respaldo. Da checkpoints de revisión antes de tocar nada.</w:t>
      </w:r>
    </w:p>
    <w:p>
      <w:pPr>
        <w:pStyle w:val="ListParagraph"/>
        <w:numPr>
          <w:ilvl w:val="0"/>
          <w:numId w:val="2"/>
        </w:numPr>
        <w:spacing w:after="60" w:line="264"/>
      </w:pPr>
      <w:r>
        <w:rPr>
          <w:b/>
          <w:bCs/>
        </w:rPr>
        <w:t xml:space="preserve">Demo semanal: </w:t>
      </w:r>
      <w:r>
        <w:t xml:space="preserve">cada viernes se demuestra un incremento funcional. Lo que se demuestra el viernes es candidato a subir a dirección.</w:t>
      </w:r>
    </w:p>
    <w:p>
      <w:pPr>
        <w:pStyle w:val="ListParagraph"/>
        <w:numPr>
          <w:ilvl w:val="0"/>
          <w:numId w:val="2"/>
        </w:numPr>
        <w:spacing w:after="60" w:line="264"/>
      </w:pPr>
      <w:r>
        <w:rPr>
          <w:b/>
          <w:bCs/>
        </w:rPr>
        <w:t xml:space="preserve">PENDIENTE explícito: </w:t>
      </w:r>
      <w:r>
        <w:t xml:space="preserve">campos que aún no se pueden derivar se marcan con PENDIENTE, no se dejan en blanco ni se asumen.</w:t>
      </w:r>
    </w:p>
    <w:p>
      <w:pPr>
        <w:pStyle w:val="Heading2"/>
      </w:pPr>
      <w:r>
        <w:t xml:space="preserve">Discovery cerrado como fundación</w:t>
      </w:r>
    </w:p>
    <w:p>
      <w:pPr>
        <w:spacing w:after="120" w:line="276"/>
      </w:pPr>
      <w:r>
        <w:t xml:space="preserve">STEM no arranca el discovery: lo capitaliza. El Sprint 0 (Discovery &amp; Governance) ya documentó inventario de fuentes, baseline de refresh, topología AlwaysOn, restricciones de RAM, instancias SQL duales, tenants de SharePoint y la plantilla canónica de gobernanza. Esto evita repetir el inventario que el plan de origen volvía a pedir en la primera semana.</w:t>
      </w:r>
    </w:p>
    <w:p>
      <w:pPr>
        <w:pStyle w:val="Heading2"/>
      </w:pPr>
      <w:r>
        <w:t xml:space="preserve">Workflow multi-agente</w:t>
      </w:r>
    </w:p>
    <w:p>
      <w:pPr>
        <w:spacing w:after="120" w:line="276"/>
      </w:pPr>
      <w:r>
        <w:t xml:space="preserve">ChatGPT lleva el PM; Claude Chat actúa como segundo arquitecto y crítica técnica; Claude Code ejecuta scripts, ETLs y repo; Gemini apoya documentación. Son aceleradores, no responsables — el ownership operacional es siempre humano.</w:t>
      </w:r>
    </w:p>
    <w:p>
      <w:pPr>
        <w:pStyle w:val="Heading2"/>
      </w:pPr>
      <w:r>
        <w:t xml:space="preserve">Versionado</w:t>
      </w:r>
    </w:p>
    <w:p>
      <w:pPr>
        <w:spacing w:after="0" w:line="276"/>
      </w:pPr>
      <w:r>
        <w:t xml:space="preserve">Git como repositorio único del proyecto (scripts, DDL, ETLs, documentación de gobernanza). Su inicialización está secuenciada dentro de la fase de gobernanza para que la estructura del repo nazca ya aprobada, no improvisada.</w:t>
      </w:r>
    </w:p>
    <w:p>
      <w:r>
        <w:br w:type="page"/>
      </w:r>
    </w:p>
    <w:p>
      <w:pPr>
        <w:pStyle w:val="Heading1"/>
      </w:pPr>
      <w:r>
        <w:t xml:space="preserve">7. Gobernanza de datos y archivos a crear</w:t>
      </w:r>
    </w:p>
    <w:p>
      <w:pPr>
        <w:spacing w:after="140" w:line="276"/>
      </w:pPr>
      <w:r>
        <w:t xml:space="preserve">La gobernanza no es una fase aparte: es lo que hace que el DW y el LLM sean confiables. Estos son los artefactos que se crean y mantienen. Un dato sin catálogo gobernado no entra al DW.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Artefacto</w:t>
            </w:r>
          </w:p>
        </w:tc>
        <w:tc>
          <w:tcPr>
            <w:tcW w:type="dxa" w:w="4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Qué es / qué resuelve</w:t>
            </w:r>
          </w:p>
        </w:tc>
        <w:tc>
          <w:tcPr>
            <w:tcW w:type="dxa" w:w="18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Dueño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Canonical Template Spec (CTS) v1.0</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Especificación de la plantilla canónica de captura, ya validada en CropData_Semanal_GAF.xlsx: hoja _LEEME con reglas, fact table plana, D_Calendario, catálogos D_[dominio], _Listas para validación y roles de celda por color (naranja = llave, amarillo = captura manual, verde = fórmula, azul = XLOOKUP).</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Armando</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Catálogos maestros (D_*)</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Los nueve catálogos estandarizados como dimensiones del modelo. Resuelven el drift detectado y habilitan el cruce entre áreas.</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Armando / Fernando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Detector de drift</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Script que detecta variantes no canónicas en catálogos (validado contra Finanzas). Reglas de normalización y política de severidad.</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Fernando</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Matriz de linaje fuente→modelo</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Inventario fuente a tabla del DW: tipo de fuente, nombre, sitio SharePoint, tabla SQL, tabla Power BI, propietario, criticidad. Columnas propietario y criticidad las llena el Analyst Jr una vez definida la escala.</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Avelina / Armando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Matriz dashboard→dataset→fuente</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Mapeo de cada dashboard a su dataset y fuentes de origen (metadata extraída de .vpax → DaxModel.json). Linaje completo origen → transformación → tabla.</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Avelina</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Sistema ai_context</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Documentación markdown para alinear a los agentes: master_context, architecture_rules, unknowns (gaps documentados), stubs por dominio, prompts y entry-points por agente. Evita duplicar la fuente de verdad del Tracker.</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Armando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Diccionario de KPIs Tier-1</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Linaje de los KPIs críticos (Cosecha, Merma, Pronóstico) documentado origen a métrica.</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Avelina</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Freeze policy del legacy</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Política de congelamiento del Golden Dataset legacy durante la migración, comunicada a capturistas.</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Armando</w:t>
            </w:r>
          </w:p>
        </w:tc>
      </w:tr>
    </w:tbl>
    <w:p>
      <w:pPr>
        <w:spacing w:after="140"/>
      </w:pPr>
      <w:r>
        <w:t xml:space="preserve"/>
      </w:r>
    </w:p>
    <w:p>
      <w:pPr>
        <w:spacing w:after="0" w:line="276"/>
      </w:pPr>
      <w:r>
        <w:rPr>
          <w:i/>
          <w:iCs/>
          <w:color w:val="595959"/>
          <w:sz w:val="19"/>
          <w:szCs w:val="19"/>
        </w:rPr>
        <w:t xml:space="preserve">Regla de oro de gobernanza: TI ejecuta todo el DDL de producción y solo pbi@ghveggies.com publica datasets. Los archivos de verdad del Tech Lead (Tracker, Actualizaciones_areas) no los toca ningún agente.</w:t>
      </w:r>
    </w:p>
    <w:p>
      <w:r>
        <w:br w:type="page"/>
      </w:r>
    </w:p>
    <w:p>
      <w:pPr>
        <w:pStyle w:val="Heading1"/>
      </w:pPr>
      <w:r>
        <w:t xml:space="preserve">8. Plan maestro de 8 semanas</w:t>
      </w:r>
    </w:p>
    <w:p>
      <w:pPr>
        <w:spacing w:after="160" w:line="276"/>
      </w:pPr>
      <w:r>
        <w:t xml:space="preserve">Cada entregable tiene Responsable, Definición de Hecho y Dependencia. La ventana corre del 16 de junio al 7 de agosto de 2026.</w:t>
      </w:r>
    </w:p>
    <w:p>
      <w:pPr>
        <w:pStyle w:val="Heading2"/>
      </w:pPr>
      <w:r>
        <w:t xml:space="preserve">Semana 1 (16–20 jun) —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Modelo de datos preliminar (fact/dim)</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Diagrama con ≥3 tablas de hechos y sus dimensiones, contrastado contra las preguntas de Avelina.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Ninguna</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Documento “Voz del Negocio” (viaje a plantas)</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≥30 preguntas reales clasificadas por área (empaque / producción), cada una con su fuente candidata. Es el spec funcional del DW y del LLM.</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Ninguna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“Mapa de Datos GHVeggies”</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Tabla con cada fuente (Excel / lista / SQL), dueño, frecuencia de actualización, calidad y si entra al DW.</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Ninguna</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Prototipo LLM sobre 1 tabla (enganche)</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HTML simple que recibe una pregunta y responde con datos reales de empaque vía API de Anthropic. Demo, no producción.</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Acceso a 1 tabla de empaque</w:t>
            </w:r>
          </w:p>
        </w:tc>
      </w:tr>
    </w:tbl>
    <w:p>
      <w:pPr>
        <w:spacing w:after="160"/>
      </w:pPr>
      <w:r>
        <w:t xml:space="preserve"/>
      </w:r>
    </w:p>
    <w:p>
      <w:pPr>
        <w:pStyle w:val="Heading2"/>
      </w:pPr>
      <w:r>
        <w:t xml:space="preserve">Semanas 2–3 (23 jun – 4 jul) — Modelo y migración núcleo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DDL final + decisión de infraestructura</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Script SQL ejecutable que crea el esquema completo, validado contra ≥80% de las preguntas de Avelina; infra elegida (Azure SQL / on-prem) documentada con justificación.</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Voz del Negocio (S1)</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ETL de las 3–5 fuentes críticas</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Tablas pobladas en SQL con refresh programado y conteo de filas validado contra el origen.</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DDL final</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Auditoría de los 3 reportes Power BI</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Documento con KPIs rotos, faltantes y sobrantes, más peticiones de usuarios.</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Ninguna</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38135" w:sz="1"/>
              <w:left w:val="single" w:color="538135" w:sz="18"/>
              <w:bottom w:val="single" w:color="538135" w:sz="1"/>
              <w:right w:val="single" w:color="538135" w:sz="1"/>
            </w:tcBorders>
            <w:shd w:fill="E2EFDA" w:val="clear"/>
            <w:tcMar>
              <w:top w:type="dxa" w:w="120"/>
              <w:left w:type="dxa" w:w="200"/>
              <w:bottom w:type="dxa" w:w="120"/>
              <w:right w:type="dxa" w:w="160"/>
            </w:tcMar>
          </w:tcPr>
          <w:p>
            <w:pPr>
              <w:spacing w:after="60"/>
            </w:pPr>
            <w:r>
              <w:rPr>
                <w:b/>
                <w:bCs/>
                <w:color w:val="538135"/>
                <w:sz w:val="21"/>
                <w:szCs w:val="21"/>
              </w:rPr>
              <w:t xml:space="preserve">🎯 Quick win</w:t>
            </w:r>
          </w:p>
          <w:p>
            <w:pPr>
              <w:spacing w:after="0" w:line="264"/>
            </w:pPr>
            <w:r>
              <w:rPr>
                <w:sz w:val="20"/>
                <w:szCs w:val="20"/>
              </w:rPr>
              <w:t xml:space="preserve">Fin de S3: primer reporte BI conectado a SQL en lugar de exceles. Se comunica el antes/después del tiempo de refresh.</w:t>
            </w:r>
          </w:p>
        </w:tc>
      </w:tr>
    </w:tbl>
    <w:p>
      <w:pPr>
        <w:spacing w:after="160"/>
      </w:pPr>
      <w:r>
        <w:t xml:space="preserve"/>
      </w:r>
    </w:p>
    <w:p>
      <w:pPr>
        <w:pStyle w:val="Heading2"/>
      </w:pPr>
      <w:r>
        <w:t xml:space="preserve">Semanas 4–5 (7–18 jul) — Migración masiva + demo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Resto de fuentes al DW + documentación de pipelines</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100% de fuentes críticas en el DW; documento de linaje (origen → transformación → tabla).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ETL núcleo (S2–3)</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Validación en campo + rediseño del tablero de juntas sobre SQL</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Log de discrepancias con estatus resuelto/abierto; tablero apuntando a SQL.</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Tablas pobladas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Capa semántica + primer prototipo serio de LLM</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El LLM responde correctamente ≥5 preguntas reales del documento de Avelina.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DW con datos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38135" w:sz="1"/>
              <w:left w:val="single" w:color="538135" w:sz="18"/>
              <w:bottom w:val="single" w:color="538135" w:sz="1"/>
              <w:right w:val="single" w:color="538135" w:sz="1"/>
            </w:tcBorders>
            <w:shd w:fill="E2EFDA" w:val="clear"/>
            <w:tcMar>
              <w:top w:type="dxa" w:w="120"/>
              <w:left w:type="dxa" w:w="200"/>
              <w:bottom w:type="dxa" w:w="120"/>
              <w:right w:type="dxa" w:w="160"/>
            </w:tcMar>
          </w:tcPr>
          <w:p>
            <w:pPr>
              <w:spacing w:after="60"/>
            </w:pPr>
            <w:r>
              <w:rPr>
                <w:b/>
                <w:bCs/>
                <w:color w:val="538135"/>
                <w:sz w:val="21"/>
                <w:szCs w:val="21"/>
              </w:rPr>
              <w:t xml:space="preserve">🎯 Quick win</w:t>
            </w:r>
          </w:p>
          <w:p>
            <w:pPr>
              <w:spacing w:after="0" w:line="264"/>
            </w:pPr>
            <w:r>
              <w:rPr>
                <w:sz w:val="20"/>
                <w:szCs w:val="20"/>
              </w:rPr>
              <w:t xml:space="preserve">S5: demo a dirección — pregunta en lenguaje natural, respuesta con datos reales, 10 minutos. Momento “crecimos 3x”.</w:t>
            </w:r>
          </w:p>
        </w:tc>
      </w:tr>
    </w:tbl>
    <w:p>
      <w:pPr>
        <w:spacing w:after="160"/>
      </w:pPr>
      <w:r>
        <w:t xml:space="preserve"/>
      </w:r>
    </w:p>
    <w:p>
      <w:pPr>
        <w:pStyle w:val="Heading2"/>
      </w:pPr>
      <w:r>
        <w:t xml:space="preserve">Semanas 6–7 (21 jul – 1 ago) — Consolidación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Alertas en Power Automate + hardening del ETL</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Flujo que notifica en Teams carga fallida y datos atípicos; pipelines tolerantes a fallos.</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Pipelines en producción</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Los 3 BI 100% sobre SQL + manual + adopción</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Tres reportes migrados, manual de usuario entregado, ≥1 sesión de adopción con líderes de planta.</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Validación (S4–5)</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LLM ampliado (15–20 preguntas) + gobernanza de accesos</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Matriz de accesos definida y aplicada; el LLM responde el rango ampliado.</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Capa semántica</w:t>
            </w:r>
          </w:p>
        </w:tc>
      </w:tr>
    </w:tbl>
    <w:p>
      <w:pPr>
        <w:spacing w:after="160"/>
      </w:pPr>
      <w:r>
        <w:t xml:space="preserve"/>
      </w:r>
    </w:p>
    <w:p>
      <w:pPr>
        <w:pStyle w:val="Heading2"/>
      </w:pPr>
      <w:r>
        <w:t xml:space="preserve">Semana 8 (3–7 ago) — Entrega y pitch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DW en producción + BIs conectados + LLM consultable</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Equipo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Los 3 BI corren sobre SQL, documentación de linaje completa, flujo de alertas activo.</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S6–7</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Presentación de cierre a dirección</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Demo del LLM en vivo: pregunta en lenguaje natural, respuesta con datos reales.</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LLM ampliado</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8"/>
              <w:bottom w:val="single" w:color="1F3864" w:sz="1"/>
              <w:right w:val="single" w:color="1F3864" w:sz="1"/>
            </w:tcBorders>
            <w:shd w:fill="FCE4D6" w:val="clear"/>
            <w:tcMar>
              <w:top w:type="dxa" w:w="120"/>
              <w:left w:type="dxa" w:w="200"/>
              <w:bottom w:type="dxa" w:w="120"/>
              <w:right w:type="dxa" w:w="160"/>
            </w:tcMar>
          </w:tcPr>
          <w:p>
            <w:pPr>
              <w:spacing w:after="60"/>
            </w:pPr>
            <w:r>
              <w:rPr>
                <w:b/>
                <w:bCs/>
                <w:color w:val="1F3864"/>
                <w:sz w:val="21"/>
                <w:szCs w:val="21"/>
              </w:rPr>
              <w:t xml:space="preserve">Definición de Hecho del proyecto</w:t>
            </w:r>
          </w:p>
          <w:p>
            <w:pPr>
              <w:spacing w:after="0" w:line="264"/>
            </w:pPr>
            <w:r>
              <w:rPr>
                <w:sz w:val="20"/>
                <w:szCs w:val="20"/>
              </w:rPr>
              <w:t xml:space="preserve">Los 3 BI corren sobre SQL · el LLM responde ≥15 preguntas reales · existe documentación de linaje · hay un flujo de alertas activo. Si falta uno, el proyecto no está cerrado.</w:t>
            </w:r>
          </w:p>
        </w:tc>
      </w:tr>
    </w:tbl>
    <w:p>
      <w:r>
        <w:br w:type="page"/>
      </w:r>
    </w:p>
    <w:p>
      <w:pPr>
        <w:pStyle w:val="Heading1"/>
      </w:pPr>
      <w:r>
        <w:t xml:space="preserve">9. Seguimiento y ceremonias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600"/>
        <w:gridCol w:w="39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Ceremonia</w:t>
            </w:r>
          </w:p>
        </w:tc>
        <w:tc>
          <w:tcPr>
            <w:tcW w:type="dxa" w:w="12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Duración</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Frecuencia</w:t>
            </w:r>
          </w:p>
        </w:tc>
        <w:tc>
          <w:tcPr>
            <w:tcW w:type="dxa" w:w="39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Output</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Daily standup</w:t>
            </w:r>
          </w:p>
        </w:tc>
        <w:tc>
          <w:tcPr>
            <w:tcW w:type="dxa" w:w="12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15 min</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Lun–vie</w:t>
            </w:r>
          </w:p>
        </w:tc>
        <w:tc>
          <w:tcPr>
            <w:tcW w:type="dxa" w:w="39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Ayer / hoy / bloqueos. Avelina remota se mantiene visible. Arranca abriendo el tablero, no contando historias.</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1:1 semanal</w:t>
            </w:r>
          </w:p>
        </w:tc>
        <w:tc>
          <w:tcPr>
            <w:tcW w:type="dxa" w:w="12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30 min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Semanal</w:t>
            </w:r>
          </w:p>
        </w:tc>
        <w:tc>
          <w:tcPr>
            <w:tcW w:type="dxa" w:w="39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Fernando (técnica + carrera a Data Engineer); Avelina (integración + negocio).</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Demo interna</w:t>
            </w:r>
          </w:p>
        </w:tc>
        <w:tc>
          <w:tcPr>
            <w:tcW w:type="dxa" w:w="12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30 min</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Viernes</w:t>
            </w:r>
          </w:p>
        </w:tc>
        <w:tc>
          <w:tcPr>
            <w:tcW w:type="dxa" w:w="39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Se muestra algo funcionando, no láminas. Lo del viernes es candidato a subir a dirección.</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Decision review</w:t>
            </w:r>
          </w:p>
        </w:tc>
        <w:tc>
          <w:tcPr>
            <w:tcW w:type="dxa" w:w="12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30 min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Ad-hoc</w:t>
            </w:r>
          </w:p>
        </w:tc>
        <w:tc>
          <w:tcPr>
            <w:tcW w:type="dxa" w:w="39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Cuando aparece una decisión irreversible. Queda registrada como ADR, no en chat.</w:t>
            </w:r>
          </w:p>
        </w:tc>
      </w:tr>
    </w:tbl>
    <w:p>
      <w:pPr>
        <w:spacing w:after="140"/>
      </w:pPr>
      <w:r>
        <w:t xml:space="preserve"/>
      </w:r>
    </w:p>
    <w:p>
      <w:pPr>
        <w:spacing w:after="0" w:line="276"/>
      </w:pPr>
      <w:r>
        <w:t xml:space="preserve">Tablero del proyecto en Microsoft Lists + Power BI con los hitos de las 8 semanas. Las decisiones irreversibles SIEMPRE quedan registradas como Architecture Decision Record, nunca en chat.</w:t>
      </w:r>
    </w:p>
    <w:p>
      <w:r>
        <w:br w:type="page"/>
      </w:r>
    </w:p>
    <w:p>
      <w:pPr>
        <w:pStyle w:val="Heading1"/>
      </w:pPr>
      <w:r>
        <w:t xml:space="preserve">10. Riesgos principales</w:t>
      </w:r>
    </w:p>
    <w:p>
      <w:pPr>
        <w:spacing w:after="140" w:line="276"/>
      </w:pPr>
      <w:r>
        <w:t xml:space="preserve">Riesgos críticos identificados. El RAID log completo vive en el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600"/>
        <w:gridCol w:w="1500"/>
        <w:gridCol w:w="2360"/>
      </w:tblGrid>
      <w:tr>
        <w:trPr>
          <w:tblHeader/>
        </w:trPr>
        <w:tc>
          <w:tcPr>
            <w:tcW w:type="dxa" w:w="9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ID</w:t>
            </w:r>
          </w:p>
        </w:tc>
        <w:tc>
          <w:tcPr>
            <w:tcW w:type="dxa" w:w="4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Descripción</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Severidad</w:t>
            </w:r>
          </w:p>
        </w:tc>
        <w:tc>
          <w:tcPr>
            <w:tcW w:type="dxa" w:w="23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Dueño</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R-01</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Secondary replica AlwaysOn no usable o no habilitada para lectura.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R-02</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TI rechaza la solicitud de VM dedicada para el DWH.</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R-03</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Sin acceso a uno o ambos tenants SharePoint (bloquea toda la ingestión).</w:t>
            </w:r>
          </w:p>
        </w:tc>
        <w:tc>
          <w:tcPr>
            <w:tcW w:type="dxa" w:w="15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C00000"/>
                <w:sz w:val="19"/>
                <w:szCs w:val="19"/>
              </w:rPr>
              <w:t xml:space="preserve">Crítica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R-04</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Drift masivo en catálogos no detectado hasta la migración.</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Avelina</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R-05</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DAX del Golden Dataset más complejo de lo documentado (migración +2–3 sprints).</w:t>
            </w:r>
          </w:p>
        </w:tc>
        <w:tc>
          <w:tcPr>
            <w:tcW w:type="dxa" w:w="15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C00000"/>
                <w:sz w:val="19"/>
                <w:szCs w:val="19"/>
              </w:rPr>
              <w:t xml:space="preserve">Crítica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R-06</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tempdb saturado por queries DQ + 30 usuarios concurrentes.</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Fernando</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R-07</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Acceso bloqueado a fuentes SISSO y Calidad (módulos 7 y 8).</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R-11</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RAM topada en 16 GB sin posibilidad de upgrade (VM virtual).</w:t>
            </w:r>
          </w:p>
        </w:tc>
        <w:tc>
          <w:tcPr>
            <w:tcW w:type="dxa" w:w="15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C00000"/>
                <w:sz w:val="19"/>
                <w:szCs w:val="19"/>
              </w:rPr>
              <w:t xml:space="preserve">Crítica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Armando</w:t>
            </w:r>
          </w:p>
        </w:tc>
      </w:tr>
    </w:tbl>
    <w:p>
      <w:pPr>
        <w:spacing w:after="140"/>
      </w:pPr>
      <w:r>
        <w:t xml:space="preserve"/>
      </w:r>
    </w:p>
    <w:p>
      <w:pPr>
        <w:spacing w:after="0" w:line="276"/>
      </w:pPr>
      <w:r>
        <w:t xml:space="preserve">Si R-11 se agrava (la RAM no aguanta), el enfoque cambia: en vez de seguir construyendo se prioriza la mitigación con secondary replica, aggregations y columnstore. Si R-03 se materializa, el workstream de ingestión queda bloqueado — por eso la Semana 1 dedica tarea explícita a validar conectividad dual-tenant.</w:t>
      </w:r>
    </w:p>
    <w:p>
      <w:r>
        <w:br w:type="page"/>
      </w:r>
    </w:p>
    <w:p>
      <w:pPr>
        <w:spacing w:after="0" w:before="200"/>
      </w:pPr>
      <w:r>
        <w:rPr>
          <w:b/>
          <w:bCs/>
          <w:color w:val="595959"/>
          <w:sz w:val="22"/>
          <w:szCs w:val="22"/>
        </w:rPr>
        <w:t xml:space="preserve">11. Entregable final</w:t>
      </w:r>
    </w:p>
    <w:p>
      <w:pPr>
        <w:pStyle w:val="Heading1"/>
        <w:spacing w:after="80" w:before="40"/>
      </w:pPr>
      <w:r>
        <w:t xml:space="preserve">La capa de consulta con IA (LLM)</w:t>
      </w:r>
    </w:p>
    <w:p>
      <w:pPr>
        <w:pBdr>
          <w:bottom w:val="single" w:color="2E75B6" w:sz="12" w:space="4"/>
        </w:pBdr>
        <w:spacing w:after="200"/>
      </w:pPr>
      <w:r>
        <w:rPr>
          <w:i/>
          <w:iCs/>
          <w:color w:val="2E5496"/>
          <w:sz w:val="26"/>
          <w:szCs w:val="26"/>
        </w:rPr>
        <w:t xml:space="preserve">Pregúntale a tus datos.</w:t>
      </w:r>
    </w:p>
    <w:p>
      <w:pPr>
        <w:spacing w:after="160" w:line="276"/>
      </w:pPr>
      <w:r>
        <w:t xml:space="preserve">El cierre del proyecto no es un tablero: es habilitar, por primera vez en GHVeggies, consultas en lenguaje natural sobre los datos de la empresa. Un líder de planta escribe una pregunta en español y obtiene una respuesta con datos reales, sin abrir un reporte ni pedir un export.</w:t>
      </w:r>
    </w:p>
    <w:p>
      <w:pPr>
        <w:pStyle w:val="Heading2"/>
      </w:pPr>
      <w:r>
        <w:t xml:space="preserve">Por qué es el último entregable y no el primero</w:t>
      </w:r>
    </w:p>
    <w:p>
      <w:pPr>
        <w:spacing w:after="160" w:line="276"/>
      </w:pPr>
      <w:r>
        <w:t xml:space="preserve">El LLM solo es confiable si los datos debajo están gobernados. Si los catálogos tienen drift, si las fuentes son archivos que un capturista puede romper, o si no hay capa semántica que defina qué significa cada métrica, el LLM responde con basura convincente. Por eso el DWH gobernado, los catálogos maestros y la capa semántica son el prerequisito: todo el proyecto existe para que esta capa funcione bien.</w:t>
      </w:r>
    </w:p>
    <w:p>
      <w:pPr>
        <w:pStyle w:val="Heading2"/>
      </w:pPr>
      <w:r>
        <w:t xml:space="preserve">Cómo funciona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8"/>
              <w:bottom w:val="single" w:color="2E75B6" w:sz="1"/>
              <w:right w:val="single" w:color="2E75B6" w:sz="1"/>
            </w:tcBorders>
            <w:shd w:fill="F4F7FB" w:val="clear"/>
            <w:tcMar>
              <w:top w:type="dxa" w:w="120"/>
              <w:left w:type="dxa" w:w="200"/>
              <w:bottom w:type="dxa" w:w="120"/>
              <w:right w:type="dxa" w:w="160"/>
            </w:tcMar>
          </w:tcPr>
          <w:p>
            <w:pPr>
              <w:spacing w:after="60"/>
            </w:pPr>
            <w:r>
              <w:rPr>
                <w:b/>
                <w:bCs/>
                <w:color w:val="2E75B6"/>
                <w:sz w:val="21"/>
                <w:szCs w:val="21"/>
              </w:rPr>
              <w:t xml:space="preserve">Flujo de consulta</w:t>
            </w:r>
          </w:p>
          <w:p>
            <w:pPr>
              <w:spacing w:after="60" w:line="264"/>
            </w:pPr>
            <w:r>
              <w:rPr>
                <w:sz w:val="20"/>
                <w:szCs w:val="20"/>
              </w:rPr>
              <w:t xml:space="preserve">1. El usuario escribe una pregunta en lenguaje natural (“¿cuál fue el scrap de empaque la semana pasada por predio?”).</w:t>
            </w:r>
          </w:p>
          <w:p>
            <w:pPr>
              <w:spacing w:after="60" w:line="264"/>
            </w:pPr>
            <w:r>
              <w:rPr>
                <w:sz w:val="20"/>
                <w:szCs w:val="20"/>
              </w:rPr>
              <w:t xml:space="preserve">2. El LLM (API de Anthropic) interpreta la pregunta sobre la capa semántica gobernada — conoce las tablas, los catálogos y qué significa cada KPI.</w:t>
            </w:r>
          </w:p>
          <w:p>
            <w:pPr>
              <w:spacing w:after="60" w:line="264"/>
            </w:pPr>
            <w:r>
              <w:rPr>
                <w:sz w:val="20"/>
                <w:szCs w:val="20"/>
              </w:rPr>
              <w:t xml:space="preserve">3. Traduce la intención a una consulta sobre el DWH SQL y recupera datos reales.</w:t>
            </w:r>
          </w:p>
          <w:p>
            <w:pPr>
              <w:spacing w:after="0" w:line="264"/>
            </w:pPr>
            <w:r>
              <w:rPr>
                <w:sz w:val="20"/>
                <w:szCs w:val="20"/>
              </w:rPr>
              <w:t xml:space="preserve">4. Devuelve la respuesta en lenguaje natural, con los números correctos y trazables al origen.</w:t>
            </w:r>
          </w:p>
        </w:tc>
      </w:tr>
    </w:tbl>
    <w:p>
      <w:pPr>
        <w:spacing w:after="160"/>
      </w:pPr>
      <w:r>
        <w:t xml:space="preserve"/>
      </w:r>
    </w:p>
    <w:p>
      <w:pPr>
        <w:pStyle w:val="Heading2"/>
      </w:pPr>
      <w:r>
        <w:t xml:space="preserve">Hitos de construcción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100"/>
        <w:gridCol w:w="3560"/>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Hito</w:t>
            </w:r>
          </w:p>
        </w:tc>
        <w:tc>
          <w:tcPr>
            <w:tcW w:type="dxa" w:w="4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Qué se entrega</w:t>
            </w:r>
          </w:p>
        </w:tc>
        <w:tc>
          <w:tcPr>
            <w:tcW w:type="dxa" w:w="3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w:t>
            </w:r>
          </w:p>
        </w:tc>
      </w:tr>
      <w:tr>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Semana 1</w:t>
            </w:r>
          </w:p>
        </w:tc>
        <w:tc>
          <w:tcPr>
            <w:tcW w:type="dxa" w:w="4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Prototipo de enganche: HTML que responde sobre 1 tabla de empaque vía API.</w:t>
            </w:r>
          </w:p>
        </w:tc>
        <w:tc>
          <w:tcPr>
            <w:tcW w:type="dxa" w:w="3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Demuestra factibilidad técnica desde el día 1.</w:t>
            </w:r>
          </w:p>
        </w:tc>
      </w:tr>
      <w:tr>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Semanas 4–5</w:t>
            </w:r>
          </w:p>
        </w:tc>
        <w:tc>
          <w:tcPr>
            <w:tcW w:type="dxa" w:w="4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Primer prototipo serio sobre la capa semántica. Demo a dirección.</w:t>
            </w:r>
          </w:p>
        </w:tc>
        <w:tc>
          <w:tcPr>
            <w:tcW w:type="dxa" w:w="3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Responde correctamente ≥5 preguntas reales de la Voz del Negocio.</w:t>
            </w:r>
          </w:p>
        </w:tc>
      </w:tr>
      <w:tr>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Semanas 6–7</w:t>
            </w:r>
          </w:p>
        </w:tc>
        <w:tc>
          <w:tcPr>
            <w:tcW w:type="dxa" w:w="4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LLM ampliado + gobernanza de accesos aplicada.</w:t>
            </w:r>
          </w:p>
        </w:tc>
        <w:tc>
          <w:tcPr>
            <w:tcW w:type="dxa" w:w="3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Responde 15–20 preguntas; matriz de accesos activa.</w:t>
            </w:r>
          </w:p>
        </w:tc>
      </w:tr>
      <w:tr>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Semana 8</w:t>
            </w:r>
          </w:p>
        </w:tc>
        <w:tc>
          <w:tcPr>
            <w:tcW w:type="dxa" w:w="4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Producción: LLM consultable en la presentación de cierre.</w:t>
            </w:r>
          </w:p>
        </w:tc>
        <w:tc>
          <w:tcPr>
            <w:tcW w:type="dxa" w:w="3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Demo en vivo con datos reales ante dirección.</w:t>
            </w:r>
          </w:p>
        </w:tc>
      </w:tr>
    </w:tbl>
    <w:p>
      <w:pPr>
        <w:spacing w:after="160"/>
      </w:pPr>
      <w:r>
        <w:t xml:space="preserve"/>
      </w:r>
    </w:p>
    <w:p>
      <w:pPr>
        <w:pStyle w:val="Heading2"/>
      </w:pPr>
      <w:r>
        <w:t xml:space="preserve">Gobernanza del acceso</w:t>
      </w:r>
    </w:p>
    <w:p>
      <w:pPr>
        <w:spacing w:after="160" w:line="276"/>
      </w:pPr>
      <w:r>
        <w:t xml:space="preserve">El LLM hereda la gobernanza del DW: matriz de accesos definida y aplicada antes de producción. Quién puede preguntar qué se controla en la capa de accesos, no en el prompt. La consulta es de lectura sobre el modelo gobernado.</w:t>
      </w:r>
    </w:p>
    <w:p>
      <w:pPr>
        <w:pStyle w:val="Heading2"/>
      </w:pPr>
      <w:r>
        <w:t xml:space="preserve">DoD del LLM (cierre del proyecto)</w:t>
      </w:r>
    </w:p>
    <w:p>
      <w:pPr>
        <w:spacing w:after="160" w:line="276"/>
      </w:pPr>
      <w:r>
        <w:t xml:space="preserve">El LLM responde correctamente ≥15 preguntas reales del documento de Voz del Negocio, con datos trazables al origen, gobernanza de accesos aplicada, y demostrado en vivo ante dirección en la Semana 8.</w:t>
      </w:r>
    </w:p>
    <w:p>
      <w:pPr>
        <w:pStyle w:val="Heading2"/>
      </w:pPr>
      <w:r>
        <w:t xml:space="preserve">Visión posterior (no compromete las 8 semanas)</w:t>
      </w:r>
    </w:p>
    <w:p>
      <w:pPr>
        <w:spacing w:after="0" w:line="276"/>
      </w:pPr>
      <w:r>
        <w:t xml:space="preserve">Una vez en producción, la capa de IA habilita la ruta de evolución 2027: agente de consultas por WhatsApp, forecast predictivo, detección automática de anomalías, recomendaciones operativas y causa raíz asistida por IA. Es la visión — no entra en el alcance del deadline, pero la arquitectura queda lista para ella.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360"/>
      </w:tabs>
    </w:pPr>
    <w:r>
      <w:rPr>
        <w:color w:val="595959"/>
        <w:sz w:val="16"/>
        <w:szCs w:val="16"/>
      </w:rPr>
      <w:t xml:space="preserve">Proyecto STEM · Plan de Trabajo</w:t>
    </w:r>
    <w:r>
      <w:rPr>
        <w:color w:val="595959"/>
        <w:sz w:val="16"/>
        <w:szCs w:val="16"/>
      </w:rPr>
      <w:t xml:space="preserve">	Business Intelligence · GHVeggies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STEM — Plan de Trabajo</dc:title>
  <dc:creator>Business Intelligence · GHVeggies</dc:creator>
  <cp:lastModifiedBy>Un-named</cp:lastModifiedBy>
  <cp:revision>1</cp:revision>
  <dcterms:created xsi:type="dcterms:W3CDTF">2026-06-13T16:24:25.862Z</dcterms:created>
  <dcterms:modified xsi:type="dcterms:W3CDTF">2026-06-13T16:24:25.862Z</dcterms:modified>
</cp:coreProperties>
</file>

<file path=docProps/custom.xml><?xml version="1.0" encoding="utf-8"?>
<Properties xmlns="http://schemas.openxmlformats.org/officeDocument/2006/custom-properties" xmlns:vt="http://schemas.openxmlformats.org/officeDocument/2006/docPropsVTypes"/>
</file>