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E3A"/>
          <w:sz w:val="44"/>
          <w:szCs w:val="44"/>
        </w:rPr>
        <w:t xml:space="preserve">PLAN DE TRABAJO</w:t>
      </w:r>
    </w:p>
    <w:p>
      <w:pPr>
        <w:spacing w:after="40"/>
        <w:jc w:val="center"/>
      </w:pPr>
      <w:r>
        <w:rPr>
          <w:color w:val="5D6B60"/>
          <w:sz w:val="26"/>
          <w:szCs w:val="26"/>
        </w:rPr>
        <w:t xml:space="preserve">Proyecto STEM — Datawarehouse SQL de GHVeggies</w:t>
      </w:r>
    </w:p>
    <w:p>
      <w:pPr>
        <w:spacing w:after="40"/>
        <w:jc w:val="center"/>
      </w:pPr>
      <w:r>
        <w:rPr>
          <w:color w:val="5D6B60"/>
          <w:sz w:val="20"/>
          <w:szCs w:val="20"/>
        </w:rPr>
        <w:t xml:space="preserve">Versión 2 · Alcance reescrito · 25 de junio de 2026</w:t>
      </w:r>
    </w:p>
    <w:p>
      <w:pPr>
        <w:spacing w:after="300"/>
        <w:jc w:val="center"/>
      </w:pPr>
      <w:r>
        <w:rPr>
          <w:b/>
          <w:bCs/>
          <w:color w:val="2E5E3A"/>
          <w:sz w:val="20"/>
          <w:szCs w:val="20"/>
        </w:rPr>
        <w:t xml:space="preserve">Inicio: 22 jun 2026 (NS25) · Cierre: 14 ago 2026 (NS32) · 8 semanas</w:t>
      </w:r>
    </w:p>
    <w:p>
      <w:pPr>
        <w:pStyle w:val="Heading1"/>
      </w:pPr>
      <w:r>
        <w:t xml:space="preserve">1. Resumen ejecutivo y decisión de alcance</w:t>
      </w:r>
    </w:p>
    <w:p>
      <w:pPr>
        <w:spacing w:after="100"/>
      </w:pPr>
      <w:r>
        <w:rPr>
          <w:sz w:val="20"/>
          <w:szCs w:val="20"/>
        </w:rPr>
        <w:t xml:space="preserve">Este plan reescribe el alcance del proyecto tras la revisión del 25 de junio. La fecha de cierre se mantiene firme en el 14 de agosto de 2026. Lo que cambia es QUÉ se entrega en esa fecha, basado en una restricción real que el plan original no dimensionaba: el universo de formatos a estandarizar es de aproximadamente 79, no de 20.</w:t>
      </w:r>
    </w:p>
    <w:p>
      <w:pPr>
        <w:spacing w:after="100"/>
      </w:pPr>
      <w:r>
        <w:rPr>
          <w:b/>
          <w:bCs/>
          <w:sz w:val="20"/>
          <w:szCs w:val="20"/>
        </w:rPr>
        <w:t xml:space="preserve">Decisión tomada (Armando):</w:t>
      </w:r>
    </w:p>
    <w:p>
      <w:pPr>
        <w:pStyle w:val="ListParagraph"/>
        <w:numPr>
          <w:ilvl w:val="0"/>
          <w:numId w:val="2"/>
        </w:numPr>
        <w:spacing w:after="60"/>
      </w:pPr>
      <w:r>
        <w:rPr>
          <w:b/>
          <w:bCs/>
          <w:sz w:val="20"/>
          <w:szCs w:val="20"/>
        </w:rPr>
        <w:t xml:space="preserve">Se mantiene la fecha del 14 de agosto.</w:t>
      </w:r>
    </w:p>
    <w:p>
      <w:pPr>
        <w:pStyle w:val="ListParagraph"/>
        <w:numPr>
          <w:ilvl w:val="0"/>
          <w:numId w:val="2"/>
        </w:numPr>
        <w:spacing w:after="60"/>
      </w:pPr>
      <w:r>
        <w:rPr>
          <w:b/>
          <w:bCs/>
          <w:sz w:val="20"/>
          <w:szCs w:val="20"/>
        </w:rPr>
        <w:t xml:space="preserve">Se mantiene COMPLETA la estructura SQL: todas las áreas montadas, pobladas y conectadas a Power BI (Nivel 1).</w:t>
      </w:r>
    </w:p>
    <w:p>
      <w:pPr>
        <w:pStyle w:val="ListParagraph"/>
        <w:numPr>
          <w:ilvl w:val="0"/>
          <w:numId w:val="2"/>
        </w:numPr>
        <w:spacing w:after="60"/>
      </w:pPr>
      <w:r>
        <w:rPr>
          <w:b/>
          <w:bCs/>
          <w:sz w:val="20"/>
          <w:szCs w:val="20"/>
        </w:rPr>
        <w:t xml:space="preserve">Se RECORTA el alcance de IA: la demo de LLM cubre solo 2–3 áreas, no todas.</w:t>
      </w:r>
    </w:p>
    <w:p>
      <w:pPr>
        <w:pStyle w:val="ListParagraph"/>
        <w:numPr>
          <w:ilvl w:val="0"/>
          <w:numId w:val="2"/>
        </w:numPr>
        <w:spacing w:after="60"/>
      </w:pPr>
      <w:r>
        <w:rPr>
          <w:b/>
          <w:bCs/>
          <w:sz w:val="20"/>
          <w:szCs w:val="20"/>
        </w:rPr>
        <w:t xml:space="preserve">Los CTS completos de los 79 formatos pasan a backlog priorizado post-cierre.</w:t>
      </w:r>
    </w:p>
    <w:p>
      <w:pPr>
        <w:pStyle w:val="ListParagraph"/>
        <w:numPr>
          <w:ilvl w:val="0"/>
          <w:numId w:val="2"/>
        </w:numPr>
        <w:spacing w:after="60"/>
      </w:pPr>
      <w:r>
        <w:rPr>
          <w:b/>
          <w:bCs/>
          <w:sz w:val="20"/>
          <w:szCs w:val="20"/>
        </w:rPr>
        <w:t xml:space="preserve">El método de transformación CTS se transfiere a Fernando para paralelizar.</w:t>
      </w:r>
    </w:p>
    <w:p>
      <w:pPr>
        <w:spacing w:after="160"/>
      </w:pPr>
    </w:p>
    <w:p>
      <w:pPr>
        <w:pStyle w:val="Heading1"/>
      </w:pPr>
      <w:r>
        <w:t xml:space="preserve">2. Definición de Hecho: los dos niveles</w:t>
      </w:r>
    </w:p>
    <w:p>
      <w:pPr>
        <w:spacing w:after="100"/>
      </w:pPr>
      <w:r>
        <w:rPr>
          <w:sz w:val="20"/>
          <w:szCs w:val="20"/>
        </w:rPr>
        <w:t xml:space="preserve">La clave del plan es distinguir dos niveles de "terminado". El compromiso del 14 de agosto es Nivel 1 para todas las áreas, y Nivel 2 solo para las áreas de la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Nivel</w:t>
            </w:r>
          </w:p>
        </w:tc>
        <w:tc>
          <w:tcPr>
            <w:tcW w:type="dxa" w:w="388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Qué significa</w:t>
            </w:r>
          </w:p>
        </w:tc>
        <w:tc>
          <w:tcPr>
            <w:tcW w:type="dxa" w:w="388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Compromiso 14 ago</w:t>
            </w:r>
          </w:p>
        </w:tc>
      </w:tr>
      <w:tr>
        <w:tc>
          <w:tcPr>
            <w:tcW w:type="dxa" w:w="16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Nivel 1
Estructura</w:t>
            </w:r>
          </w:p>
        </w:tc>
        <w:tc>
          <w:tcPr>
            <w:tcW w:type="dxa" w:w="388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La tabla existe en SQL con su diseño de hechos y dimensiones, está poblada con dato real y Power BI se conecta a ella. CTS en versión mínima viable.</w:t>
            </w:r>
          </w:p>
        </w:tc>
        <w:tc>
          <w:tcPr>
            <w:tcW w:type="dxa" w:w="388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TODAS las áreas críticas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Nivel 2
Completo + IA</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CTS completo y validado en campo con el dueño del dato, capa semántica cerrada y LLM respondiendo preguntas reales sobre el área.</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Solo 2–3 áreas (Empaque + las de la demo)</w:t>
            </w:r>
          </w:p>
        </w:tc>
      </w:tr>
    </w:tbl>
    <w:p>
      <w:pPr>
        <w:spacing w:after="160"/>
      </w:pPr>
    </w:p>
    <w:p>
      <w:pPr>
        <w:spacing w:after="100"/>
      </w:pPr>
      <w:r>
        <w:rPr>
          <w:i/>
          <w:iCs/>
          <w:sz w:val="20"/>
          <w:szCs w:val="20"/>
        </w:rPr>
        <w:t xml:space="preserve">Por qué esta distinción salva el proyecto: replicar la ESTRUCTURA (Nivel 1) es rápido porque el molde ya está probado con Empaque. Lo que toma tiempo es el CTS completo validado por los 79 formatos (Nivel 2). Bajamos la barra de "IA en todo" a "estructura en todo, IA en lo esencial".</w:t>
      </w:r>
    </w:p>
    <w:p>
      <w:pPr>
        <w:spacing w:after="160"/>
      </w:pPr>
    </w:p>
    <w:p>
      <w:pPr>
        <w:pStyle w:val="Heading1"/>
      </w:pPr>
      <w:r>
        <w:t xml:space="preserve">3. Viabilidad de la fecha (evaluación honesta)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Escenario</w:t>
            </w:r>
          </w:p>
        </w:tc>
        <w:tc>
          <w:tcPr>
            <w:tcW w:type="dxa" w:w="468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Probabilidad de cumplir 14 ago</w:t>
            </w:r>
          </w:p>
        </w:tc>
      </w:tr>
      <w:tr>
        <w:tc>
          <w:tcPr>
            <w:tcW w:type="dxa" w:w="468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Alcance original (IA completa sobre todas las áreas)</w:t>
            </w:r>
          </w:p>
        </w:tc>
        <w:tc>
          <w:tcPr>
            <w:tcW w:type="dxa" w:w="468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&lt; 20% — inviable</w:t>
            </w:r>
          </w:p>
        </w:tc>
      </w:tr>
      <w:tr>
        <w:tc>
          <w:tcPr>
            <w:tcW w:type="dxa" w:w="468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Alcance reescrito (Nivel 1 todas + IA en 2–3)</w:t>
            </w:r>
          </w:p>
        </w:tc>
        <w:tc>
          <w:tcPr>
            <w:tcW w:type="dxa" w:w="468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60–65% — ajustado pero defendible</w:t>
            </w:r>
          </w:p>
        </w:tc>
      </w:tr>
    </w:tbl>
    <w:p>
      <w:pPr>
        <w:spacing w:after="100"/>
      </w:pPr>
      <w:r>
        <w:rPr>
          <w:i/>
          <w:iCs/>
          <w:sz w:val="20"/>
          <w:szCs w:val="20"/>
        </w:rPr>
        <w:t xml:space="preserve">El salto de probabilidad viene de dos decisiones: recortar IA y paralelizar el CTS con Fernando. Sin esas dos, ni a Nivel 1 se llega con todas las áreas.</w:t>
      </w:r>
    </w:p>
    <w:p>
      <w:pPr>
        <w:spacing w:after="160"/>
      </w:pPr>
    </w:p>
    <w:p>
      <w:pPr>
        <w:pStyle w:val="Heading1"/>
      </w:pPr>
      <w:r>
        <w:t xml:space="preserve">4. Universo real de formatos a estandarizar (CTS)</w:t>
      </w:r>
    </w:p>
    <w:p>
      <w:pPr>
        <w:spacing w:after="100"/>
      </w:pPr>
      <w:r>
        <w:rPr>
          <w:sz w:val="20"/>
          <w:szCs w:val="20"/>
        </w:rPr>
        <w:t xml:space="preserve">Inventario declarado por Armando. ~79 formatos requieren CTS. La mayoría son backlog post-cierre; solo los de las áreas de la demo necesitan CTS completo para el 14 de agosto.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680"/>
        <w:gridCol w:w="2880"/>
      </w:tblGrid>
      <w:tr>
        <w:trPr>
          <w:tblHeader/>
        </w:trPr>
        <w:tc>
          <w:tcPr>
            <w:tcW w:type="dxa" w:w="34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Área</w:t>
            </w:r>
          </w:p>
        </w:tc>
        <w:tc>
          <w:tcPr>
            <w:tcW w:type="dxa" w:w="14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Formatos</w:t>
            </w:r>
          </w:p>
        </w:tc>
        <w:tc>
          <w:tcPr>
            <w:tcW w:type="dxa" w:w="168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Fase</w:t>
            </w:r>
          </w:p>
        </w:tc>
        <w:tc>
          <w:tcPr>
            <w:tcW w:type="dxa" w:w="288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Nota</w:t>
            </w:r>
          </w:p>
        </w:tc>
      </w:tr>
      <w:tr>
        <w:tc>
          <w:tcPr>
            <w:tcW w:type="dxa" w:w="340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Empaque</w:t>
            </w:r>
          </w:p>
        </w:tc>
        <w:tc>
          <w:tcPr>
            <w:tcW w:type="dxa" w:w="140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Ya en SQL (Fact_Empaque)</w:t>
            </w:r>
          </w:p>
        </w:tc>
      </w:tr>
      <w:tr>
        <w:tc>
          <w:tcPr>
            <w:tcW w:type="dxa" w:w="340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Empaque GHS</w:t>
            </w:r>
          </w:p>
        </w:tc>
        <w:tc>
          <w:tcPr>
            <w:tcW w:type="dxa" w:w="140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2</w:t>
            </w:r>
          </w:p>
        </w:tc>
        <w:tc>
          <w:tcPr>
            <w:tcW w:type="dxa" w:w="168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shd w:fill="E6F1E9" w:val="clear"/>
            <w:tcMar>
              <w:top w:type="dxa" w:w="80"/>
              <w:left w:type="dxa" w:w="120"/>
              <w:bottom w:type="dxa" w:w="80"/>
              <w:right w:type="dxa" w:w="120"/>
            </w:tcMar>
          </w:tcPr>
          <w:p>
            <w:pPr>
              <w:spacing w:after="40"/>
            </w:pPr>
            <w:r>
              <w:rPr>
                <w:sz w:val="19"/>
                <w:szCs w:val="19"/>
              </w:rPr>
              <w:t xml:space="preserve">Ya en SQL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SEED (Planner)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Extraíble de Planner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Finanzas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Invernadero — cumplimiento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Invernadero — eficiencia 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CropData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Candidata a demo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Capital Humano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Calidad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Candidata a demo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Calidad Waste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MIP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Estructura Nivel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Gas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Candidata a demo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Mantenimiento Preventivo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SharePoint List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Mantenimiento Correctivo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SharePoint List</w:t>
            </w:r>
          </w:p>
        </w:tc>
      </w:tr>
      <w:tr>
        <w:tc>
          <w:tcPr>
            <w:tcW w:type="dxa" w:w="3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Ridder (CSV → eficiencia)</w:t>
            </w:r>
          </w:p>
        </w:tc>
        <w:tc>
          <w:tcPr>
            <w:tcW w:type="dxa" w:w="1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2</w:t>
            </w:r>
          </w:p>
        </w:tc>
        <w:tc>
          <w:tcPr>
            <w:tcW w:type="dxa" w:w="288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ETL nuevo, mini-proyecto</w:t>
            </w:r>
          </w:p>
        </w:tc>
      </w:tr>
      <w:tr>
        <w:tc>
          <w:tcPr>
            <w:tcW w:type="dxa" w:w="3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SISSO</w:t>
            </w:r>
          </w:p>
        </w:tc>
        <w:tc>
          <w:tcPr>
            <w:tcW w:type="dxa" w:w="1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6</w:t>
            </w:r>
          </w:p>
        </w:tc>
        <w:tc>
          <w:tcPr>
            <w:tcW w:type="dxa" w:w="168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2</w:t>
            </w:r>
          </w:p>
        </w:tc>
        <w:tc>
          <w:tcPr>
            <w:tcW w:type="dxa" w:w="288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Otro tenant, cálculos propios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Forecast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No se mueve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Finanzas triángulo de valor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No se mueve</w:t>
            </w:r>
          </w:p>
        </w:tc>
      </w:tr>
    </w:tbl>
    <w:p>
      <w:pPr>
        <w:spacing w:after="160"/>
      </w:pPr>
    </w:p>
    <w:p>
      <w:pPr>
        <w:pStyle w:val="Heading1"/>
      </w:pPr>
      <w:r>
        <w:t xml:space="preserve">5. Timeline confirmado (8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200"/>
        <w:gridCol w:w="4060"/>
      </w:tblGrid>
      <w:tr>
        <w:trPr>
          <w:tblHeader/>
        </w:trPr>
        <w:tc>
          <w:tcPr>
            <w:tcW w:type="dxa" w:w="12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Semana</w:t>
            </w:r>
          </w:p>
        </w:tc>
        <w:tc>
          <w:tcPr>
            <w:tcW w:type="dxa" w:w="19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NS</w:t>
            </w:r>
          </w:p>
        </w:tc>
        <w:tc>
          <w:tcPr>
            <w:tcW w:type="dxa" w:w="22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Fechas</w:t>
            </w:r>
          </w:p>
        </w:tc>
        <w:tc>
          <w:tcPr>
            <w:tcW w:type="dxa" w:w="406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Foco</w:t>
            </w:r>
          </w:p>
        </w:tc>
      </w:tr>
      <w:tr>
        <w:tc>
          <w:tcPr>
            <w:tcW w:type="dxa" w:w="1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S1</w:t>
            </w:r>
          </w:p>
        </w:tc>
        <w:tc>
          <w:tcPr>
            <w:tcW w:type="dxa" w:w="19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NS25</w:t>
            </w:r>
          </w:p>
        </w:tc>
        <w:tc>
          <w:tcPr>
            <w:tcW w:type="dxa" w:w="2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22–27 jun</w:t>
            </w:r>
          </w:p>
        </w:tc>
        <w:tc>
          <w:tcPr>
            <w:tcW w:type="dxa" w:w="406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Sprint 0: Voz del negocio, inventario, modelo, Empaque vivo (CERRANDO)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NS26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29 jun–4 jul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CTS método a Fernando; D_Semana/D_Dia; primeras 3–4 áreas a SQL Nivel 1</w:t>
            </w:r>
          </w:p>
        </w:tc>
      </w:tr>
      <w:tr>
        <w:tc>
          <w:tcPr>
            <w:tcW w:type="dxa" w:w="1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S3</w:t>
            </w:r>
          </w:p>
        </w:tc>
        <w:tc>
          <w:tcPr>
            <w:tcW w:type="dxa" w:w="19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NS27</w:t>
            </w:r>
          </w:p>
        </w:tc>
        <w:tc>
          <w:tcPr>
            <w:tcW w:type="dxa" w:w="2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6–11 jul</w:t>
            </w:r>
          </w:p>
        </w:tc>
        <w:tc>
          <w:tcPr>
            <w:tcW w:type="dxa" w:w="406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Carga masiva Nivel 1; primer reporte sobre SQL (quick win)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NS28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13–18 jul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Resto de áreas GHVeggies a Nivel 1; áreas Ganfer marcadas por VPN</w:t>
            </w:r>
          </w:p>
        </w:tc>
      </w:tr>
      <w:tr>
        <w:tc>
          <w:tcPr>
            <w:tcW w:type="dxa" w:w="1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S5</w:t>
            </w:r>
          </w:p>
        </w:tc>
        <w:tc>
          <w:tcPr>
            <w:tcW w:type="dxa" w:w="19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NS29</w:t>
            </w:r>
          </w:p>
        </w:tc>
        <w:tc>
          <w:tcPr>
            <w:tcW w:type="dxa" w:w="2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20–25 jul</w:t>
            </w:r>
          </w:p>
        </w:tc>
        <w:tc>
          <w:tcPr>
            <w:tcW w:type="dxa" w:w="406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Capa semántica + LLM sobre 2–3 áreas; demo a dirección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NS30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27 jul–1 ago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Conexión Power BI de todas las áreas Nivel 1; hardening</w:t>
            </w:r>
          </w:p>
        </w:tc>
      </w:tr>
      <w:tr>
        <w:tc>
          <w:tcPr>
            <w:tcW w:type="dxa" w:w="1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S7</w:t>
            </w:r>
          </w:p>
        </w:tc>
        <w:tc>
          <w:tcPr>
            <w:tcW w:type="dxa" w:w="19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NS31</w:t>
            </w:r>
          </w:p>
        </w:tc>
        <w:tc>
          <w:tcPr>
            <w:tcW w:type="dxa" w:w="2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3–8 ago</w:t>
            </w:r>
          </w:p>
        </w:tc>
        <w:tc>
          <w:tcPr>
            <w:tcW w:type="dxa" w:w="406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Validación, ajustes, documentación de linaje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S8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NS32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10–14 ago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Cierre: todas las áreas en SQL conectadas + demo IA + entrega</w:t>
            </w:r>
          </w:p>
        </w:tc>
      </w:tr>
    </w:tbl>
    <w:p>
      <w:pPr>
        <w:spacing w:after="160"/>
      </w:pPr>
    </w:p>
    <w:p>
      <w:pPr>
        <w:pStyle w:val="Heading1"/>
      </w:pPr>
      <w:r>
        <w:t xml:space="preserve">6. Equipo y responsabilidades (ajustadas)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Persona</w:t>
            </w:r>
          </w:p>
        </w:tc>
        <w:tc>
          <w:tcPr>
            <w:tcW w:type="dxa" w:w="716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Responsabilidad en este alcance</w:t>
            </w:r>
          </w:p>
        </w:tc>
      </w:tr>
      <w:tr>
        <w:tc>
          <w:tcPr>
            <w:tcW w:type="dxa" w:w="2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Armando</w:t>
            </w:r>
          </w:p>
        </w:tc>
        <w:tc>
          <w:tcPr>
            <w:tcW w:type="dxa" w:w="716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Arquitectura, DDL, modelo dimensional de cada área, capa semántica, LLM sobre las 2–3 áreas de demo, dirección.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Fernando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19"/>
                <w:szCs w:val="19"/>
              </w:rPr>
              <w:t xml:space="preserve">TOMA EL PROCESO CTS (método transferido por Armando). Genera CTS mínimo viable por área, ETL, automatización de cargas. Es la palanca de paralelización.</w:t>
            </w:r>
          </w:p>
        </w:tc>
      </w:tr>
      <w:tr>
        <w:tc>
          <w:tcPr>
            <w:tcW w:type="dxa" w:w="220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Avelina</w:t>
            </w:r>
          </w:p>
        </w:tc>
        <w:tc>
          <w:tcPr>
            <w:tcW w:type="dxa" w:w="7160"/>
            <w:tcBorders>
              <w:top w:val="single" w:color="CCCCCC" w:sz="1"/>
              <w:left w:val="single" w:color="CCCCCC" w:sz="1"/>
              <w:bottom w:val="single" w:color="CCCCCC" w:sz="1"/>
              <w:right w:val="single" w:color="CCCCCC" w:sz="1"/>
            </w:tcBorders>
            <w:shd w:fill="EAF1EC" w:val="clear"/>
            <w:tcMar>
              <w:top w:type="dxa" w:w="80"/>
              <w:left w:type="dxa" w:w="120"/>
              <w:bottom w:type="dxa" w:w="80"/>
              <w:right w:type="dxa" w:w="120"/>
            </w:tcMar>
          </w:tcPr>
          <w:p>
            <w:pPr>
              <w:spacing w:after="40"/>
            </w:pPr>
            <w:r>
              <w:rPr>
                <w:sz w:val="19"/>
                <w:szCs w:val="19"/>
              </w:rPr>
              <w:t xml:space="preserve">Cierra Voz del Negocio, valida en campo, audita los reportes, prepara el banco de preguntas del LLM para las áreas de demo.</w:t>
            </w:r>
          </w:p>
        </w:tc>
      </w:tr>
    </w:tbl>
    <w:p>
      <w:pPr>
        <w:spacing w:after="100"/>
      </w:pPr>
      <w:r>
        <w:rPr>
          <w:b/>
          <w:bCs/>
          <w:i/>
          <w:iCs/>
          <w:sz w:val="20"/>
          <w:szCs w:val="20"/>
        </w:rPr>
        <w:t xml:space="preserve">Cambio clave: al transferir el método CTS a Fernando, Armando deja de ser el cuello de botella en la generación de plantillas. Esto es lo que hace viable cubrir todas las áreas a Nivel 1.</w:t>
      </w:r>
    </w:p>
    <w:p>
      <w:pPr>
        <w:spacing w:after="160"/>
      </w:pPr>
    </w:p>
    <w:p>
      <w:pPr>
        <w:pStyle w:val="Heading1"/>
      </w:pPr>
      <w: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Riesgo</w:t>
            </w:r>
          </w:p>
        </w:tc>
        <w:tc>
          <w:tcPr>
            <w:tcW w:type="dxa" w:w="140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Prob.</w:t>
            </w:r>
          </w:p>
        </w:tc>
        <w:tc>
          <w:tcPr>
            <w:tcW w:type="dxa" w:w="4960"/>
            <w:tcBorders>
              <w:top w:val="single" w:color="CCCCCC" w:sz="1"/>
              <w:left w:val="single" w:color="CCCCCC" w:sz="1"/>
              <w:bottom w:val="single" w:color="CCCCCC" w:sz="1"/>
              <w:right w:val="single" w:color="CCCCCC" w:sz="1"/>
            </w:tcBorders>
            <w:shd w:fill="2E5E3A" w:val="clear"/>
            <w:tcMar>
              <w:top w:type="dxa" w:w="80"/>
              <w:left w:type="dxa" w:w="120"/>
              <w:bottom w:type="dxa" w:w="80"/>
              <w:right w:type="dxa" w:w="120"/>
            </w:tcMar>
          </w:tcPr>
          <w:p>
            <w:r>
              <w:rPr>
                <w:b/>
                <w:bCs/>
                <w:color w:val="FFFFFF"/>
                <w:sz w:val="19"/>
                <w:szCs w:val="19"/>
              </w:rPr>
              <w:t xml:space="preserve">Mitigación</w:t>
            </w:r>
          </w:p>
        </w:tc>
      </w:tr>
      <w:tr>
        <w:tc>
          <w:tcPr>
            <w:tcW w:type="dxa" w:w="300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Áreas Ganfer/GSO bloqueadas por VPN</w:t>
            </w:r>
          </w:p>
        </w:tc>
        <w:tc>
          <w:tcPr>
            <w:tcW w:type="dxa" w:w="140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Alta</w:t>
            </w:r>
          </w:p>
        </w:tc>
        <w:tc>
          <w:tcPr>
            <w:tcW w:type="dxa" w:w="496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Marcar explícitamente como dependientes de red. La causa es infraestructura, no ejecución. Escalar a Mauricio en S2.</w:t>
            </w:r>
          </w:p>
        </w:tc>
      </w:tr>
      <w:tr>
        <w:tc>
          <w:tcPr>
            <w:tcW w:type="dxa" w:w="30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79 CTS no caben en 8 semanas</w:t>
            </w:r>
          </w:p>
        </w:tc>
        <w:tc>
          <w:tcPr>
            <w:tcW w:type="dxa" w:w="1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Confirmada</w:t>
            </w:r>
          </w:p>
        </w:tc>
        <w:tc>
          <w:tcPr>
            <w:tcW w:type="dxa" w:w="496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Solo CTS mínimo viable en Fase 1; CTS completo a backlog. Fernando paraleliza.</w:t>
            </w:r>
          </w:p>
        </w:tc>
      </w:tr>
      <w:tr>
        <w:tc>
          <w:tcPr>
            <w:tcW w:type="dxa" w:w="30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Variedades sin validar (Empaque)</w:t>
            </w:r>
          </w:p>
        </w:tc>
        <w:tc>
          <w:tcPr>
            <w:tcW w:type="dxa" w:w="1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Media</w:t>
            </w:r>
          </w:p>
        </w:tc>
        <w:tc>
          <w:tcPr>
            <w:tcW w:type="dxa" w:w="496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Avelina con Victor Carrasco en S2; bloquea el reporte limpio.</w:t>
            </w:r>
          </w:p>
        </w:tc>
      </w:tr>
      <w:tr>
        <w:tc>
          <w:tcPr>
            <w:tcW w:type="dxa" w:w="300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Migración local → GHS_BI productivo</w:t>
            </w:r>
          </w:p>
        </w:tc>
        <w:tc>
          <w:tcPr>
            <w:tcW w:type="dxa" w:w="140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Alta</w:t>
            </w:r>
          </w:p>
        </w:tc>
        <w:tc>
          <w:tcPr>
            <w:tcW w:type="dxa" w:w="4960"/>
            <w:tcBorders>
              <w:top w:val="single" w:color="CCCCCC" w:sz="1"/>
              <w:left w:val="single" w:color="CCCCCC" w:sz="1"/>
              <w:bottom w:val="single" w:color="CCCCCC" w:sz="1"/>
              <w:right w:val="single" w:color="CCCCCC" w:sz="1"/>
            </w:tcBorders>
            <w:shd w:fill="FBE6E3" w:val="clear"/>
            <w:tcMar>
              <w:top w:type="dxa" w:w="80"/>
              <w:left w:type="dxa" w:w="120"/>
              <w:bottom w:type="dxa" w:w="80"/>
              <w:right w:type="dxa" w:w="120"/>
            </w:tcMar>
          </w:tcPr>
          <w:p>
            <w:pPr>
              <w:spacing w:after="40"/>
            </w:pPr>
            <w:r>
              <w:rPr>
                <w:sz w:val="19"/>
                <w:szCs w:val="19"/>
              </w:rPr>
              <w:t xml:space="preserve">Coordinar con TI/Data Analytics; sin esto nada llega a Power BI Service.</w:t>
            </w:r>
          </w:p>
        </w:tc>
      </w:tr>
      <w:tr>
        <w:tc>
          <w:tcPr>
            <w:tcW w:type="dxa" w:w="30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App Registration / Graph no llega</w:t>
            </w:r>
          </w:p>
        </w:tc>
        <w:tc>
          <w:tcPr>
            <w:tcW w:type="dxa" w:w="1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Media</w:t>
            </w:r>
          </w:p>
        </w:tc>
        <w:tc>
          <w:tcPr>
            <w:tcW w:type="dxa" w:w="496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Carga manual semana a semana como plan B mientras llega.</w:t>
            </w:r>
          </w:p>
        </w:tc>
      </w:tr>
      <w:tr>
        <w:tc>
          <w:tcPr>
            <w:tcW w:type="dxa" w:w="30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Sobrecarga del equipo (3 personas, 15 áreas)</w:t>
            </w:r>
          </w:p>
        </w:tc>
        <w:tc>
          <w:tcPr>
            <w:tcW w:type="dxa" w:w="140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Media</w:t>
            </w:r>
          </w:p>
        </w:tc>
        <w:tc>
          <w:tcPr>
            <w:tcW w:type="dxa" w:w="4960"/>
            <w:tcBorders>
              <w:top w:val="single" w:color="CCCCCC" w:sz="1"/>
              <w:left w:val="single" w:color="CCCCCC" w:sz="1"/>
              <w:bottom w:val="single" w:color="CCCCCC" w:sz="1"/>
              <w:right w:val="single" w:color="CCCCCC" w:sz="1"/>
            </w:tcBorders>
            <w:shd w:fill="FBF1DC" w:val="clear"/>
            <w:tcMar>
              <w:top w:type="dxa" w:w="80"/>
              <w:left w:type="dxa" w:w="120"/>
              <w:bottom w:type="dxa" w:w="80"/>
              <w:right w:type="dxa" w:w="120"/>
            </w:tcMar>
          </w:tcPr>
          <w:p>
            <w:pPr>
              <w:spacing w:after="40"/>
            </w:pPr>
            <w:r>
              <w:rPr>
                <w:sz w:val="19"/>
                <w:szCs w:val="19"/>
              </w:rPr>
              <w:t xml:space="preserve">Nivel 1 es replicación de molde, no diseño desde cero. Priorizar sobre la marcha.</w:t>
            </w:r>
          </w:p>
        </w:tc>
      </w:tr>
    </w:tbl>
    <w:p>
      <w:pPr>
        <w:spacing w:after="160"/>
      </w:pPr>
    </w:p>
    <w:p>
      <w:pPr>
        <w:pStyle w:val="Heading1"/>
      </w:pPr>
      <w:r>
        <w:t xml:space="preserve">8. Definición de Hecho del proyecto (14 ago)</w:t>
      </w:r>
    </w:p>
    <w:p>
      <w:pPr>
        <w:pStyle w:val="ListParagraph"/>
        <w:numPr>
          <w:ilvl w:val="0"/>
          <w:numId w:val="2"/>
        </w:numPr>
        <w:spacing w:after="60"/>
      </w:pPr>
      <w:r>
        <w:rPr>
          <w:sz w:val="20"/>
          <w:szCs w:val="20"/>
        </w:rPr>
        <w:t xml:space="preserve">Todas las áreas críticas montadas en SQL a Nivel 1: estructura + dato + conexión a Power BI.</w:t>
      </w:r>
    </w:p>
    <w:p>
      <w:pPr>
        <w:pStyle w:val="ListParagraph"/>
        <w:numPr>
          <w:ilvl w:val="0"/>
          <w:numId w:val="2"/>
        </w:numPr>
        <w:spacing w:after="60"/>
      </w:pPr>
      <w:r>
        <w:rPr>
          <w:sz w:val="20"/>
          <w:szCs w:val="20"/>
        </w:rPr>
        <w:t xml:space="preserve">Al menos un reporte de Power BI corriendo sobre SQL con before/after de refresco medido.</w:t>
      </w:r>
    </w:p>
    <w:p>
      <w:pPr>
        <w:pStyle w:val="ListParagraph"/>
        <w:numPr>
          <w:ilvl w:val="0"/>
          <w:numId w:val="2"/>
        </w:numPr>
        <w:spacing w:after="60"/>
      </w:pPr>
      <w:r>
        <w:rPr>
          <w:sz w:val="20"/>
          <w:szCs w:val="20"/>
        </w:rPr>
        <w:t xml:space="preserve">LLM respondiendo ≥15 preguntas reales sobre 2–3 áreas (Empaque + demo).</w:t>
      </w:r>
    </w:p>
    <w:p>
      <w:pPr>
        <w:pStyle w:val="ListParagraph"/>
        <w:numPr>
          <w:ilvl w:val="0"/>
          <w:numId w:val="2"/>
        </w:numPr>
        <w:spacing w:after="60"/>
      </w:pPr>
      <w:r>
        <w:rPr>
          <w:sz w:val="20"/>
          <w:szCs w:val="20"/>
        </w:rPr>
        <w:t xml:space="preserve">Documentación de linaje y backlog de CTS completos priorizado para Fase 2.</w:t>
      </w:r>
    </w:p>
    <w:p>
      <w:pPr>
        <w:pStyle w:val="ListParagraph"/>
        <w:numPr>
          <w:ilvl w:val="0"/>
          <w:numId w:val="2"/>
        </w:numPr>
        <w:spacing w:after="60"/>
      </w:pPr>
      <w:r>
        <w:rPr>
          <w:sz w:val="20"/>
          <w:szCs w:val="20"/>
        </w:rPr>
        <w:t xml:space="preserve">Áreas Ganfer/GSO entregadas si la VPN se resolvió; marcadas como dependientes si no.</w:t>
      </w:r>
    </w:p>
    <w:p>
      <w:pPr>
        <w:spacing w:after="160"/>
      </w:pPr>
    </w:p>
    <w:p>
      <w:pPr>
        <w:pStyle w:val="Heading1"/>
      </w:pPr>
      <w:r>
        <w:t xml:space="preserve">9. Backlog post-cierre (Fase 2)</w:t>
      </w:r>
    </w:p>
    <w:p>
      <w:pPr>
        <w:pStyle w:val="ListParagraph"/>
        <w:numPr>
          <w:ilvl w:val="0"/>
          <w:numId w:val="2"/>
        </w:numPr>
        <w:spacing w:after="60"/>
      </w:pPr>
      <w:r>
        <w:rPr>
          <w:sz w:val="20"/>
          <w:szCs w:val="20"/>
        </w:rPr>
        <w:t xml:space="preserve">CTS completos de los ~70 formatos restantes.</w:t>
      </w:r>
    </w:p>
    <w:p>
      <w:pPr>
        <w:pStyle w:val="ListParagraph"/>
        <w:numPr>
          <w:ilvl w:val="0"/>
          <w:numId w:val="2"/>
        </w:numPr>
        <w:spacing w:after="60"/>
      </w:pPr>
      <w:r>
        <w:rPr>
          <w:sz w:val="20"/>
          <w:szCs w:val="20"/>
        </w:rPr>
        <w:t xml:space="preserve">ETL de Ridder (6 CSV) hacia SQL para eficiencia de mano de obra.</w:t>
      </w:r>
    </w:p>
    <w:p>
      <w:pPr>
        <w:pStyle w:val="ListParagraph"/>
        <w:numPr>
          <w:ilvl w:val="0"/>
          <w:numId w:val="2"/>
        </w:numPr>
        <w:spacing w:after="60"/>
      </w:pPr>
      <w:r>
        <w:rPr>
          <w:sz w:val="20"/>
          <w:szCs w:val="20"/>
        </w:rPr>
        <w:t xml:space="preserve">Áreas de Ganfer/GSO una vez resuelta la VPN/Gateway.</w:t>
      </w:r>
    </w:p>
    <w:p>
      <w:pPr>
        <w:pStyle w:val="ListParagraph"/>
        <w:numPr>
          <w:ilvl w:val="0"/>
          <w:numId w:val="2"/>
        </w:numPr>
        <w:spacing w:after="60"/>
      </w:pPr>
      <w:r>
        <w:rPr>
          <w:sz w:val="20"/>
          <w:szCs w:val="20"/>
        </w:rPr>
        <w:t xml:space="preserve">SISSO y Calidad ampliada.</w:t>
      </w:r>
    </w:p>
    <w:p>
      <w:pPr>
        <w:pStyle w:val="ListParagraph"/>
        <w:numPr>
          <w:ilvl w:val="0"/>
          <w:numId w:val="2"/>
        </w:numPr>
        <w:spacing w:after="60"/>
      </w:pPr>
      <w:r>
        <w:rPr>
          <w:sz w:val="20"/>
          <w:szCs w:val="20"/>
        </w:rPr>
        <w:t xml:space="preserve">LLM ampliado al resto de las áreas.</w:t>
      </w:r>
    </w:p>
    <w:p>
      <w:pPr>
        <w:pStyle w:val="ListParagraph"/>
        <w:numPr>
          <w:ilvl w:val="0"/>
          <w:numId w:val="2"/>
        </w:numPr>
        <w:spacing w:after="60"/>
      </w:pPr>
      <w:r>
        <w:rPr>
          <w:sz w:val="20"/>
          <w:szCs w:val="20"/>
        </w:rPr>
        <w:t xml:space="preserve">Deprecación de los Dataflows DFGhveggies y DFGanfer; reemplazo por extracción 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E3A"/>
      <w:sz w:val="28"/>
      <w:szCs w:val="28"/>
    </w:rPr>
  </w:style>
  <w:style w:type="paragraph" w:styleId="Heading2">
    <w:name w:val="Heading 2"/>
    <w:basedOn w:val="Normal"/>
    <w:next w:val="Normal"/>
    <w:qFormat/>
    <w:pPr>
      <w:spacing w:after="8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2026-06-26T14:55:19.639Z</dcterms:created>
  <dcterms:modified xsi:type="dcterms:W3CDTF">2026-06-26T14:55:19.654Z</dcterms:modified>
</cp:coreProperties>
</file>

<file path=docProps/custom.xml><?xml version="1.0" encoding="utf-8"?>
<Properties xmlns="http://schemas.openxmlformats.org/officeDocument/2006/custom-properties" xmlns:vt="http://schemas.openxmlformats.org/officeDocument/2006/docPropsVTypes"/>
</file>