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jc w:val="center"/>
      </w:pPr>
      <w:r>
        <w:rPr>
          <w:rFonts w:ascii="Times New Roman" w:hAnsi="Times New Roman" w:eastAsia="黑体"/>
          <w:b/>
          <w:sz w:val="44"/>
        </w:rPr>
        <w:t>灵枢智能银行网点服务平台</w:t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黑体"/>
          <w:b/>
          <w:sz w:val="36"/>
        </w:rPr>
        <w:t>用 户 操 作 手 册</w:t>
      </w:r>
    </w:p>
    <w:p>
      <w:pPr>
        <w:spacing w:before="0" w:after="20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版本号：V1.0　　开发方式：合作开发</w:t>
      </w:r>
    </w:p>
    <w:p>
      <w:pPr>
        <w:spacing w:before="0" w:after="160" w:line="300" w:lineRule="auto"/>
        <w:jc w:val="center"/>
      </w:pPr>
      <w:r>
        <w:rPr>
          <w:rFonts w:ascii="Times New Roman" w:hAnsi="Times New Roman" w:eastAsia="宋体"/>
          <w:b w:val="0"/>
          <w:sz w:val="24"/>
        </w:rPr>
        <w:t>本手册面向最终用户，介绍灵枢智能银行网点服务平台V1.0的安装启动、功能操作与常见问题。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sz w:val="32"/>
        </w:rPr>
        <w:t>第一章　软件概述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1.1　软件简介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灵枢智能银行网点服务平台（简称“本平台”）是面向银行网点服务场景的智能服务平台，围绕客户到店办理业务的全流程，提供智能预约排队、智能预填单解析、业务直通码、办理进度追踪、AI数字人咨询、数据总览等核心功能，并内置老年适配模式与可信审计链能力，旨在缩短客户排队等候时间、减轻柜面填单负担、提升网点服务效率与普惠金融服务水平。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1.2　系统组成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平台由客户服务前端、业务后台服务、AI智能服务三个子系统共同组成。三个子系统为同一软件平台内部的三个功能子模块，通过统一接口协同工作，共同完成银行网点业务办理全流程，属于同一软件平台的组成部分，并非三套独立软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子系统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技术架构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说明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  <w:rFonts w:eastAsia="宋体"/>
              </w:rPr>
              <w:t>客户服务前端</w:t>
            </w:r>
          </w:p>
        </w:tc>
        <w:tc>
          <w:tcPr>
            <w:tcW w:type="dxa" w:w="2835"/>
          </w:tcPr>
          <w:p>
            <w:r>
              <w:rPr>
                <w:sz w:val="21"/>
                <w:rFonts w:eastAsia="宋体"/>
              </w:rPr>
              <w:t>Vue3 + TypeScript</w:t>
            </w:r>
          </w:p>
        </w:tc>
        <w:tc>
          <w:tcPr>
            <w:tcW w:type="dxa" w:w="3969"/>
          </w:tcPr>
          <w:p>
            <w:r>
              <w:rPr>
                <w:sz w:val="21"/>
                <w:rFonts w:eastAsia="宋体"/>
              </w:rPr>
              <w:t>浏览器访问的客户操作界面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  <w:rFonts w:eastAsia="宋体"/>
              </w:rPr>
              <w:t>业务后台服务</w:t>
            </w:r>
          </w:p>
        </w:tc>
        <w:tc>
          <w:tcPr>
            <w:tcW w:type="dxa" w:w="2835"/>
          </w:tcPr>
          <w:p>
            <w:r>
              <w:rPr>
                <w:sz w:val="21"/>
                <w:rFonts w:eastAsia="宋体"/>
              </w:rPr>
              <w:t>Spring Boot（端口8080）</w:t>
            </w:r>
          </w:p>
        </w:tc>
        <w:tc>
          <w:tcPr>
            <w:tcW w:type="dxa" w:w="3969"/>
          </w:tcPr>
          <w:p>
            <w:r>
              <w:rPr>
                <w:sz w:val="21"/>
                <w:rFonts w:eastAsia="宋体"/>
              </w:rPr>
              <w:t>用户、预约、凭证、审计链、信用分等业务接口</w:t>
            </w:r>
          </w:p>
        </w:tc>
      </w:tr>
      <w:tr>
        <w:tc>
          <w:tcPr>
            <w:tcW w:type="dxa" w:w="2551"/>
          </w:tcPr>
          <w:p>
            <w:r>
              <w:rPr>
                <w:sz w:val="21"/>
                <w:rFonts w:eastAsia="宋体"/>
              </w:rPr>
              <w:t>AI智能服务</w:t>
            </w:r>
          </w:p>
        </w:tc>
        <w:tc>
          <w:tcPr>
            <w:tcW w:type="dxa" w:w="2835"/>
          </w:tcPr>
          <w:p>
            <w:r>
              <w:rPr>
                <w:sz w:val="21"/>
                <w:rFonts w:eastAsia="宋体"/>
              </w:rPr>
              <w:t>FastAPI（端口8000）</w:t>
            </w:r>
          </w:p>
        </w:tc>
        <w:tc>
          <w:tcPr>
            <w:tcW w:type="dxa" w:w="3969"/>
          </w:tcPr>
          <w:p>
            <w:r>
              <w:rPr>
                <w:sz w:val="21"/>
                <w:rFonts w:eastAsia="宋体"/>
              </w:rPr>
              <w:t>客流预测、预填单解析、智能诊断、数字人对话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1.3　主要功能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功能模块</w:t>
            </w:r>
          </w:p>
        </w:tc>
        <w:tc>
          <w:tcPr>
            <w:tcW w:type="dxa" w:w="6973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功能说明</w:t>
            </w:r>
          </w:p>
        </w:tc>
      </w:tr>
      <w:tr>
        <w:tc>
          <w:tcPr>
            <w:tcW w:type="dxa" w:w="2381"/>
          </w:tcPr>
          <w:p>
            <w:r>
              <w:rPr>
                <w:sz w:val="21"/>
                <w:rFonts w:eastAsia="宋体"/>
              </w:rPr>
              <w:t>登录注册</w:t>
            </w:r>
          </w:p>
        </w:tc>
        <w:tc>
          <w:tcPr>
            <w:tcW w:type="dxa" w:w="6973"/>
          </w:tcPr>
          <w:p>
            <w:r>
              <w:rPr>
                <w:sz w:val="21"/>
                <w:rFonts w:eastAsia="宋体"/>
              </w:rPr>
              <w:t>手机号+密码登录，新用户注册</w:t>
            </w:r>
          </w:p>
        </w:tc>
      </w:tr>
      <w:tr>
        <w:tc>
          <w:tcPr>
            <w:tcW w:type="dxa" w:w="2381"/>
          </w:tcPr>
          <w:p>
            <w:r>
              <w:rPr>
                <w:sz w:val="21"/>
                <w:rFonts w:eastAsia="宋体"/>
              </w:rPr>
              <w:t>数据总览</w:t>
            </w:r>
          </w:p>
        </w:tc>
        <w:tc>
          <w:tcPr>
            <w:tcW w:type="dxa" w:w="6973"/>
          </w:tcPr>
          <w:p>
            <w:r>
              <w:rPr>
                <w:sz w:val="21"/>
                <w:rFonts w:eastAsia="宋体"/>
              </w:rPr>
              <w:t>资产、办结业务、预填单、信誉分统计及AI客流预测热力图、AI智能诊断</w:t>
            </w:r>
          </w:p>
        </w:tc>
      </w:tr>
      <w:tr>
        <w:tc>
          <w:tcPr>
            <w:tcW w:type="dxa" w:w="2381"/>
          </w:tcPr>
          <w:p>
            <w:r>
              <w:rPr>
                <w:sz w:val="21"/>
                <w:rFonts w:eastAsia="宋体"/>
              </w:rPr>
              <w:t>智能预约排队</w:t>
            </w:r>
          </w:p>
        </w:tc>
        <w:tc>
          <w:tcPr>
            <w:tcW w:type="dxa" w:w="6973"/>
          </w:tcPr>
          <w:p>
            <w:r>
              <w:rPr>
                <w:sz w:val="21"/>
                <w:rFonts w:eastAsia="宋体"/>
              </w:rPr>
              <w:t>选择网点与时段预约取号，每时段限十个号码</w:t>
            </w:r>
          </w:p>
        </w:tc>
      </w:tr>
      <w:tr>
        <w:tc>
          <w:tcPr>
            <w:tcW w:type="dxa" w:w="2381"/>
          </w:tcPr>
          <w:p>
            <w:r>
              <w:rPr>
                <w:sz w:val="21"/>
                <w:rFonts w:eastAsia="宋体"/>
              </w:rPr>
              <w:t>智能预填单解析</w:t>
            </w:r>
          </w:p>
        </w:tc>
        <w:tc>
          <w:tcPr>
            <w:tcW w:type="dxa" w:w="6973"/>
          </w:tcPr>
          <w:p>
            <w:r>
              <w:rPr>
                <w:sz w:val="21"/>
                <w:rFonts w:eastAsia="宋体"/>
              </w:rPr>
              <w:t>粘贴业务材料文本，自动提取表单字段</w:t>
            </w:r>
          </w:p>
        </w:tc>
      </w:tr>
      <w:tr>
        <w:tc>
          <w:tcPr>
            <w:tcW w:type="dxa" w:w="2381"/>
          </w:tcPr>
          <w:p>
            <w:r>
              <w:rPr>
                <w:sz w:val="21"/>
                <w:rFonts w:eastAsia="宋体"/>
              </w:rPr>
              <w:t>业务直通码</w:t>
            </w:r>
          </w:p>
        </w:tc>
        <w:tc>
          <w:tcPr>
            <w:tcW w:type="dxa" w:w="6973"/>
          </w:tcPr>
          <w:p>
            <w:r>
              <w:rPr>
                <w:sz w:val="21"/>
                <w:rFonts w:eastAsia="宋体"/>
              </w:rPr>
              <w:t>材料预检后生成二维码，到店扫码免排队</w:t>
            </w:r>
          </w:p>
        </w:tc>
      </w:tr>
      <w:tr>
        <w:tc>
          <w:tcPr>
            <w:tcW w:type="dxa" w:w="2381"/>
          </w:tcPr>
          <w:p>
            <w:r>
              <w:rPr>
                <w:sz w:val="21"/>
                <w:rFonts w:eastAsia="宋体"/>
              </w:rPr>
              <w:t>历史预约查询</w:t>
            </w:r>
          </w:p>
        </w:tc>
        <w:tc>
          <w:tcPr>
            <w:tcW w:type="dxa" w:w="6973"/>
          </w:tcPr>
          <w:p>
            <w:r>
              <w:rPr>
                <w:sz w:val="21"/>
                <w:rFonts w:eastAsia="宋体"/>
              </w:rPr>
              <w:t>查询本人预约记录、取消预约</w:t>
            </w:r>
          </w:p>
        </w:tc>
      </w:tr>
      <w:tr>
        <w:tc>
          <w:tcPr>
            <w:tcW w:type="dxa" w:w="2381"/>
          </w:tcPr>
          <w:p>
            <w:r>
              <w:rPr>
                <w:sz w:val="21"/>
                <w:rFonts w:eastAsia="宋体"/>
              </w:rPr>
              <w:t>办理进度追踪</w:t>
            </w:r>
          </w:p>
        </w:tc>
        <w:tc>
          <w:tcPr>
            <w:tcW w:type="dxa" w:w="6973"/>
          </w:tcPr>
          <w:p>
            <w:r>
              <w:rPr>
                <w:sz w:val="21"/>
                <w:rFonts w:eastAsia="宋体"/>
              </w:rPr>
              <w:t>取号-排队-叫号-办理-完成五步进度可视</w:t>
            </w:r>
          </w:p>
        </w:tc>
      </w:tr>
      <w:tr>
        <w:tc>
          <w:tcPr>
            <w:tcW w:type="dxa" w:w="2381"/>
          </w:tcPr>
          <w:p>
            <w:r>
              <w:rPr>
                <w:sz w:val="21"/>
                <w:rFonts w:eastAsia="宋体"/>
              </w:rPr>
              <w:t>AI数字人</w:t>
            </w:r>
          </w:p>
        </w:tc>
        <w:tc>
          <w:tcPr>
            <w:tcW w:type="dxa" w:w="6973"/>
          </w:tcPr>
          <w:p>
            <w:r>
              <w:rPr>
                <w:sz w:val="21"/>
                <w:rFonts w:eastAsia="宋体"/>
              </w:rPr>
              <w:t>大堂经理智能问答与业务引导</w:t>
            </w:r>
          </w:p>
        </w:tc>
      </w:tr>
      <w:tr>
        <w:tc>
          <w:tcPr>
            <w:tcW w:type="dxa" w:w="2381"/>
          </w:tcPr>
          <w:p>
            <w:r>
              <w:rPr>
                <w:sz w:val="21"/>
                <w:rFonts w:eastAsia="宋体"/>
              </w:rPr>
              <w:t>老年模式</w:t>
            </w:r>
          </w:p>
        </w:tc>
        <w:tc>
          <w:tcPr>
            <w:tcW w:type="dxa" w:w="6973"/>
          </w:tcPr>
          <w:p>
            <w:r>
              <w:rPr>
                <w:sz w:val="21"/>
                <w:rFonts w:eastAsia="宋体"/>
              </w:rPr>
              <w:t>字体放大、按钮增大、界面精简的适老化交互</w:t>
            </w:r>
          </w:p>
        </w:tc>
      </w:tr>
      <w:tr>
        <w:tc>
          <w:tcPr>
            <w:tcW w:type="dxa" w:w="2381"/>
          </w:tcPr>
          <w:p>
            <w:r>
              <w:rPr>
                <w:sz w:val="21"/>
                <w:rFonts w:eastAsia="宋体"/>
              </w:rPr>
              <w:t>审计链</w:t>
            </w:r>
          </w:p>
        </w:tc>
        <w:tc>
          <w:tcPr>
            <w:tcW w:type="dxa" w:w="6973"/>
          </w:tcPr>
          <w:p>
            <w:r>
              <w:rPr>
                <w:sz w:val="21"/>
                <w:rFonts w:eastAsia="宋体"/>
              </w:rPr>
              <w:t>操作留痕防篡改，支持完整性校验</w:t>
            </w:r>
          </w:p>
        </w:tc>
      </w:tr>
    </w:tbl>
    <w:p>
      <w:pPr>
        <w:spacing w:before="0" w:after="40" w:line="300" w:lineRule="auto"/>
      </w:pP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sz w:val="32"/>
        </w:rPr>
        <w:t>第二章　运行环境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2.1　硬件环境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项目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最低配置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推荐配置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  <w:rFonts w:eastAsia="宋体"/>
              </w:rPr>
              <w:t>服务器CPU</w:t>
            </w:r>
          </w:p>
        </w:tc>
        <w:tc>
          <w:tcPr>
            <w:tcW w:type="dxa" w:w="3685"/>
          </w:tcPr>
          <w:p>
            <w:r>
              <w:rPr>
                <w:sz w:val="21"/>
                <w:rFonts w:eastAsia="宋体"/>
              </w:rPr>
              <w:t>4核</w:t>
            </w:r>
          </w:p>
        </w:tc>
        <w:tc>
          <w:tcPr>
            <w:tcW w:type="dxa" w:w="3402"/>
          </w:tcPr>
          <w:p>
            <w:r>
              <w:rPr>
                <w:sz w:val="21"/>
                <w:rFonts w:eastAsia="宋体"/>
              </w:rPr>
              <w:t>8核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  <w:rFonts w:eastAsia="宋体"/>
              </w:rPr>
              <w:t>服务器内存</w:t>
            </w:r>
          </w:p>
        </w:tc>
        <w:tc>
          <w:tcPr>
            <w:tcW w:type="dxa" w:w="3685"/>
          </w:tcPr>
          <w:p>
            <w:r>
              <w:rPr>
                <w:sz w:val="21"/>
                <w:rFonts w:eastAsia="宋体"/>
              </w:rPr>
              <w:t>8GB</w:t>
            </w:r>
          </w:p>
        </w:tc>
        <w:tc>
          <w:tcPr>
            <w:tcW w:type="dxa" w:w="3402"/>
          </w:tcPr>
          <w:p>
            <w:r>
              <w:rPr>
                <w:sz w:val="21"/>
                <w:rFonts w:eastAsia="宋体"/>
              </w:rPr>
              <w:t>16GB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  <w:rFonts w:eastAsia="宋体"/>
              </w:rPr>
              <w:t>客户机</w:t>
            </w:r>
          </w:p>
        </w:tc>
        <w:tc>
          <w:tcPr>
            <w:tcW w:type="dxa" w:w="3685"/>
          </w:tcPr>
          <w:p>
            <w:r>
              <w:rPr>
                <w:sz w:val="21"/>
                <w:rFonts w:eastAsia="宋体"/>
              </w:rPr>
              <w:t>可运行现代浏览器的PC或手机</w:t>
            </w:r>
          </w:p>
        </w:tc>
        <w:tc>
          <w:tcPr>
            <w:tcW w:type="dxa" w:w="3402"/>
          </w:tcPr>
          <w:p>
            <w:r>
              <w:rPr>
                <w:sz w:val="21"/>
                <w:rFonts w:eastAsia="宋体"/>
              </w:rPr>
              <w:t>同左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2.2　服务器软件环境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软件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版本要求</w:t>
            </w:r>
          </w:p>
        </w:tc>
      </w:tr>
      <w:tr>
        <w:tc>
          <w:tcPr>
            <w:tcW w:type="dxa" w:w="3402"/>
          </w:tcPr>
          <w:p>
            <w:r>
              <w:rPr>
                <w:sz w:val="21"/>
                <w:rFonts w:eastAsia="宋体"/>
              </w:rPr>
              <w:t>操作系统</w:t>
            </w:r>
          </w:p>
        </w:tc>
        <w:tc>
          <w:tcPr>
            <w:tcW w:type="dxa" w:w="5953"/>
          </w:tcPr>
          <w:p>
            <w:r>
              <w:rPr>
                <w:sz w:val="21"/>
                <w:rFonts w:eastAsia="宋体"/>
              </w:rPr>
              <w:t>Windows 10+/Linux</w:t>
            </w:r>
          </w:p>
        </w:tc>
      </w:tr>
      <w:tr>
        <w:tc>
          <w:tcPr>
            <w:tcW w:type="dxa" w:w="3402"/>
          </w:tcPr>
          <w:p>
            <w:r>
              <w:rPr>
                <w:sz w:val="21"/>
                <w:rFonts w:eastAsia="宋体"/>
              </w:rPr>
              <w:t>JDK</w:t>
            </w:r>
          </w:p>
        </w:tc>
        <w:tc>
          <w:tcPr>
            <w:tcW w:type="dxa" w:w="5953"/>
          </w:tcPr>
          <w:p>
            <w:r>
              <w:rPr>
                <w:sz w:val="21"/>
                <w:rFonts w:eastAsia="宋体"/>
              </w:rPr>
              <w:t>17 及以上</w:t>
            </w:r>
          </w:p>
        </w:tc>
      </w:tr>
      <w:tr>
        <w:tc>
          <w:tcPr>
            <w:tcW w:type="dxa" w:w="3402"/>
          </w:tcPr>
          <w:p>
            <w:r>
              <w:rPr>
                <w:sz w:val="21"/>
                <w:rFonts w:eastAsia="宋体"/>
              </w:rPr>
              <w:t>Maven</w:t>
            </w:r>
          </w:p>
        </w:tc>
        <w:tc>
          <w:tcPr>
            <w:tcW w:type="dxa" w:w="5953"/>
          </w:tcPr>
          <w:p>
            <w:r>
              <w:rPr>
                <w:sz w:val="21"/>
                <w:rFonts w:eastAsia="宋体"/>
              </w:rPr>
              <w:t>3.8 及以上</w:t>
            </w:r>
          </w:p>
        </w:tc>
      </w:tr>
      <w:tr>
        <w:tc>
          <w:tcPr>
            <w:tcW w:type="dxa" w:w="3402"/>
          </w:tcPr>
          <w:p>
            <w:r>
              <w:rPr>
                <w:sz w:val="21"/>
                <w:rFonts w:eastAsia="宋体"/>
              </w:rPr>
              <w:t>Node.js</w:t>
            </w:r>
          </w:p>
        </w:tc>
        <w:tc>
          <w:tcPr>
            <w:tcW w:type="dxa" w:w="5953"/>
          </w:tcPr>
          <w:p>
            <w:r>
              <w:rPr>
                <w:sz w:val="21"/>
                <w:rFonts w:eastAsia="宋体"/>
              </w:rPr>
              <w:t>18 及以上</w:t>
            </w:r>
          </w:p>
        </w:tc>
      </w:tr>
      <w:tr>
        <w:tc>
          <w:tcPr>
            <w:tcW w:type="dxa" w:w="3402"/>
          </w:tcPr>
          <w:p>
            <w:r>
              <w:rPr>
                <w:sz w:val="21"/>
                <w:rFonts w:eastAsia="宋体"/>
              </w:rPr>
              <w:t>Python</w:t>
            </w:r>
          </w:p>
        </w:tc>
        <w:tc>
          <w:tcPr>
            <w:tcW w:type="dxa" w:w="5953"/>
          </w:tcPr>
          <w:p>
            <w:r>
              <w:rPr>
                <w:sz w:val="21"/>
                <w:rFonts w:eastAsia="宋体"/>
              </w:rPr>
              <w:t>3.11 及以上</w:t>
            </w:r>
          </w:p>
        </w:tc>
      </w:tr>
      <w:tr>
        <w:tc>
          <w:tcPr>
            <w:tcW w:type="dxa" w:w="3402"/>
          </w:tcPr>
          <w:p>
            <w:r>
              <w:rPr>
                <w:sz w:val="21"/>
                <w:rFonts w:eastAsia="宋体"/>
              </w:rPr>
              <w:t>MySQL</w:t>
            </w:r>
          </w:p>
        </w:tc>
        <w:tc>
          <w:tcPr>
            <w:tcW w:type="dxa" w:w="5953"/>
          </w:tcPr>
          <w:p>
            <w:r>
              <w:rPr>
                <w:sz w:val="21"/>
                <w:rFonts w:eastAsia="宋体"/>
              </w:rPr>
              <w:t>8.0 及以上</w:t>
            </w:r>
          </w:p>
        </w:tc>
      </w:tr>
      <w:tr>
        <w:tc>
          <w:tcPr>
            <w:tcW w:type="dxa" w:w="3402"/>
          </w:tcPr>
          <w:p>
            <w:r>
              <w:rPr>
                <w:sz w:val="21"/>
                <w:rFonts w:eastAsia="宋体"/>
              </w:rPr>
              <w:t>Redis</w:t>
            </w:r>
          </w:p>
        </w:tc>
        <w:tc>
          <w:tcPr>
            <w:tcW w:type="dxa" w:w="5953"/>
          </w:tcPr>
          <w:p>
            <w:r>
              <w:rPr>
                <w:sz w:val="21"/>
                <w:rFonts w:eastAsia="宋体"/>
              </w:rPr>
              <w:t>7.0 及以上</w:t>
            </w:r>
          </w:p>
        </w:tc>
      </w:tr>
      <w:tr>
        <w:tc>
          <w:tcPr>
            <w:tcW w:type="dxa" w:w="3402"/>
          </w:tcPr>
          <w:p>
            <w:r>
              <w:rPr>
                <w:sz w:val="21"/>
                <w:rFonts w:eastAsia="宋体"/>
              </w:rPr>
              <w:t>Docker</w:t>
            </w:r>
          </w:p>
        </w:tc>
        <w:tc>
          <w:tcPr>
            <w:tcW w:type="dxa" w:w="5953"/>
          </w:tcPr>
          <w:p>
            <w:r>
              <w:rPr>
                <w:sz w:val="21"/>
                <w:rFonts w:eastAsia="宋体"/>
              </w:rPr>
              <w:t>可选，用于容器化一键部署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2.3　客户端环境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推荐使用 Chrome、Edge、Firefox、Safari 等现代浏览器访问，浏览器需启用 JavaScript。客户端无需安装任何插件。屏幕分辨率建议不低于1366×768；移动端可使用手机浏览器直接访问，页面采用响应式布局，自动适配屏幕尺寸。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sz w:val="32"/>
        </w:rPr>
        <w:t>第三章　启动与访问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3.1　容器化一键启动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在项目根目录执行 docker compose up -d，将自动拉起 MySQL、Redis、业务后台、AI智能服务、前端及Nginx反代等容器。完整启动步骤如下：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第一步：确认服务器已安装 Docker 并处于运行状态；第二步：在项目根目录执行 docker compose up -d 命令，等待各容器依次创建；第三步：执行 docker compose ps 命令查看容器状态，各容器均为运行中即启动成功；第四步：打开浏览器访问平台首页。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首次启动时系统自动执行数据库初始化脚本，完成建表并写入网点、预约、凭证等演示数据，无需手工导入。</w:t>
      </w:r>
    </w:p>
    <w:p>
      <w:pPr>
        <w:spacing w:before="0" w:after="40" w:line="300" w:lineRule="auto"/>
        <w:ind w:left="360"/>
      </w:pPr>
      <w:r>
        <w:rPr>
          <w:rFonts w:ascii="Times New Roman" w:hAnsi="Times New Roman" w:eastAsia="宋体"/>
          <w:sz w:val="24"/>
        </w:rPr>
        <w:t>· 平台首页：http://localhost:5173</w:t>
      </w:r>
    </w:p>
    <w:p>
      <w:pPr>
        <w:spacing w:before="0" w:after="40" w:line="300" w:lineRule="auto"/>
        <w:ind w:left="360"/>
      </w:pPr>
      <w:r>
        <w:rPr>
          <w:rFonts w:ascii="Times New Roman" w:hAnsi="Times New Roman" w:eastAsia="宋体"/>
          <w:sz w:val="24"/>
        </w:rPr>
        <w:t>· 后台接口文档：http://localhost:8080/swagger-ui.html</w:t>
      </w:r>
    </w:p>
    <w:p>
      <w:pPr>
        <w:spacing w:before="0" w:after="40" w:line="300" w:lineRule="auto"/>
        <w:ind w:left="360"/>
      </w:pPr>
      <w:r>
        <w:rPr>
          <w:rFonts w:ascii="Times New Roman" w:hAnsi="Times New Roman" w:eastAsia="宋体"/>
          <w:sz w:val="24"/>
        </w:rPr>
        <w:t>· AI服务接口文档：http://localhost:8000/docs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3.2　演示账号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账号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密码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角色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姓名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  <w:rFonts w:eastAsia="宋体"/>
              </w:rPr>
              <w:t>13800138000</w:t>
            </w:r>
          </w:p>
        </w:tc>
        <w:tc>
          <w:tcPr>
            <w:tcW w:type="dxa" w:w="1701"/>
          </w:tcPr>
          <w:p>
            <w:r>
              <w:rPr>
                <w:sz w:val="21"/>
                <w:rFonts w:eastAsia="宋体"/>
              </w:rPr>
              <w:t>123456</w:t>
            </w:r>
          </w:p>
        </w:tc>
        <w:tc>
          <w:tcPr>
            <w:tcW w:type="dxa" w:w="1984"/>
          </w:tcPr>
          <w:p>
            <w:r>
              <w:rPr>
                <w:sz w:val="21"/>
                <w:rFonts w:eastAsia="宋体"/>
              </w:rPr>
              <w:t>客户</w:t>
            </w:r>
          </w:p>
        </w:tc>
        <w:tc>
          <w:tcPr>
            <w:tcW w:type="dxa" w:w="1701"/>
          </w:tcPr>
          <w:p>
            <w:r>
              <w:rPr>
                <w:sz w:val="21"/>
                <w:rFonts w:eastAsia="宋体"/>
              </w:rPr>
              <w:t>张伟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  <w:rFonts w:eastAsia="宋体"/>
              </w:rPr>
              <w:t>audit001</w:t>
            </w:r>
          </w:p>
        </w:tc>
        <w:tc>
          <w:tcPr>
            <w:tcW w:type="dxa" w:w="1701"/>
          </w:tcPr>
          <w:p>
            <w:r>
              <w:rPr>
                <w:sz w:val="21"/>
                <w:rFonts w:eastAsia="宋体"/>
              </w:rPr>
              <w:t>123456</w:t>
            </w:r>
          </w:p>
        </w:tc>
        <w:tc>
          <w:tcPr>
            <w:tcW w:type="dxa" w:w="1984"/>
          </w:tcPr>
          <w:p>
            <w:r>
              <w:rPr>
                <w:sz w:val="21"/>
                <w:rFonts w:eastAsia="宋体"/>
              </w:rPr>
              <w:t>审计员</w:t>
            </w:r>
          </w:p>
        </w:tc>
        <w:tc>
          <w:tcPr>
            <w:tcW w:type="dxa" w:w="1701"/>
          </w:tcPr>
          <w:p>
            <w:r>
              <w:rPr>
                <w:sz w:val="21"/>
                <w:rFonts w:eastAsia="宋体"/>
              </w:rPr>
              <w:t>李审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演示账号仅用于功能体验与测试。两类账号权限不同：客户账号可使用预约、预填单、直通码、办理进度等全部客户功能；审计员账号仅用于查看审计链，面向内部风控人员开放，普通客户无法访问审计链页面。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【截图占位：请在此插入「平台登录页」界面截图】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sz w:val="32"/>
        </w:rPr>
        <w:t>第四章　用户登录与注册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4.1　登录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打开平台首页，进入登录页，输入手机号与密码，点击“登录”按钮。校验通过后进入数据总览页；若未注册，可点击“立即注册”切换到注册页。若手机号不存在或密码错误，页面给出“账号或密码错误”提示，可重新输入后再次尝试登录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【截图占位：请在此插入「登录页」界面截图】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4.2　注册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注册页输入手机号、姓名、登录密码并确认密码，点击“注册”按钮完成注册，注册成功后返回登录页使用新账号登录。系统对输入内容进行校验：手机号需符合号段格式，两次输入的密码需保持一致，校验不通过时在对应输入框下方给出红色提示，修正后即可重新提交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【截图占位：请在此插入「注册页」界面截图】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4.3　退出登录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登录后点击页面右上角头像，弹出下拉菜单，菜单中显示当前用户名，点击“退出登录”按钮即可安全退出并返回登录页。退出后再次使用平台需重新登录；退出操作不会清除老年模式等本地偏好设置，下次登录后仍按原偏好显示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【截图占位：请在此插入「头像下拉菜单」界面截图】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sz w:val="32"/>
        </w:rPr>
        <w:t>第五章　数据总览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登录成功后默认进入数据总览页，页面自上而下依次为统计卡片区、AI诊断卡片、AI客流预测热力图与业务图表区。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5.1　统计卡片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展示资产总额、办结业务数、预填单数量、信誉分四项核心统计，随业务办理实时更新。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【截图占位：请在此插入「统计卡片区」界面截图】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5.2　AI客流预测热力图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基于历史客流数据预测未来各时段各网点客流热度，以色块深浅呈现繁忙程度，帮助客户选择错峰时段，页面加载完成后自动渲染，无需手动切换。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【截图占位：请在此插入「AI客流预测热力图」界面截图】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5.3　AI智能诊断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对账户与业务行为进行智能分析，输出安全提示（如夜间大额转账提醒）与业务建议。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【截图占位：请在此插入「AI智能诊断卡片」界面截图】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5.4　业务图表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展示资产趋势折线图与业务分布饼图，支持查看全年数据。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【截图占位：请在此插入「业务图表区」界面截图】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sz w:val="32"/>
        </w:rPr>
        <w:t>第六章　智能预约排队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6.1　选择网点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点击导航“智能预约排队”，系统展示网点列表，包含网点名称、地址、营业时间、当前排队人数与繁忙状态标签。选择目标网点。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【截图占位：请在此插入「网点选择列表」界面截图】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6.2　选择时段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选择业务类型与预约日期，页面按时段展示剩余号源。每个时段（半小时）最多十个号码，同一日期同一时段不可在不同网点重复预约；如需变更，请先取消原预约。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【截图占位：请在此插入「时段选择」界面截图】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6.3　提交预约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确认网点、业务与时段无误后点击“提交预约”，系统生成预约记录并提示成功，记录可在“历史预约查询”中查看。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【截图占位：请在此插入「预约成功提示」界面截图】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sz w:val="32"/>
        </w:rPr>
        <w:t>第七章　智能预填单解析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7.1　功能入口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点击导航“智能预填单解析”进入解析页。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7.2　粘贴材料文本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将业务材料中的文字（如转账说明、申请信息）粘贴到输入框，点击“AI解析”按钮。系统通过内置规则引擎自动提取字段：</w:t>
      </w:r>
    </w:p>
    <w:p>
      <w:pPr>
        <w:spacing w:before="0" w:after="40" w:line="300" w:lineRule="auto"/>
        <w:ind w:left="360"/>
      </w:pPr>
      <w:r>
        <w:rPr>
          <w:rFonts w:ascii="Times New Roman" w:hAnsi="Times New Roman" w:eastAsia="宋体"/>
          <w:sz w:val="24"/>
        </w:rPr>
        <w:t>· 个人业务：姓名、身份证号、银行卡号等；</w:t>
      </w:r>
    </w:p>
    <w:p>
      <w:pPr>
        <w:spacing w:before="0" w:after="40" w:line="300" w:lineRule="auto"/>
        <w:ind w:left="360"/>
      </w:pPr>
      <w:r>
        <w:rPr>
          <w:rFonts w:ascii="Times New Roman" w:hAnsi="Times New Roman" w:eastAsia="宋体"/>
          <w:sz w:val="24"/>
        </w:rPr>
        <w:t>· 对公转账：付款单位名称、付款账号、收款单位名称、收款账号、收款银行、转账金额、是否加急（识别“加急”关键词）、资金用途。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7.3　确认与保存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解析结果自动填充至表单，请逐项核对，可手工修正，确认无误后点击保存。解析过程纯前端规则完成，不依赖外部大模型服务。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【截图占位：请在此插入「预填单解析页」界面截图】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sz w:val="32"/>
        </w:rPr>
        <w:t>第八章　业务直通码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8.1　AI材料预检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在预填单确认页点击“生成直通码”，系统先弹出AI材料预检弹窗，列出办理该业务所需材料清单，请确认材料备齐后点击确认。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【截图占位：请在此插入「AI材料预检弹窗」界面截图】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8.2　生成直通码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预检通过后系统生成业务直通码二维码，包含中心“直通”标识与流水号（SN），并自动跳转到独立直通码页面。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【截图占位：请在此插入「直通码页面」界面截图】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8.3　智能网点推荐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直通码页面下方展示四个推荐网点，包含名称、繁忙状态、地址、营业时间、当前排队人数，可点击“去预约”直接跳转预约流程。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8.4　到店使用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到达网点后向工作人员出示直通码扫码激活，即进入免排队快速办理通道。二维码统一为正方形并充满显示区域，便于扫码识别。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sz w:val="32"/>
        </w:rPr>
        <w:t>第九章　历史预约查询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9.1　查询记录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点击导航“历史预约查询”，展示当前登录用户本人的全部预约记录，包含业务类型、预约网点、时段、状态与存证凭证号。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【截图占位：请在此插入「历史预约列表」界面截图】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9.2　状态说明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状态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1"/>
                <w:rFonts w:eastAsia="黑体"/>
              </w:rPr>
              <w:t>显示样式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  <w:rFonts w:eastAsia="宋体"/>
              </w:rPr>
              <w:t>虚拟号</w:t>
            </w:r>
          </w:p>
        </w:tc>
        <w:tc>
          <w:tcPr>
            <w:tcW w:type="dxa" w:w="4535"/>
          </w:tcPr>
          <w:p>
            <w:r>
              <w:rPr>
                <w:sz w:val="21"/>
                <w:rFonts w:eastAsia="宋体"/>
              </w:rPr>
              <w:t>灰色标签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  <w:rFonts w:eastAsia="宋体"/>
              </w:rPr>
              <w:t>激活号</w:t>
            </w:r>
          </w:p>
        </w:tc>
        <w:tc>
          <w:tcPr>
            <w:tcW w:type="dxa" w:w="4535"/>
          </w:tcPr>
          <w:p>
            <w:r>
              <w:rPr>
                <w:sz w:val="21"/>
                <w:rFonts w:eastAsia="宋体"/>
              </w:rPr>
              <w:t>红色标签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  <w:rFonts w:eastAsia="宋体"/>
              </w:rPr>
              <w:t>已失效</w:t>
            </w:r>
          </w:p>
        </w:tc>
        <w:tc>
          <w:tcPr>
            <w:tcW w:type="dxa" w:w="4535"/>
          </w:tcPr>
          <w:p>
            <w:r>
              <w:rPr>
                <w:sz w:val="21"/>
                <w:rFonts w:eastAsia="宋体"/>
              </w:rPr>
              <w:t>灰色删除线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  <w:rFonts w:eastAsia="宋体"/>
              </w:rPr>
              <w:t>已完成</w:t>
            </w:r>
          </w:p>
        </w:tc>
        <w:tc>
          <w:tcPr>
            <w:tcW w:type="dxa" w:w="4535"/>
          </w:tcPr>
          <w:p>
            <w:r>
              <w:rPr>
                <w:sz w:val="21"/>
                <w:rFonts w:eastAsia="宋体"/>
              </w:rPr>
              <w:t>深灰色标签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9.3　取消预约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对未到期的记录可点击“取消预约”。取消后该时段号源释放；如需重新预约该时段，可再次提交。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sz w:val="32"/>
        </w:rPr>
        <w:t>第十章　办理进度追踪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10.1　选择预约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点击导航“办理进度追踪”，页面顶部以横向卡片展示多条预约记录，点击卡片切换不同时间、不同网点的预约。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10.2　查看进度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进度区以五步时间轴呈现：取号 → 排队 → 叫号 → 办理 → 完成，当前步骤高亮并带脉冲动画，已完成步骤打勾标识。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【截图占位：请在此插入「办理进度时间轴」界面截图】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10.3　推进进度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在模拟演示环境下，点击“下一步”按钮手动推进到下一进度节点，进度推进由人工触发，便于演示各阶段状态。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sz w:val="32"/>
        </w:rPr>
        <w:t>第十一章　AI数字人大堂经理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11.1　发起对话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点击屏幕右下角AI数字人悬浮按钮，打开对话窗口。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11.2　咨询范围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字人可解答业务办理指引、网点信息、排队情况等问题，支持业务引导与口语化提问；对常见问题优先使用知识库即时应答，复杂问题由大模型服务补充回答，服务不可用时自动降级为规则应答，保证对话不中断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【截图占位：请在此插入「AI数字人对话窗口」界面截图】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sz w:val="32"/>
        </w:rPr>
        <w:t>第十二章　老年模式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12.1　开关位置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登录页底部、注册页底部及主界面顶栏均设有“老年模式”切换按钮，为琥珀色胶囊样式，点击即在标准模式与老年模式之间切换。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12.2　模式效果</w:t>
      </w:r>
    </w:p>
    <w:p>
      <w:pPr>
        <w:spacing w:before="0" w:after="40" w:line="300" w:lineRule="auto"/>
        <w:ind w:left="360"/>
      </w:pPr>
      <w:r>
        <w:rPr>
          <w:rFonts w:ascii="Times New Roman" w:hAnsi="Times New Roman" w:eastAsia="宋体"/>
          <w:sz w:val="24"/>
        </w:rPr>
        <w:t>· 字体整体放大（正文不低于15像素，标题与按钮文字同步放大）；</w:t>
      </w:r>
    </w:p>
    <w:p>
      <w:pPr>
        <w:spacing w:before="0" w:after="40" w:line="300" w:lineRule="auto"/>
        <w:ind w:left="360"/>
      </w:pPr>
      <w:r>
        <w:rPr>
          <w:rFonts w:ascii="Times New Roman" w:hAnsi="Times New Roman" w:eastAsia="宋体"/>
          <w:sz w:val="24"/>
        </w:rPr>
        <w:t>· 导航与普通按钮高度增大，输入框高度不小于48像素；</w:t>
      </w:r>
    </w:p>
    <w:p>
      <w:pPr>
        <w:spacing w:before="0" w:after="40" w:line="300" w:lineRule="auto"/>
        <w:ind w:left="360"/>
      </w:pPr>
      <w:r>
        <w:rPr>
          <w:rFonts w:ascii="Times New Roman" w:hAnsi="Times New Roman" w:eastAsia="宋体"/>
          <w:sz w:val="24"/>
        </w:rPr>
        <w:t>· 取消毛玻璃效果，改为纯白背景，提升对比度；</w:t>
      </w:r>
    </w:p>
    <w:p>
      <w:pPr>
        <w:spacing w:before="0" w:after="40" w:line="300" w:lineRule="auto"/>
        <w:ind w:left="360"/>
      </w:pPr>
      <w:r>
        <w:rPr>
          <w:rFonts w:ascii="Times New Roman" w:hAnsi="Times New Roman" w:eastAsia="宋体"/>
          <w:sz w:val="24"/>
        </w:rPr>
        <w:t>· 精简导航，仅保留智能预填单解析、智能预约排队、办理进度追踪、AI数字人等核心功能；</w:t>
      </w:r>
    </w:p>
    <w:p>
      <w:pPr>
        <w:spacing w:before="0" w:after="40" w:line="300" w:lineRule="auto"/>
        <w:ind w:left="360"/>
      </w:pPr>
      <w:r>
        <w:rPr>
          <w:rFonts w:ascii="Times New Roman" w:hAnsi="Times New Roman" w:eastAsia="宋体"/>
          <w:sz w:val="24"/>
        </w:rPr>
        <w:t>· 手动切换到老年模式时自动跳转到智能预约排队页；切换结果自动保存，下次访问自动恢复。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【截图占位：请在此插入「老年模式界面」界面截图】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sz w:val="32"/>
        </w:rPr>
        <w:t>第十三章　可信审计链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13.1　功能说明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平台对预约、凭证、预填单等关键业务操作写入审计链，每条记录以SHA-256哈希链接前一记录，形成防篡改证据链。审计链查询功能面向审计员等内部风控人员开放。</w:t>
      </w:r>
    </w:p>
    <w:p>
      <w:pPr>
        <w:spacing w:before="160" w:after="80" w:line="312" w:lineRule="auto"/>
      </w:pPr>
      <w:r>
        <w:rPr>
          <w:rFonts w:ascii="Times New Roman" w:hAnsi="Times New Roman" w:eastAsia="黑体"/>
          <w:b/>
          <w:sz w:val="28"/>
        </w:rPr>
        <w:t>13.2　查询与校验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使用审计员账号登录后进入审计链页面，可按流水号、用户等条件检索审计记录，并对链路执行完整性校验；任何记录被篡改都会导致校验失败并定位异常点。</w:t>
      </w:r>
    </w:p>
    <w:p>
      <w:pPr>
        <w:spacing w:before="80" w:after="80" w:line="300" w:lineRule="auto"/>
        <w:jc w:val="center"/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</w:pPr>
      <w:r>
        <w:rPr>
          <w:color w:val="888888"/>
          <w:sz w:val="22"/>
          <w:rFonts w:eastAsia="宋体"/>
        </w:rPr>
        <w:t>【截图占位：请在此插入「审计链查询页面」界面截图】</w:t>
      </w:r>
    </w:p>
    <w:p>
      <w:pPr>
        <w:spacing w:before="280" w:after="160" w:line="312" w:lineRule="auto"/>
      </w:pPr>
      <w:r>
        <w:rPr>
          <w:rFonts w:ascii="Times New Roman" w:hAnsi="Times New Roman" w:eastAsia="黑体"/>
          <w:b/>
          <w:sz w:val="32"/>
        </w:rPr>
        <w:t>第十四章　常见问题</w:t>
      </w:r>
    </w:p>
    <w:p>
      <w:pPr>
        <w:spacing w:before="120" w:after="40" w:line="300" w:lineRule="auto"/>
      </w:pPr>
      <w:r>
        <w:rPr>
          <w:rFonts w:ascii="Times New Roman" w:hAnsi="Times New Roman" w:eastAsia="宋体"/>
          <w:b/>
          <w:sz w:val="24"/>
        </w:rPr>
        <w:t>问：提示“该时段不可重复预约”？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答：同一日期同一时段只能在一个网点预约，请先在历史预约查询中取消原预约，再重新预约。</w:t>
      </w:r>
    </w:p>
    <w:p>
      <w:pPr>
        <w:spacing w:before="120" w:after="40" w:line="300" w:lineRule="auto"/>
      </w:pPr>
      <w:r>
        <w:rPr>
          <w:rFonts w:ascii="Times New Roman" w:hAnsi="Times New Roman" w:eastAsia="宋体"/>
          <w:b/>
          <w:sz w:val="24"/>
        </w:rPr>
        <w:t>问：忘记密码怎么办？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答：联系平台管理员在后台重置密码。</w:t>
      </w:r>
    </w:p>
    <w:p>
      <w:pPr>
        <w:spacing w:before="120" w:after="40" w:line="300" w:lineRule="auto"/>
      </w:pPr>
      <w:r>
        <w:rPr>
          <w:rFonts w:ascii="Times New Roman" w:hAnsi="Times New Roman" w:eastAsia="宋体"/>
          <w:b/>
          <w:sz w:val="24"/>
        </w:rPr>
        <w:t>问：直通码二维码不显示？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答：二维码依赖预约关联的存证凭证号生成，请确认预约已成功并已签发凭证；无凭证号时页面会显示降级占位提示。</w:t>
      </w:r>
    </w:p>
    <w:p>
      <w:pPr>
        <w:spacing w:before="120" w:after="40" w:line="300" w:lineRule="auto"/>
      </w:pPr>
      <w:r>
        <w:rPr>
          <w:rFonts w:ascii="Times New Roman" w:hAnsi="Times New Roman" w:eastAsia="宋体"/>
          <w:b/>
          <w:sz w:val="24"/>
        </w:rPr>
        <w:t>问：AI功能无响应？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答：AI服务异常时系统自动降级为规则模式，预约、预填单等核心功能不受影响，恢复后自动切回。</w:t>
      </w:r>
    </w:p>
    <w:p>
      <w:pPr>
        <w:spacing w:before="120" w:after="40" w:line="300" w:lineRule="auto"/>
      </w:pPr>
      <w:r>
        <w:rPr>
          <w:rFonts w:ascii="Times New Roman" w:hAnsi="Times New Roman" w:eastAsia="宋体"/>
          <w:b/>
          <w:sz w:val="24"/>
        </w:rPr>
        <w:t>问：页面字体太小，老人看不清？</w:t>
      </w:r>
    </w:p>
    <w:p>
      <w:pPr>
        <w:spacing w:before="0" w:after="8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答：点击页面的“老年模式”按钮，切换到放大字体的适老化界面。</w:t>
      </w:r>
    </w:p>
    <w:p>
      <w:pPr>
        <w:spacing w:before="0" w:after="200" w:line="300" w:lineRule="auto"/>
      </w:pPr>
    </w:p>
    <w:p>
      <w:pPr>
        <w:spacing w:before="0" w:after="60" w:line="300" w:lineRule="auto"/>
        <w:jc w:val="center"/>
      </w:pPr>
      <w:r>
        <w:rPr>
          <w:rFonts w:ascii="Times New Roman" w:hAnsi="Times New Roman" w:eastAsia="宋体"/>
          <w:b w:val="0"/>
          <w:color w:val="888888"/>
          <w:sz w:val="24"/>
        </w:rPr>
        <w:t>—— 手册正文结束 ——</w:t>
      </w:r>
    </w:p>
    <w:sectPr w:rsidR="00FC693F" w:rsidRPr="0006063C" w:rsidSect="00034616">
      <w:headerReference w:type="default" r:id="rId9"/>
      <w:pgSz w:w="11906" w:h="16838"/>
      <w:pgMar w:top="1361" w:right="1247" w:bottom="1134" w:left="1247" w:header="6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  <w:rFonts w:eastAsia="宋体"/>
      </w:rPr>
      <w:t xml:space="preserve">灵枢智能银行网点服务平台V1.0　　第 </w:t>
    </w:r>
    <w:r>
      <w:rPr>
        <w:sz w:val="18"/>
        <w:rFonts w:eastAsia="宋体"/>
      </w:rPr>
      <w:fldChar w:fldCharType="begin"/>
      <w:instrText xml:space="preserve">PAGE</w:instrText>
      <w:fldChar w:fldCharType="end"/>
    </w:r>
    <w:r>
      <w:rPr>
        <w:sz w:val="18"/>
        <w:rFonts w:eastAsia="宋体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